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0005" w14:textId="7ACEF9FD" w:rsidR="00F46CC3" w:rsidRDefault="002E3DAF" w:rsidP="002E3D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DAF">
        <w:rPr>
          <w:rFonts w:ascii="Times New Roman" w:hAnsi="Times New Roman" w:cs="Times New Roman"/>
          <w:b/>
          <w:bCs/>
          <w:sz w:val="24"/>
          <w:szCs w:val="24"/>
        </w:rPr>
        <w:t>SEMÁFORO DA ÉTICA: METODOLOGIA ATIVA NA EDUCAÇÃO PERMANENTE DE PROFISSIONAIS DE ENFERMAGEM EM UMA UBS</w:t>
      </w:r>
    </w:p>
    <w:p w14:paraId="0B5DDBF9" w14:textId="77777777" w:rsidR="002E3DAF" w:rsidRDefault="002E3DAF" w:rsidP="002E3DAF">
      <w:pPr>
        <w:spacing w:after="0"/>
        <w:jc w:val="center"/>
      </w:pPr>
    </w:p>
    <w:p w14:paraId="5AD993F6" w14:textId="6277CDF9" w:rsidR="00F46CC3" w:rsidRPr="002E3DAF" w:rsidRDefault="00F46CC3" w:rsidP="00F46C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CC3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Pr="00F46CC3">
        <w:rPr>
          <w:rFonts w:ascii="Times New Roman" w:hAnsi="Times New Roman" w:cs="Times New Roman"/>
          <w:sz w:val="24"/>
          <w:szCs w:val="24"/>
        </w:rPr>
        <w:t xml:space="preserve"> </w:t>
      </w:r>
      <w:r w:rsidR="005A0E30" w:rsidRPr="005A0E30">
        <w:rPr>
          <w:rFonts w:ascii="Times New Roman" w:hAnsi="Times New Roman" w:cs="Times New Roman"/>
          <w:sz w:val="24"/>
          <w:szCs w:val="24"/>
        </w:rPr>
        <w:t>O Código de Ética de Enfermagem é um dos pilares que orientam o profissional na tomada de decisão</w:t>
      </w:r>
      <w:r w:rsidR="005A0E30" w:rsidRPr="005A0E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A0E30" w:rsidRPr="005A0E30">
        <w:rPr>
          <w:rFonts w:ascii="Times New Roman" w:hAnsi="Times New Roman" w:cs="Times New Roman"/>
          <w:sz w:val="24"/>
          <w:szCs w:val="24"/>
        </w:rPr>
        <w:t xml:space="preserve">. Entretanto, nota-se que muitos profissionais ainda possuem dificuldades em aplicar esses preceitos no cotidiano. </w:t>
      </w:r>
      <w:r w:rsidR="005A0E30" w:rsidRPr="00F46CC3">
        <w:rPr>
          <w:rFonts w:ascii="Times New Roman" w:hAnsi="Times New Roman" w:cs="Times New Roman"/>
          <w:b/>
          <w:bCs/>
          <w:sz w:val="24"/>
          <w:szCs w:val="24"/>
        </w:rPr>
        <w:t>OBJETIVOS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46CC3">
        <w:rPr>
          <w:rFonts w:ascii="Times New Roman" w:hAnsi="Times New Roman" w:cs="Times New Roman"/>
          <w:sz w:val="24"/>
          <w:szCs w:val="24"/>
        </w:rPr>
        <w:t xml:space="preserve"> </w:t>
      </w:r>
      <w:r w:rsidR="005A0E30" w:rsidRPr="005A0E30">
        <w:rPr>
          <w:rFonts w:ascii="Times New Roman" w:hAnsi="Times New Roman" w:cs="Times New Roman"/>
          <w:sz w:val="24"/>
          <w:szCs w:val="24"/>
        </w:rPr>
        <w:t>Relatar a experiência de acadêmicos de enfermagem na aplicação de uma atividade de Educação Permanente em Saúde (EPS) sobre ética e tomada de decisão na Enfermagem.</w:t>
      </w:r>
      <w:r w:rsidR="005A0E30">
        <w:rPr>
          <w:rFonts w:ascii="Times New Roman" w:hAnsi="Times New Roman" w:cs="Times New Roman"/>
          <w:sz w:val="24"/>
          <w:szCs w:val="24"/>
        </w:rPr>
        <w:t xml:space="preserve"> </w:t>
      </w:r>
      <w:r w:rsidR="00A42737">
        <w:rPr>
          <w:rFonts w:ascii="Times New Roman" w:hAnsi="Times New Roman" w:cs="Times New Roman"/>
          <w:b/>
          <w:bCs/>
          <w:sz w:val="24"/>
          <w:szCs w:val="24"/>
        </w:rPr>
        <w:t>DESCRIÇÃO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46CC3">
        <w:rPr>
          <w:rFonts w:ascii="Times New Roman" w:hAnsi="Times New Roman" w:cs="Times New Roman"/>
          <w:sz w:val="24"/>
          <w:szCs w:val="24"/>
        </w:rPr>
        <w:t xml:space="preserve"> </w:t>
      </w:r>
      <w:r w:rsidR="005A0E30" w:rsidRPr="005A0E30">
        <w:rPr>
          <w:rFonts w:ascii="Times New Roman" w:hAnsi="Times New Roman" w:cs="Times New Roman"/>
          <w:sz w:val="24"/>
          <w:szCs w:val="24"/>
        </w:rPr>
        <w:t>Trata-se de um relato de experiência realizado em uma Unidade Básica de Saúde no município de Belém/PA. A experiência ocorreu por meio de uma dinâmica educativa voltada à Educação Permanente em Saúde com enfermeiros e técnicos de enfermagem. A atividade, intitulada “Semáforo da Ética e Responsabilidade”, consistiu em apresentar situações que envolvessem tomada de decisão e condutas éticas no trabalho. A partir das situações expostas pelos acadêmicos, os profissionais deveriam classificá-las como sinal verde, amarelo ou vermelho, justificando o motivo da aplicação de cada sinal conforme o caso.</w:t>
      </w:r>
      <w:r w:rsidR="005A0E30">
        <w:rPr>
          <w:rFonts w:ascii="Times New Roman" w:hAnsi="Times New Roman" w:cs="Times New Roman"/>
          <w:sz w:val="24"/>
          <w:szCs w:val="24"/>
        </w:rPr>
        <w:t xml:space="preserve">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RESULTADOS/IMPACTOS:</w:t>
      </w:r>
      <w:r w:rsidRPr="00F46CC3">
        <w:rPr>
          <w:rFonts w:ascii="Times New Roman" w:hAnsi="Times New Roman" w:cs="Times New Roman"/>
          <w:sz w:val="24"/>
          <w:szCs w:val="24"/>
        </w:rPr>
        <w:t xml:space="preserve"> </w:t>
      </w:r>
      <w:r w:rsidR="005A0E30" w:rsidRPr="005A0E30">
        <w:rPr>
          <w:rFonts w:ascii="Times New Roman" w:hAnsi="Times New Roman" w:cs="Times New Roman"/>
          <w:sz w:val="24"/>
          <w:szCs w:val="24"/>
        </w:rPr>
        <w:t>atividade demonstrou boa adesão da comunidade da Unidade de Saúde e participação ativa na dinâmica desenvolvida. A intervenção possibilitou o esclarecimento de dúvidas diretas relacionadas ao tema, que foi considerado pelos participantes como de suma importância para a qualificação da assistência.</w:t>
      </w:r>
      <w:r w:rsidR="005A0E30">
        <w:rPr>
          <w:rFonts w:ascii="Times New Roman" w:hAnsi="Times New Roman" w:cs="Times New Roman"/>
          <w:sz w:val="24"/>
          <w:szCs w:val="24"/>
        </w:rPr>
        <w:t xml:space="preserve">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DISCUSSÃO:</w:t>
      </w:r>
      <w:r w:rsidRPr="00F46CC3">
        <w:rPr>
          <w:rFonts w:ascii="Times New Roman" w:hAnsi="Times New Roman" w:cs="Times New Roman"/>
          <w:sz w:val="24"/>
          <w:szCs w:val="24"/>
        </w:rPr>
        <w:t xml:space="preserve"> </w:t>
      </w:r>
      <w:r w:rsidR="005A0E30" w:rsidRPr="005A0E30">
        <w:rPr>
          <w:rFonts w:ascii="Times New Roman" w:hAnsi="Times New Roman" w:cs="Times New Roman"/>
          <w:sz w:val="24"/>
          <w:szCs w:val="24"/>
        </w:rPr>
        <w:t>A ação desenvolvida destacou a importância da Educação Permanente</w:t>
      </w:r>
      <w:r w:rsidR="005A0E3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A0E30" w:rsidRPr="005A0E30">
        <w:rPr>
          <w:rFonts w:ascii="Times New Roman" w:hAnsi="Times New Roman" w:cs="Times New Roman"/>
          <w:sz w:val="24"/>
          <w:szCs w:val="24"/>
        </w:rPr>
        <w:t xml:space="preserve"> e o uso de recursos didáticos como estratégias de ensino-aprendizagem. Ao utilizar metodologias que se distanciam do ensino tradicional, foi possível colocar os profissionais como protagonistas do seu próprio aprendizado</w:t>
      </w:r>
      <w:r w:rsidR="002E3DA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A0E30" w:rsidRPr="005A0E30">
        <w:rPr>
          <w:rFonts w:ascii="Times New Roman" w:hAnsi="Times New Roman" w:cs="Times New Roman"/>
          <w:sz w:val="24"/>
          <w:szCs w:val="24"/>
        </w:rPr>
        <w:t>. Além disso, a dinâmica promoveu uma reflexão crítica sobre a necessidade de manter a atenção constante nas decisões éticas</w:t>
      </w:r>
      <w:r w:rsidR="005A0E30">
        <w:rPr>
          <w:rFonts w:ascii="Times New Roman" w:hAnsi="Times New Roman" w:cs="Times New Roman"/>
          <w:sz w:val="24"/>
          <w:szCs w:val="24"/>
        </w:rPr>
        <w:t xml:space="preserve">.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CONCLUSÃO:</w:t>
      </w:r>
      <w:r w:rsidRPr="00F46CC3">
        <w:rPr>
          <w:rFonts w:ascii="Times New Roman" w:hAnsi="Times New Roman" w:cs="Times New Roman"/>
          <w:sz w:val="24"/>
          <w:szCs w:val="24"/>
        </w:rPr>
        <w:t xml:space="preserve"> </w:t>
      </w:r>
      <w:r w:rsidR="005A0E30" w:rsidRPr="005A0E30">
        <w:rPr>
          <w:rFonts w:ascii="Times New Roman" w:hAnsi="Times New Roman" w:cs="Times New Roman"/>
          <w:sz w:val="24"/>
          <w:szCs w:val="24"/>
        </w:rPr>
        <w:t>A atividade evidenciou que a educação permanente pode ser realizada de maneira dinâmica, mesmo em temas complexos como o Código de Ética.</w:t>
      </w:r>
      <w:r w:rsidR="005A0E30">
        <w:rPr>
          <w:rFonts w:ascii="Times New Roman" w:hAnsi="Times New Roman" w:cs="Times New Roman"/>
          <w:sz w:val="24"/>
          <w:szCs w:val="24"/>
        </w:rPr>
        <w:t xml:space="preserve">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CONTRIBUIÇÃO PARA ENFERMAGE</w:t>
      </w:r>
      <w:r w:rsidR="002E3DAF">
        <w:rPr>
          <w:rFonts w:ascii="Times New Roman" w:hAnsi="Times New Roman" w:cs="Times New Roman"/>
          <w:b/>
          <w:bCs/>
          <w:sz w:val="24"/>
          <w:szCs w:val="24"/>
        </w:rPr>
        <w:t xml:space="preserve">M: </w:t>
      </w:r>
      <w:r w:rsidR="002E3DAF">
        <w:rPr>
          <w:rFonts w:ascii="Times New Roman" w:hAnsi="Times New Roman" w:cs="Times New Roman"/>
          <w:sz w:val="24"/>
          <w:szCs w:val="24"/>
        </w:rPr>
        <w:t>Atividades de Educação permanente garantem segurança aos profissionais e aos pacientes.</w:t>
      </w:r>
    </w:p>
    <w:p w14:paraId="6B1D90BE" w14:textId="67C1B3BC" w:rsidR="00483094" w:rsidRPr="00F46CC3" w:rsidRDefault="00483094" w:rsidP="00F46CC3">
      <w:pPr>
        <w:spacing w:after="0"/>
        <w:jc w:val="both"/>
        <w:rPr>
          <w:rFonts w:ascii="Roboto" w:eastAsia="Times New Roman" w:hAnsi="Roboto" w:cs="Times New Roman"/>
          <w:color w:val="212529"/>
          <w:sz w:val="18"/>
          <w:szCs w:val="18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r w:rsidR="002E3DAF" w:rsidRPr="00F45F06">
        <w:rPr>
          <w:rFonts w:ascii="Times New Roman" w:hAnsi="Times New Roman" w:cs="Times New Roman"/>
          <w:color w:val="000000" w:themeColor="text1"/>
          <w:sz w:val="24"/>
          <w:szCs w:val="24"/>
        </w:rPr>
        <w:t>5084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="002E3DAF">
        <w:t>Ética em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46C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46CC3" w:rsidRPr="00F8715D">
        <w:rPr>
          <w:rFonts w:ascii="Roboto" w:eastAsia="Times New Roman" w:hAnsi="Roboto" w:cs="Times New Roman"/>
          <w:color w:val="212529"/>
          <w:sz w:val="18"/>
          <w:szCs w:val="18"/>
        </w:rPr>
        <w:t>294</w:t>
      </w:r>
      <w:r w:rsidR="00F46CC3">
        <w:rPr>
          <w:rFonts w:ascii="Roboto" w:eastAsia="Times New Roman" w:hAnsi="Roboto" w:cs="Times New Roman"/>
          <w:color w:val="212529"/>
          <w:sz w:val="18"/>
          <w:szCs w:val="18"/>
        </w:rPr>
        <w:t>9</w:t>
      </w:r>
      <w:r w:rsidR="00F46C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CC3">
        <w:t>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46C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E3DAF" w:rsidRPr="002E3DAF">
        <w:rPr>
          <w:rFonts w:ascii="Roboto" w:eastAsia="Times New Roman" w:hAnsi="Roboto" w:cs="Times New Roman"/>
          <w:color w:val="212529"/>
          <w:sz w:val="18"/>
          <w:szCs w:val="18"/>
        </w:rPr>
        <w:t>32764</w:t>
      </w:r>
      <w:r w:rsidR="00F46CC3">
        <w:rPr>
          <w:rFonts w:ascii="Roboto" w:eastAsia="Times New Roman" w:hAnsi="Roboto" w:cs="Times New Roman"/>
          <w:color w:val="212529"/>
          <w:sz w:val="18"/>
          <w:szCs w:val="18"/>
        </w:rPr>
        <w:t xml:space="preserve">) </w:t>
      </w:r>
      <w:r w:rsidR="002E3DAF">
        <w:rPr>
          <w:rFonts w:ascii="Roboto" w:eastAsia="Times New Roman" w:hAnsi="Roboto" w:cs="Times New Roman"/>
          <w:color w:val="212529"/>
          <w:sz w:val="18"/>
          <w:szCs w:val="18"/>
        </w:rPr>
        <w:t>Tecnologia Educacional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4F68B480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( </w:t>
      </w:r>
      <w:r w:rsidR="00F46CC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 ) revisão da literatura</w:t>
      </w:r>
    </w:p>
    <w:p w14:paraId="043496CA" w14:textId="7BFF6EF6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F45F06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70EDB6ED" w14:textId="3C4EFC5C" w:rsidR="00F46CC3" w:rsidRPr="00F46CC3" w:rsidRDefault="00483094" w:rsidP="00F46CC3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4437C205" w14:textId="75123275" w:rsidR="002E3DAF" w:rsidRPr="002E3DAF" w:rsidRDefault="002E3DAF" w:rsidP="002E3DAF">
      <w:pPr>
        <w:pStyle w:val="PargrafodaLista"/>
        <w:numPr>
          <w:ilvl w:val="0"/>
          <w:numId w:val="1"/>
        </w:numPr>
        <w:spacing w:before="0" w:after="0" w:line="259" w:lineRule="auto"/>
        <w:jc w:val="both"/>
      </w:pPr>
      <w:r>
        <w:t xml:space="preserve">Conselho Federal de Enfermagem (COFEN). Resolução COFEN nº 564/2017. Aprova o novo Código de Ética dos Profissionais de Enfermagem. Brasília: COFEN. Disponível em: </w:t>
      </w:r>
      <w:hyperlink w:tgtFrame="_blank" w:history="1">
        <w:r w:rsidRPr="002E3DAF">
          <w:t>http://www.cofen.gov.br/resolucao-cofen-no-5642017_59145.html</w:t>
        </w:r>
      </w:hyperlink>
    </w:p>
    <w:p w14:paraId="2A1B1B60" w14:textId="7ED135C6" w:rsidR="002E3DAF" w:rsidRDefault="002E3DAF" w:rsidP="002E3DAF">
      <w:pPr>
        <w:pStyle w:val="PargrafodaLista"/>
        <w:numPr>
          <w:ilvl w:val="0"/>
          <w:numId w:val="1"/>
        </w:numPr>
        <w:spacing w:before="0" w:after="0" w:line="259" w:lineRule="auto"/>
        <w:jc w:val="both"/>
      </w:pPr>
      <w:r>
        <w:t>Brasil. Ministério da Saúde. Secretaria de Gestão do Trabalho e da Educação na Saúde. Política Nacional de Educação Permanente em Saúde: PNEPS. Brasília: Ministério da Saúde; 2018.</w:t>
      </w:r>
    </w:p>
    <w:p w14:paraId="6CF5F861" w14:textId="66EE27BC" w:rsidR="002E3DAF" w:rsidRDefault="002E3DAF" w:rsidP="002E3DAF">
      <w:pPr>
        <w:pStyle w:val="PargrafodaLista"/>
        <w:numPr>
          <w:ilvl w:val="0"/>
          <w:numId w:val="1"/>
        </w:numPr>
        <w:spacing w:before="0" w:after="0" w:line="259" w:lineRule="auto"/>
        <w:jc w:val="both"/>
      </w:pPr>
      <w:r>
        <w:lastRenderedPageBreak/>
        <w:t>Nietsche EA, Teixeira E, Medeiros HP, organizadores. Tecnologias educacionais em enfermagem e saúde: criação, desenvolvimento e utilização. 2. ed. Porto Alegre: Moriá; 2021.</w:t>
      </w:r>
    </w:p>
    <w:p w14:paraId="27EA3EC3" w14:textId="77777777" w:rsidR="002E3DAF" w:rsidRDefault="002E3DAF" w:rsidP="002E3DAF">
      <w:pPr>
        <w:pStyle w:val="PargrafodaLista"/>
        <w:spacing w:before="0" w:after="0" w:line="259" w:lineRule="auto"/>
        <w:jc w:val="both"/>
      </w:pPr>
    </w:p>
    <w:sectPr w:rsidR="002E3DAF" w:rsidSect="00F46CC3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A4B9" w14:textId="77777777" w:rsidR="00CA5ADF" w:rsidRDefault="00CA5ADF" w:rsidP="0068569C">
      <w:pPr>
        <w:spacing w:before="0" w:after="0" w:line="240" w:lineRule="auto"/>
      </w:pPr>
      <w:r>
        <w:separator/>
      </w:r>
    </w:p>
  </w:endnote>
  <w:endnote w:type="continuationSeparator" w:id="0">
    <w:p w14:paraId="58FFC4E4" w14:textId="77777777" w:rsidR="00CA5ADF" w:rsidRDefault="00CA5ADF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450F" w14:textId="77777777" w:rsidR="00CA5ADF" w:rsidRDefault="00CA5ADF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B36A6F0" w14:textId="77777777" w:rsidR="00CA5ADF" w:rsidRDefault="00CA5ADF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7BAC"/>
    <w:multiLevelType w:val="hybridMultilevel"/>
    <w:tmpl w:val="509CFE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42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2E3DAF"/>
    <w:rsid w:val="004431AA"/>
    <w:rsid w:val="00483094"/>
    <w:rsid w:val="005A0E30"/>
    <w:rsid w:val="00641494"/>
    <w:rsid w:val="0068569C"/>
    <w:rsid w:val="007436FB"/>
    <w:rsid w:val="007958B3"/>
    <w:rsid w:val="007B0826"/>
    <w:rsid w:val="00A42737"/>
    <w:rsid w:val="00B10BE2"/>
    <w:rsid w:val="00B845E0"/>
    <w:rsid w:val="00CA5ADF"/>
    <w:rsid w:val="00E9624D"/>
    <w:rsid w:val="00F45F06"/>
    <w:rsid w:val="00F4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3DA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2E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Marcos Henrique</cp:lastModifiedBy>
  <cp:revision>3</cp:revision>
  <dcterms:created xsi:type="dcterms:W3CDTF">2026-05-07T02:31:00Z</dcterms:created>
  <dcterms:modified xsi:type="dcterms:W3CDTF">2026-05-07T02:38:00Z</dcterms:modified>
</cp:coreProperties>
</file>