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50337EF" w14:textId="77777777" w:rsidR="00705D0C" w:rsidRPr="001F6136" w:rsidRDefault="00705D0C" w:rsidP="00705D0C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>
        <w:rPr>
          <w:rFonts w:ascii="Arial" w:hAnsi="Arial" w:cs="Arial"/>
          <w:sz w:val="24"/>
          <w:szCs w:val="24"/>
        </w:rPr>
        <w:t>04 – Educação Física e Esporte</w:t>
      </w:r>
    </w:p>
    <w:p w14:paraId="77859C85" w14:textId="77777777" w:rsidR="00705D0C" w:rsidRPr="001F6136" w:rsidRDefault="00705D0C" w:rsidP="00705D0C">
      <w:pPr>
        <w:rPr>
          <w:rFonts w:ascii="Arial" w:hAnsi="Arial" w:cs="Arial"/>
          <w:sz w:val="24"/>
          <w:szCs w:val="24"/>
        </w:rPr>
      </w:pPr>
    </w:p>
    <w:p w14:paraId="5BD28C35" w14:textId="77777777" w:rsidR="00705D0C" w:rsidRPr="001F6136" w:rsidRDefault="00705D0C" w:rsidP="00705D0C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do trabalho: comunicação o</w:t>
      </w:r>
      <w:r>
        <w:rPr>
          <w:rFonts w:ascii="Arial" w:hAnsi="Arial" w:cs="Arial"/>
          <w:sz w:val="24"/>
          <w:szCs w:val="24"/>
        </w:rPr>
        <w:t>ral</w:t>
      </w:r>
    </w:p>
    <w:p w14:paraId="3759AAB1" w14:textId="77777777" w:rsidR="00705D0C" w:rsidRPr="001F6136" w:rsidRDefault="00705D0C" w:rsidP="00705D0C">
      <w:pPr>
        <w:rPr>
          <w:rFonts w:ascii="Arial" w:hAnsi="Arial" w:cs="Arial"/>
          <w:sz w:val="24"/>
          <w:szCs w:val="24"/>
        </w:rPr>
      </w:pPr>
    </w:p>
    <w:p w14:paraId="05F60F30" w14:textId="77777777" w:rsidR="00705D0C" w:rsidRPr="001F6136" w:rsidRDefault="00705D0C" w:rsidP="00705D0C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Formato de apresentação: presencial</w:t>
      </w:r>
    </w:p>
    <w:p w14:paraId="5191CADF" w14:textId="5F803C52" w:rsidR="0491D5EE" w:rsidRDefault="0491D5EE" w:rsidP="00E73320">
      <w:pPr>
        <w:pStyle w:val="Texto"/>
      </w:pPr>
    </w:p>
    <w:p w14:paraId="2E6FA849" w14:textId="77777777" w:rsidR="00705D0C" w:rsidRDefault="00705D0C" w:rsidP="00705D0C">
      <w:pPr>
        <w:pStyle w:val="Ttulo"/>
      </w:pPr>
      <w:r>
        <w:t>P</w:t>
      </w:r>
      <w:r w:rsidRPr="00FD0F77">
        <w:t>ARA ALÉM DO PARADIGMA BIOMÉDICO: PRÁTICAS INTEGRAIS DE SAÚDE E O PAPEL DA EDUCAÇÃO FÍSICA</w:t>
      </w:r>
    </w:p>
    <w:p w14:paraId="5A1B1E66" w14:textId="6C5C168C" w:rsidR="78AE189E" w:rsidRPr="00DA1797" w:rsidRDefault="78AE189E" w:rsidP="00E73320">
      <w:pPr>
        <w:pStyle w:val="Texto"/>
      </w:pPr>
    </w:p>
    <w:p w14:paraId="675CF564" w14:textId="77777777" w:rsidR="00705D0C" w:rsidRPr="00DA1797" w:rsidRDefault="00705D0C" w:rsidP="00705D0C">
      <w:pPr>
        <w:pStyle w:val="Autoria"/>
        <w:rPr>
          <w:sz w:val="24"/>
        </w:rPr>
      </w:pPr>
      <w:r>
        <w:rPr>
          <w:sz w:val="24"/>
        </w:rPr>
        <w:t>Wagner Eduardo Estácio de Paula</w:t>
      </w:r>
      <w:r w:rsidRPr="00DA1797">
        <w:rPr>
          <w:sz w:val="24"/>
          <w:vertAlign w:val="superscript"/>
        </w:rPr>
        <w:footnoteReference w:id="1"/>
      </w:r>
    </w:p>
    <w:p w14:paraId="743EDD29" w14:textId="77777777" w:rsidR="00705D0C" w:rsidRPr="00DA1797" w:rsidRDefault="00705D0C" w:rsidP="00705D0C">
      <w:pPr>
        <w:pStyle w:val="Autoria"/>
        <w:rPr>
          <w:sz w:val="24"/>
        </w:rPr>
      </w:pPr>
      <w:r>
        <w:rPr>
          <w:sz w:val="24"/>
        </w:rPr>
        <w:t>Matheus Ricardo Comper</w:t>
      </w:r>
      <w:r w:rsidRPr="00DA1797">
        <w:rPr>
          <w:rStyle w:val="Refdenotaderodap"/>
          <w:sz w:val="24"/>
        </w:rPr>
        <w:footnoteReference w:id="2"/>
      </w:r>
      <w:r w:rsidRPr="00DA1797">
        <w:rPr>
          <w:sz w:val="24"/>
        </w:rPr>
        <w:t xml:space="preserve"> </w:t>
      </w:r>
    </w:p>
    <w:p w14:paraId="2AB753F3" w14:textId="77777777" w:rsidR="00705D0C" w:rsidRDefault="00705D0C" w:rsidP="00705D0C">
      <w:pPr>
        <w:pStyle w:val="Autoria"/>
        <w:rPr>
          <w:sz w:val="24"/>
        </w:rPr>
      </w:pPr>
      <w:proofErr w:type="spellStart"/>
      <w:r>
        <w:rPr>
          <w:sz w:val="24"/>
        </w:rPr>
        <w:t>Camile</w:t>
      </w:r>
      <w:proofErr w:type="spellEnd"/>
      <w:r>
        <w:rPr>
          <w:sz w:val="24"/>
        </w:rPr>
        <w:t xml:space="preserve"> Ribeiro Lemos</w:t>
      </w:r>
      <w:r w:rsidRPr="00DA1797">
        <w:rPr>
          <w:rStyle w:val="Refdenotaderodap"/>
          <w:sz w:val="24"/>
        </w:rPr>
        <w:footnoteReference w:id="3"/>
      </w:r>
    </w:p>
    <w:p w14:paraId="4F47D999" w14:textId="323E0AE3" w:rsidR="00DF040B" w:rsidRPr="00DA1797" w:rsidRDefault="00250E5E" w:rsidP="00250E5E">
      <w:pPr>
        <w:pStyle w:val="Texto"/>
        <w:tabs>
          <w:tab w:val="clear" w:pos="4819"/>
          <w:tab w:val="left" w:pos="5760"/>
        </w:tabs>
      </w:pPr>
      <w:r>
        <w:tab/>
      </w:r>
    </w:p>
    <w:p w14:paraId="45B3261F" w14:textId="77777777" w:rsidR="008B42F9" w:rsidRDefault="00BD0F6C" w:rsidP="008B42F9">
      <w:pPr>
        <w:pStyle w:val="Resumo"/>
      </w:pPr>
      <w:r w:rsidRPr="001A1913">
        <w:rPr>
          <w:b/>
          <w:bCs/>
        </w:rPr>
        <w:t xml:space="preserve">PALAVRAS-CHAVE: </w:t>
      </w:r>
      <w:r w:rsidR="008B42F9" w:rsidRPr="004B0EE2">
        <w:t>Saúde; Reducionismo; Determinantes Sociais; Integralidade; Promoção da Saúde.</w:t>
      </w:r>
    </w:p>
    <w:p w14:paraId="7783C2E5" w14:textId="04CA42EA" w:rsidR="00BB3206" w:rsidRDefault="00BB3206" w:rsidP="00442C14">
      <w:pPr>
        <w:pStyle w:val="Resumo"/>
        <w:rPr>
          <w:b/>
          <w:bCs/>
        </w:rPr>
      </w:pP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1C94B302" w14:textId="77777777" w:rsidR="00705D0C" w:rsidRPr="00705D0C" w:rsidRDefault="00705D0C" w:rsidP="00705D0C">
      <w:pPr>
        <w:spacing w:line="360" w:lineRule="auto"/>
        <w:rPr>
          <w:rFonts w:ascii="Arial" w:hAnsi="Arial" w:cs="Arial"/>
          <w:sz w:val="24"/>
          <w:szCs w:val="24"/>
        </w:rPr>
      </w:pPr>
      <w:r w:rsidRPr="00705D0C">
        <w:rPr>
          <w:rFonts w:ascii="Arial" w:hAnsi="Arial" w:cs="Arial"/>
          <w:sz w:val="24"/>
          <w:szCs w:val="24"/>
        </w:rPr>
        <w:t>A compreensão de saúde restrita à ausência de doença consolidou, ao longo do século XX, uma gramática institucional e clínica que privilegia a intervenção pontual e a hierarquia de especialidades. Herdeiro de uma racionalidade mecanicista, esse paradigma fragmenta o corpo em partes e traduz a vida em indicadores (CAPRA, 1996). Embora os avanços técnico-científicos sejam evidentes, sua suficiência tem sido tensionada por agravos complexos e socialmente determinados (MARMOT, 2005).</w:t>
      </w:r>
    </w:p>
    <w:p w14:paraId="0FA40422" w14:textId="65B6392F" w:rsidR="00705D0C" w:rsidRPr="00705D0C" w:rsidRDefault="00705D0C" w:rsidP="00705D0C">
      <w:pPr>
        <w:spacing w:line="360" w:lineRule="auto"/>
        <w:rPr>
          <w:rFonts w:ascii="Arial" w:hAnsi="Arial" w:cs="Arial"/>
          <w:sz w:val="24"/>
          <w:szCs w:val="24"/>
        </w:rPr>
      </w:pPr>
      <w:r w:rsidRPr="00705D0C">
        <w:rPr>
          <w:rFonts w:ascii="Arial" w:hAnsi="Arial" w:cs="Arial"/>
          <w:sz w:val="24"/>
          <w:szCs w:val="24"/>
        </w:rPr>
        <w:t xml:space="preserve">A pandemia recente tornou explícitas desigualdades sociais que atravessam o processo saúde-doença, evidenciando que risco e proteção se distribuem conforme trabalho, renda e território. Nos serviços, prevalecem circuitos produtivistas e prescritivos, que tendem a negligenciar experiências, vínculos e contextos (CECÍLIO, </w:t>
      </w:r>
      <w:r w:rsidRPr="00705D0C">
        <w:rPr>
          <w:rFonts w:ascii="Arial" w:hAnsi="Arial" w:cs="Arial"/>
          <w:sz w:val="24"/>
          <w:szCs w:val="24"/>
        </w:rPr>
        <w:lastRenderedPageBreak/>
        <w:t xml:space="preserve">2001). Nesse cenário, torna-se decisivo avançar do enfoque </w:t>
      </w:r>
      <w:proofErr w:type="spellStart"/>
      <w:r w:rsidRPr="00705D0C">
        <w:rPr>
          <w:rFonts w:ascii="Arial" w:hAnsi="Arial" w:cs="Arial"/>
          <w:sz w:val="24"/>
          <w:szCs w:val="24"/>
        </w:rPr>
        <w:t>curativista</w:t>
      </w:r>
      <w:proofErr w:type="spellEnd"/>
      <w:r w:rsidRPr="00705D0C">
        <w:rPr>
          <w:rFonts w:ascii="Arial" w:hAnsi="Arial" w:cs="Arial"/>
          <w:sz w:val="24"/>
          <w:szCs w:val="24"/>
        </w:rPr>
        <w:t xml:space="preserve"> e reducionista para uma concepção integral de cuidado, que reconheça usuários e equipes como coprodutores da saúde.</w:t>
      </w:r>
    </w:p>
    <w:p w14:paraId="223F4CDE" w14:textId="77777777" w:rsidR="00705D0C" w:rsidRPr="00705D0C" w:rsidRDefault="00705D0C" w:rsidP="00705D0C">
      <w:pPr>
        <w:spacing w:line="360" w:lineRule="auto"/>
        <w:rPr>
          <w:rFonts w:ascii="Arial" w:hAnsi="Arial" w:cs="Arial"/>
          <w:sz w:val="24"/>
          <w:szCs w:val="24"/>
        </w:rPr>
      </w:pPr>
      <w:r w:rsidRPr="00705D0C">
        <w:rPr>
          <w:rFonts w:ascii="Arial" w:hAnsi="Arial" w:cs="Arial"/>
          <w:sz w:val="24"/>
          <w:szCs w:val="24"/>
        </w:rPr>
        <w:t>Este trabalho propõe reconstruir criticamente elementos do paradigma biomédico hegemônico e apresentar fundamentos para práticas integrais inspiradas no modelo biopsicossocial (ENGEL, 1977) e na Promoção da Saúde (OMS, 1986). Defende-se que essa transformação requer intersetorialidade, participação social e reorganização dos processos de trabalho, situando a Educação Física como campo estratégico para articular corpo, cultura e movimento em contextos escolares, comunitários e de atenção básica.</w:t>
      </w:r>
    </w:p>
    <w:p w14:paraId="251506C0" w14:textId="77777777" w:rsidR="00435A4C" w:rsidRPr="009A33DE" w:rsidRDefault="00435A4C" w:rsidP="009A33DE">
      <w:pPr>
        <w:pStyle w:val="Texto"/>
      </w:pPr>
    </w:p>
    <w:p w14:paraId="41EEC0FF" w14:textId="3199E977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56D932CB" w14:textId="77777777" w:rsidR="00705D0C" w:rsidRPr="00705D0C" w:rsidRDefault="00705D0C" w:rsidP="00705D0C">
      <w:pPr>
        <w:pStyle w:val="Texto"/>
      </w:pPr>
      <w:r w:rsidRPr="00705D0C">
        <w:t>A crítica ao reducionismo biomédico parte do modelo biopsicossocial, que propõe uma visão ampliada da saúde ao integrar dimensões biológicas, psicológicas e sociais (ENGEL, 1977). Essa perspectiva rompe com a causalidade linear e introduz um pensamento complexo sobre os fenômenos humanos, em sintonia com abordagens sistêmicas que reconhecem interdependências entre corpo, mente e sociedade (CAPRA, 1996; MORIN, 2000).</w:t>
      </w:r>
    </w:p>
    <w:p w14:paraId="657E6F22" w14:textId="77777777" w:rsidR="00705D0C" w:rsidRPr="00705D0C" w:rsidRDefault="00705D0C" w:rsidP="00705D0C">
      <w:pPr>
        <w:pStyle w:val="Texto"/>
      </w:pPr>
      <w:r w:rsidRPr="00705D0C">
        <w:t>A partir da década de 1980, a Promoção da Saúde consolidou-se como alternativa paradigmática, orientando políticas públicas e práticas voltadas à criação de ambientes saudáveis e ao fortalecimento comunitário (OMS, 1986). Tal marco amplia a noção de cuidado e redefine responsabilidades, articulando ações intersetoriais e protagonismo social.</w:t>
      </w:r>
    </w:p>
    <w:p w14:paraId="3E7A5FF1" w14:textId="77777777" w:rsidR="00705D0C" w:rsidRPr="00705D0C" w:rsidRDefault="00705D0C" w:rsidP="00705D0C">
      <w:pPr>
        <w:pStyle w:val="Texto"/>
      </w:pPr>
      <w:r w:rsidRPr="00705D0C">
        <w:t>Os determinantes sociais da saúde, por sua vez, explicitam que desigualdades econômicas e culturais moldam vulnerabilidades e oportunidades de viver com qualidade (MARMOT, 2005). Assim, políticas de saúde efetivas devem atuar não apenas sobre doenças, mas sobre condições estruturais que as produzem (SOLAR; IRWIN, 2010).</w:t>
      </w:r>
    </w:p>
    <w:p w14:paraId="77BF6C4D" w14:textId="77777777" w:rsidR="00705D0C" w:rsidRPr="00705D0C" w:rsidRDefault="00705D0C" w:rsidP="00705D0C">
      <w:pPr>
        <w:pStyle w:val="Texto"/>
      </w:pPr>
      <w:r w:rsidRPr="00705D0C">
        <w:t xml:space="preserve">Nesse horizonte, a integralidade emerge como princípio organizador dos serviços, orientando práticas que reconhecem singularidades, constroem vínculos e compartilham decisões (CECÍLIO, 2001). A Educação Física insere-se como campo capaz de mediar corpo e território, potencializando autonomia, afetividade e </w:t>
      </w:r>
      <w:r w:rsidRPr="00705D0C">
        <w:lastRenderedPageBreak/>
        <w:t>pertencimento por meio das práticas corporais, especialmente em contextos vulneráveis (FIGUEIREDO et al., 2014; COSTA, 2022).</w:t>
      </w:r>
    </w:p>
    <w:p w14:paraId="6EF99736" w14:textId="618871C7" w:rsidR="0C591BAA" w:rsidRDefault="0C591BAA" w:rsidP="00DF040B">
      <w:pPr>
        <w:pStyle w:val="Texto"/>
      </w:pPr>
    </w:p>
    <w:p w14:paraId="1DD2BBB3" w14:textId="0B784F74" w:rsidR="00707214" w:rsidRP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07947073" w14:textId="77777777" w:rsidR="00705D0C" w:rsidRPr="00705D0C" w:rsidRDefault="00705D0C" w:rsidP="00705D0C">
      <w:pPr>
        <w:pStyle w:val="Texto"/>
      </w:pPr>
      <w:r w:rsidRPr="00705D0C">
        <w:t>A pesquisa, de natureza bibliográfica e enfoque crítico-interpretativo, reuniu obras clássicas e recentes sobre o paradigma biomédico, determinantes sociais e integralidade do cuidado. O corpus incluiu autores que fundamentam o modelo biopsicossocial, a Promoção da Saúde e a reorganização dos processos de trabalho. As leituras foram agrupadas em três eixos: limites do reducionismo; reconfiguração dos sistemas de saúde; e papel da Educação Física na produção de vínculos e autonomia.</w:t>
      </w:r>
    </w:p>
    <w:p w14:paraId="64AA9489" w14:textId="13CB2860" w:rsidR="00705D0C" w:rsidRPr="00705D0C" w:rsidRDefault="00705D0C" w:rsidP="00705D0C">
      <w:pPr>
        <w:pStyle w:val="Texto"/>
      </w:pPr>
      <w:r w:rsidRPr="00705D0C">
        <w:t>As discussões foram desenvolvidas no</w:t>
      </w:r>
      <w:r w:rsidR="00FB63FF">
        <w:t xml:space="preserve"> âmbito do</w:t>
      </w:r>
      <w:r w:rsidRPr="00705D0C">
        <w:t xml:space="preserve"> Grupo de Pesquisa Cultura Corporal do Movimento Humano (Unifebe), em encontros que permitiram confrontar interpretações e alinhar a coerência teórica entre categorias e exemplos aplicados.</w:t>
      </w:r>
    </w:p>
    <w:p w14:paraId="5905B946" w14:textId="5520B327" w:rsidR="6EB1BE39" w:rsidRDefault="6EB1BE39" w:rsidP="6EB1BE39">
      <w:pPr>
        <w:pStyle w:val="Texto"/>
      </w:pPr>
    </w:p>
    <w:p w14:paraId="4B72C82E" w14:textId="0CC10E34" w:rsidR="00707214" w:rsidRP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227D2F2E" w14:textId="77777777" w:rsidR="00705D0C" w:rsidRPr="004B0EE2" w:rsidRDefault="00705D0C" w:rsidP="00705D0C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4B0EE2">
        <w:rPr>
          <w:rFonts w:ascii="Arial" w:hAnsi="Arial" w:cs="Arial"/>
          <w:sz w:val="24"/>
          <w:szCs w:val="24"/>
        </w:rPr>
        <w:t>A análise evidencia que a hegemonia do paradigma biomédico privilegia a doença como unidade de gestão, medindo êxitos por volume de procedimentos e metas de produtividade. Tal racionalidade produz cegueira para dimensões relacionais e culturais do cuidado e, por vezes, converte a clínica em ato de prescrição que solicita obediência, não parceria. Em contextos de vulnerabilidade social, a insistência exclusiva em comportamentos individuais resulta em culpabilização e baixa efetividade, pois desconsidera barreiras materiais e simbólicas que limitam escolhas.</w:t>
      </w:r>
    </w:p>
    <w:p w14:paraId="3787BEE5" w14:textId="77777777" w:rsidR="00705D0C" w:rsidRPr="004B0EE2" w:rsidRDefault="00705D0C" w:rsidP="00705D0C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4B0EE2">
        <w:rPr>
          <w:rFonts w:ascii="Arial" w:hAnsi="Arial" w:cs="Arial"/>
          <w:sz w:val="24"/>
          <w:szCs w:val="24"/>
        </w:rPr>
        <w:t>Em contraponto, o modelo biopsicossocial recoloca a pessoa e o território no centro do cuidado, expandindo a escuta para abarcar narrativas, redes de apoio e condições de vida. A Promoção da Saúde, desde a Carta de Ottawa, propõe políticas públicas saudáveis, ambientes favoráveis, ação comunitária e desenvolvimento de habilidades, deslocando a ênfase do tratamento pontual para processos contínuos de produção de saúde. Essa virada requer equipes aptas a construir planos terapêuticos singulares, pactuados com usuários e familiares, e a articular redes intersetoriais que enfrentem determinantes sociais, do saneamento ao trabalho digno.</w:t>
      </w:r>
    </w:p>
    <w:p w14:paraId="6DB32018" w14:textId="77777777" w:rsidR="00705D0C" w:rsidRPr="004B0EE2" w:rsidRDefault="00705D0C" w:rsidP="00705D0C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4B0EE2">
        <w:rPr>
          <w:rFonts w:ascii="Arial" w:hAnsi="Arial" w:cs="Arial"/>
          <w:sz w:val="24"/>
          <w:szCs w:val="24"/>
        </w:rPr>
        <w:t xml:space="preserve">A Educação Física emerge como campo privilegiado para materializar essa mudança por articular corpo, cultura e movimento em experiências coletivas. Em </w:t>
      </w:r>
      <w:r w:rsidRPr="004B0EE2">
        <w:rPr>
          <w:rFonts w:ascii="Arial" w:hAnsi="Arial" w:cs="Arial"/>
          <w:sz w:val="24"/>
          <w:szCs w:val="24"/>
        </w:rPr>
        <w:lastRenderedPageBreak/>
        <w:t>escolas, grupos comunitários e unidades básicas, práticas corporais ampliam repertórios expressivos, fortalecem vínculos e configuram sentidos positivos de corporeidade, frequentemente negligenciados quando a clínica se reduz a biomarcadores. Ao reconhecer a corporeidade como dimensão simbólica, afetiva e política, a área contribui para cuidados que transbordam a prevenção de riscos e se afirmam como experiências de autonomia e cidadania.</w:t>
      </w:r>
    </w:p>
    <w:p w14:paraId="0BE32ECF" w14:textId="77777777" w:rsidR="00705D0C" w:rsidRPr="004B0EE2" w:rsidRDefault="00705D0C" w:rsidP="00705D0C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4B0EE2">
        <w:rPr>
          <w:rFonts w:ascii="Arial" w:hAnsi="Arial" w:cs="Arial"/>
          <w:sz w:val="24"/>
          <w:szCs w:val="24"/>
        </w:rPr>
        <w:t xml:space="preserve">Do ponto de vista organizativo, a integralidade implica rever métricas e governança do trabalho em saúde. Indicadores exclusivamente centrados em produção de procedimentos não capturam evolução de vínculos, confiança e autonomia — elementos decisivos para resultados sustentáveis. A incorporação de dispositivos como acolhimento qualificado, consulta compartilhada, grupos de práticas corporais, visitas domiciliares e educação em saúde situada no território reconfigura o cuidado e melhora sua efetividade. Ao mesmo tempo, exige formação permanente e espaços de reflexão sobre o trabalho, sob risco de que a retórica da integralidade se esgote em documentos sem alterar a </w:t>
      </w:r>
      <w:proofErr w:type="spellStart"/>
      <w:proofErr w:type="gramStart"/>
      <w:r w:rsidRPr="004B0EE2">
        <w:rPr>
          <w:rFonts w:ascii="Arial" w:hAnsi="Arial" w:cs="Arial"/>
          <w:sz w:val="24"/>
          <w:szCs w:val="24"/>
        </w:rPr>
        <w:t>micro-política</w:t>
      </w:r>
      <w:proofErr w:type="spellEnd"/>
      <w:proofErr w:type="gramEnd"/>
      <w:r w:rsidRPr="004B0EE2">
        <w:rPr>
          <w:rFonts w:ascii="Arial" w:hAnsi="Arial" w:cs="Arial"/>
          <w:sz w:val="24"/>
          <w:szCs w:val="24"/>
        </w:rPr>
        <w:t xml:space="preserve"> das relações.</w:t>
      </w:r>
    </w:p>
    <w:p w14:paraId="258778DE" w14:textId="77777777" w:rsidR="00705D0C" w:rsidRPr="004B0EE2" w:rsidRDefault="00705D0C" w:rsidP="00705D0C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4B0EE2">
        <w:rPr>
          <w:rFonts w:ascii="Arial" w:hAnsi="Arial" w:cs="Arial"/>
          <w:sz w:val="24"/>
          <w:szCs w:val="24"/>
        </w:rPr>
        <w:t>A discussão também evidencia que práticas centradas apenas na doença tendem a obscurecer determinantes sociais, reproduzindo iniquidades. Em bairros com infraestrutura precária e violência, por exemplo, recomendações de atividade física desvinculadas da realidade podem ser inviáveis. A resposta integral envolve criar ambientes e tempos protegidos, em parceria com escolas, associações e lideranças locais, onde o movimento ganhe segurança e sentido. Tais arranjos organizacionais, ainda que demandem recursos e coordenação intersetorial, retornam em adesão, qualidade de vida e redução de agravos preveníveis.</w:t>
      </w:r>
    </w:p>
    <w:p w14:paraId="5934A2EE" w14:textId="34242FD1" w:rsidR="00705D0C" w:rsidRDefault="008B42F9" w:rsidP="00705D0C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705D0C" w:rsidRPr="004B0EE2">
        <w:rPr>
          <w:rFonts w:ascii="Arial" w:hAnsi="Arial" w:cs="Arial"/>
          <w:sz w:val="24"/>
          <w:szCs w:val="24"/>
        </w:rPr>
        <w:t xml:space="preserve"> integralidade</w:t>
      </w:r>
      <w:r>
        <w:rPr>
          <w:rFonts w:ascii="Arial" w:hAnsi="Arial" w:cs="Arial"/>
          <w:sz w:val="24"/>
          <w:szCs w:val="24"/>
        </w:rPr>
        <w:t>, portanto,</w:t>
      </w:r>
      <w:r w:rsidR="00705D0C" w:rsidRPr="004B0EE2">
        <w:rPr>
          <w:rFonts w:ascii="Arial" w:hAnsi="Arial" w:cs="Arial"/>
          <w:sz w:val="24"/>
          <w:szCs w:val="24"/>
        </w:rPr>
        <w:t xml:space="preserve"> se mostra não apenas desejável, mas necessária para que sistemas respondam a problemas complexos. A combinação de clínica ampliada, promoção da saúde e práticas corporais </w:t>
      </w:r>
      <w:proofErr w:type="spellStart"/>
      <w:r w:rsidR="00705D0C" w:rsidRPr="004B0EE2">
        <w:rPr>
          <w:rFonts w:ascii="Arial" w:hAnsi="Arial" w:cs="Arial"/>
          <w:sz w:val="24"/>
          <w:szCs w:val="24"/>
        </w:rPr>
        <w:t>territorializadas</w:t>
      </w:r>
      <w:proofErr w:type="spellEnd"/>
      <w:r w:rsidR="00705D0C" w:rsidRPr="004B0EE2">
        <w:rPr>
          <w:rFonts w:ascii="Arial" w:hAnsi="Arial" w:cs="Arial"/>
          <w:sz w:val="24"/>
          <w:szCs w:val="24"/>
        </w:rPr>
        <w:t xml:space="preserve"> redesenha o encontro entre trabalhadores e usuários, produzindo cuidado como bem relacional e público. Isso supõe deslocar o foco da mera conformidade a protocolos para a construção compartilhada de caminhos terapêuticos, com avaliação que valorize processos e resultados vividos, para além de métricas exclusivamente biomédicas.</w:t>
      </w:r>
    </w:p>
    <w:p w14:paraId="4669AC60" w14:textId="2C7EE996" w:rsidR="0C591BAA" w:rsidRDefault="0C591BAA" w:rsidP="00DF040B">
      <w:pPr>
        <w:pStyle w:val="Texto"/>
      </w:pPr>
    </w:p>
    <w:p w14:paraId="48D133EA" w14:textId="2C12929C" w:rsidR="00707214" w:rsidRDefault="00FC4166" w:rsidP="004C446D">
      <w:pPr>
        <w:pStyle w:val="Ttulo1"/>
      </w:pPr>
      <w:r>
        <w:lastRenderedPageBreak/>
        <w:t>5</w:t>
      </w:r>
      <w:r w:rsidR="0060173B">
        <w:t xml:space="preserve"> </w:t>
      </w:r>
      <w:r w:rsidR="00707214" w:rsidRPr="00707214">
        <w:t>CONSIDERAÇÕES FINAIS</w:t>
      </w:r>
    </w:p>
    <w:p w14:paraId="2B55E9A1" w14:textId="77777777" w:rsidR="00705D0C" w:rsidRPr="004B0EE2" w:rsidRDefault="00705D0C" w:rsidP="00705D0C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4B0EE2">
        <w:rPr>
          <w:rFonts w:ascii="Arial" w:hAnsi="Arial" w:cs="Arial"/>
          <w:sz w:val="24"/>
          <w:szCs w:val="24"/>
        </w:rPr>
        <w:t>Conclui-se que a crítica ao paradigma biomédico não implica negar seus aportes, mas reconhecer seus limites quando confrontado com agravos complexos e socialmente determinados. A integralidade emerge como eixo estruturante para reorientar políticas, serviços e práticas, permitindo que a saúde seja concebida como tecido vivo, tecido por relações, territórios e histórias. Nesse horizonte, a participação social, a intersetorialidade e a clínica ampliada constituem estratégias complementares para produzir respostas mais justas e efetivas.</w:t>
      </w:r>
    </w:p>
    <w:p w14:paraId="19F099EF" w14:textId="77777777" w:rsidR="00705D0C" w:rsidRDefault="00705D0C" w:rsidP="00705D0C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4B0EE2">
        <w:rPr>
          <w:rFonts w:ascii="Arial" w:hAnsi="Arial" w:cs="Arial"/>
          <w:sz w:val="24"/>
          <w:szCs w:val="24"/>
        </w:rPr>
        <w:t>A Educação Física ocupa lugar decisivo nessa reconfiguração ao articular movimento, cultura e afeto, favorecendo vínculos e autonomia. Ao transformar o corpo de objeto de intervenção em sujeito de experiências significativas, práticas corporais ampliam a potência de viver e abrem caminho para projetos terapêuticos mais coerentes com a vida real das pessoas. Tal aporte se torna particularmente relevante em contextos de vulnerabilidade, nos quais a criação de espaços seguros e coletivos de cuidado pode mitigar barreiras materiais e simbólicas.</w:t>
      </w:r>
    </w:p>
    <w:p w14:paraId="3D3E5EB5" w14:textId="137A0EE9" w:rsidR="008B42F9" w:rsidRPr="004B0EE2" w:rsidRDefault="008B42F9" w:rsidP="00705D0C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8B42F9">
        <w:rPr>
          <w:rFonts w:ascii="Arial" w:hAnsi="Arial" w:cs="Arial"/>
          <w:sz w:val="24"/>
          <w:szCs w:val="24"/>
        </w:rPr>
        <w:t>Outro aspecto decisivo é o potencial educativo das práticas corporais como dispositivos de produção de sentido. Ao promover experiências coletivas, cooperativas e criativas, a Educação Física amplia a compreensão de saúde como potência de viver, não apenas como ausência de doença. O movimento, entendido como expressão e linguagem, converte-se em estratégia de cuidado e fortalecimento de vínculos sociais, sobretudo em territórios marcados por vulnerabilidade. Assim, a área se consolida como componente essencial da saúde coletiva e das políticas públicas orientadas à promoção da vida em sua totalidade.</w:t>
      </w:r>
    </w:p>
    <w:p w14:paraId="3E4E3480" w14:textId="77777777" w:rsidR="00705D0C" w:rsidRDefault="00705D0C" w:rsidP="00705D0C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4B0EE2">
        <w:rPr>
          <w:rFonts w:ascii="Arial" w:hAnsi="Arial" w:cs="Arial"/>
          <w:sz w:val="24"/>
          <w:szCs w:val="24"/>
        </w:rPr>
        <w:t>Para que tais transformações sejam sustentáveis, é necessário revisar governança e métricas do trabalho em saúde, incorporando indicadores sensíveis a processos relacionais e à redução de iniquidades. Recomenda-se institucionalizar formação permanente, fortalecer dispositivos coletivos de cuidado e pactuar responsabilidades intersetoriais que incidam sobre determinantes sociais. A justiça social, mais do que um valor abstrato, deve operar como critério de avaliação da política e do trabalho em saúde, orientando escolhas de investimento e priorização de agendas.</w:t>
      </w:r>
    </w:p>
    <w:p w14:paraId="2EABA2E7" w14:textId="77777777" w:rsidR="00126DD2" w:rsidRDefault="00126DD2" w:rsidP="00DF040B">
      <w:pPr>
        <w:pStyle w:val="Texto"/>
      </w:pPr>
    </w:p>
    <w:p w14:paraId="7F32F155" w14:textId="540A6AAF" w:rsidR="006306D9" w:rsidRDefault="00707214" w:rsidP="004C446D">
      <w:pPr>
        <w:pStyle w:val="TtulosNoNumerados"/>
      </w:pPr>
      <w:r w:rsidRPr="00707214">
        <w:lastRenderedPageBreak/>
        <w:t>REFERÊNCIAS</w:t>
      </w:r>
      <w:r w:rsidR="00F97C22">
        <w:t xml:space="preserve"> </w:t>
      </w:r>
    </w:p>
    <w:p w14:paraId="0702AE78" w14:textId="77777777" w:rsidR="003B13CF" w:rsidRPr="003B13CF" w:rsidRDefault="003B13CF" w:rsidP="003B13CF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CAPRA, Fritjof. </w:t>
      </w:r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A teia da vida: uma nova compreensão científica dos sistemas vivos.</w:t>
      </w: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São Paulo: Cultrix, 1996.</w:t>
      </w:r>
    </w:p>
    <w:p w14:paraId="0CEBF721" w14:textId="77777777" w:rsidR="003B13CF" w:rsidRPr="003B13CF" w:rsidRDefault="003B13CF" w:rsidP="003B13CF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CECÍLIO, Luiz Carlos de Oliveira. As necessidades de saúde como conceito estruturante na luta pela integralidade e equidade na atenção em saúde. In: PINHEIRO, Ricardo; MATTOS, Ruben Araujo (org.). </w:t>
      </w:r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Os sentidos da integralidade na atenção e no cuidado à saúde.</w:t>
      </w: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Rio de Janeiro: IMS/UERJ, 2001. p. 113-126.</w:t>
      </w:r>
    </w:p>
    <w:p w14:paraId="5374760B" w14:textId="77777777" w:rsidR="003B13CF" w:rsidRPr="003B13CF" w:rsidRDefault="003B13CF" w:rsidP="003B13CF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COSTA, </w:t>
      </w:r>
      <w:proofErr w:type="spellStart"/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Luisa</w:t>
      </w:r>
      <w:proofErr w:type="spellEnd"/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Gabriel. </w:t>
      </w:r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Crítica à concepção de saúde hegemônica.</w:t>
      </w: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Revista </w:t>
      </w:r>
      <w:proofErr w:type="spellStart"/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Longeviver</w:t>
      </w:r>
      <w:proofErr w:type="spellEnd"/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, São Paulo, v. 1, p. 1-10, 2022. Disponível em: https://revistalongeviver.com.br. Acesso em: 15 out. 2025.</w:t>
      </w:r>
    </w:p>
    <w:p w14:paraId="35E161A8" w14:textId="77777777" w:rsidR="003B13CF" w:rsidRPr="003B13CF" w:rsidRDefault="003B13CF" w:rsidP="003B13CF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ENGEL, George L. </w:t>
      </w:r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 xml:space="preserve">The </w:t>
      </w:r>
      <w:proofErr w:type="spellStart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need</w:t>
      </w:r>
      <w:proofErr w:type="spellEnd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 xml:space="preserve"> for a new medical model: a </w:t>
      </w:r>
      <w:proofErr w:type="spellStart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challenge</w:t>
      </w:r>
      <w:proofErr w:type="spellEnd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 xml:space="preserve"> for </w:t>
      </w:r>
      <w:proofErr w:type="spellStart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biomedicine</w:t>
      </w:r>
      <w:proofErr w:type="spellEnd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.</w:t>
      </w: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Pr="003B13CF">
        <w:rPr>
          <w:rFonts w:ascii="Arial" w:eastAsia="Times New Roman" w:hAnsi="Arial" w:cs="Arial"/>
          <w:i/>
          <w:iCs/>
          <w:kern w:val="0"/>
          <w:sz w:val="24"/>
          <w:szCs w:val="24"/>
          <w:lang w:eastAsia="pt-BR"/>
          <w14:ligatures w14:val="none"/>
        </w:rPr>
        <w:t>Science</w:t>
      </w: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, Washington, v. 196, n. 4286, p. 129-136, 1977. DOI: https://doi.org/10.1126/science.847460.</w:t>
      </w:r>
    </w:p>
    <w:p w14:paraId="226C45D2" w14:textId="77777777" w:rsidR="003B13CF" w:rsidRPr="003B13CF" w:rsidRDefault="003B13CF" w:rsidP="003B13CF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FIGUEIREDO, Maria Cristina Barboza et al. O modo hegemônico de produção do cuidado. In: FIGUEIREDO, Maria Cristina Barboza et al. </w:t>
      </w:r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Formação de facilitadores de educação permanente em saúde.</w:t>
      </w: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Rio de Janeiro: EAD/ENSP, 2014. Disponível em: https://www.epsjv.fiocruz.br. Acesso em: 15 out. 2025.</w:t>
      </w:r>
    </w:p>
    <w:p w14:paraId="2EBF5053" w14:textId="77777777" w:rsidR="003B13CF" w:rsidRPr="003B13CF" w:rsidRDefault="003B13CF" w:rsidP="003B13CF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MARMOT, Michael. </w:t>
      </w:r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 xml:space="preserve">Social </w:t>
      </w:r>
      <w:proofErr w:type="spellStart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determinants</w:t>
      </w:r>
      <w:proofErr w:type="spellEnd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health</w:t>
      </w:r>
      <w:proofErr w:type="spellEnd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inequalities</w:t>
      </w:r>
      <w:proofErr w:type="spellEnd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.</w:t>
      </w: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Pr="003B13CF">
        <w:rPr>
          <w:rFonts w:ascii="Arial" w:eastAsia="Times New Roman" w:hAnsi="Arial" w:cs="Arial"/>
          <w:i/>
          <w:iCs/>
          <w:kern w:val="0"/>
          <w:sz w:val="24"/>
          <w:szCs w:val="24"/>
          <w:lang w:eastAsia="pt-BR"/>
          <w14:ligatures w14:val="none"/>
        </w:rPr>
        <w:t>The Lancet</w:t>
      </w: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, London, v. 365, n. 9464, p. 1099-1104, 2005. DOI: https://doi.org/10.1016/S0140-6736(05)74234-3.</w:t>
      </w:r>
    </w:p>
    <w:p w14:paraId="7C793B1E" w14:textId="77777777" w:rsidR="003B13CF" w:rsidRPr="003B13CF" w:rsidRDefault="003B13CF" w:rsidP="003B13CF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MORIN, Edgar. </w:t>
      </w:r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A cabeça bem-feita: repensar a reforma, reformar o pensamento.</w:t>
      </w: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8. ed. Rio de Janeiro: Bertrand Brasil, 2000.</w:t>
      </w:r>
    </w:p>
    <w:p w14:paraId="51DDEC3A" w14:textId="77777777" w:rsidR="003B13CF" w:rsidRPr="003B13CF" w:rsidRDefault="003B13CF" w:rsidP="003B13CF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OMS. </w:t>
      </w:r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Carta de Ottawa para a Promoção da Saúde.</w:t>
      </w: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Genebra: OMS, 1986. Disponível em: </w:t>
      </w:r>
      <w:hyperlink r:id="rId8" w:tgtFrame="_new" w:history="1">
        <w:r w:rsidRPr="003B13CF">
          <w:rPr>
            <w:rFonts w:ascii="Arial" w:eastAsia="Times New Roman" w:hAnsi="Arial" w:cs="Arial"/>
            <w:color w:val="0000FF"/>
            <w:kern w:val="0"/>
            <w:sz w:val="24"/>
            <w:szCs w:val="24"/>
            <w:u w:val="single"/>
            <w:lang w:eastAsia="pt-BR"/>
            <w14:ligatures w14:val="none"/>
          </w:rPr>
          <w:t>https://www.who.int/publications/i/item/ottawa-charter-for-health-promotion</w:t>
        </w:r>
      </w:hyperlink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. Acesso em: 15 out. 2025.</w:t>
      </w:r>
    </w:p>
    <w:p w14:paraId="49BC5080" w14:textId="77777777" w:rsidR="003B13CF" w:rsidRPr="003B13CF" w:rsidRDefault="003B13CF" w:rsidP="003B13CF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SOLAR, </w:t>
      </w:r>
      <w:proofErr w:type="spellStart"/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Orielle</w:t>
      </w:r>
      <w:proofErr w:type="spellEnd"/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; IRWIN, Alec. </w:t>
      </w:r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 xml:space="preserve">A conceptual framework for </w:t>
      </w:r>
      <w:proofErr w:type="spellStart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action</w:t>
      </w:r>
      <w:proofErr w:type="spellEnd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on</w:t>
      </w:r>
      <w:proofErr w:type="spellEnd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determinants</w:t>
      </w:r>
      <w:proofErr w:type="spellEnd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health</w:t>
      </w:r>
      <w:proofErr w:type="spellEnd"/>
      <w:r w:rsidRPr="003B13CF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.</w:t>
      </w:r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Geneva: World Health </w:t>
      </w:r>
      <w:proofErr w:type="spellStart"/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Organization</w:t>
      </w:r>
      <w:proofErr w:type="spellEnd"/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, 2010. Disponível em: </w:t>
      </w:r>
      <w:hyperlink r:id="rId9" w:tgtFrame="_new" w:history="1">
        <w:r w:rsidRPr="003B13CF">
          <w:rPr>
            <w:rFonts w:ascii="Arial" w:eastAsia="Times New Roman" w:hAnsi="Arial" w:cs="Arial"/>
            <w:color w:val="0000FF"/>
            <w:kern w:val="0"/>
            <w:sz w:val="24"/>
            <w:szCs w:val="24"/>
            <w:u w:val="single"/>
            <w:lang w:eastAsia="pt-BR"/>
            <w14:ligatures w14:val="none"/>
          </w:rPr>
          <w:t>https://www.who.int/publications/i/item/9789241500852</w:t>
        </w:r>
      </w:hyperlink>
      <w:r w:rsidRPr="003B13CF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. Acesso em: 15 out. 2025.</w:t>
      </w:r>
    </w:p>
    <w:p w14:paraId="79BEE3E7" w14:textId="77777777" w:rsidR="001E54C1" w:rsidRPr="003B13CF" w:rsidRDefault="001E54C1" w:rsidP="003B13CF">
      <w:pPr>
        <w:pStyle w:val="TtulosNoNumerados"/>
      </w:pPr>
    </w:p>
    <w:p w14:paraId="61126B4C" w14:textId="77777777" w:rsidR="001E54C1" w:rsidRPr="003B13CF" w:rsidRDefault="001E54C1" w:rsidP="003B13CF">
      <w:pPr>
        <w:pStyle w:val="TtulosNoNumerados"/>
      </w:pPr>
    </w:p>
    <w:p w14:paraId="361B03A7" w14:textId="77777777" w:rsidR="001E54C1" w:rsidRDefault="001E54C1">
      <w:pPr>
        <w:pStyle w:val="TtulosNoNumerados"/>
      </w:pPr>
    </w:p>
    <w:p w14:paraId="3CB62C86" w14:textId="77777777" w:rsidR="00E31A9B" w:rsidRDefault="00E31A9B">
      <w:pPr>
        <w:pStyle w:val="TtulosNoNumerados"/>
      </w:pP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4C446D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41851" w14:textId="77777777" w:rsidR="00585D63" w:rsidRDefault="00585D63" w:rsidP="00026BCD">
      <w:pPr>
        <w:spacing w:line="240" w:lineRule="auto"/>
      </w:pPr>
      <w:r>
        <w:separator/>
      </w:r>
    </w:p>
  </w:endnote>
  <w:endnote w:type="continuationSeparator" w:id="0">
    <w:p w14:paraId="3A9AC45B" w14:textId="77777777" w:rsidR="00585D63" w:rsidRDefault="00585D63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33F45" w14:textId="77777777" w:rsidR="00585D63" w:rsidRDefault="00585D63" w:rsidP="00026BCD">
      <w:pPr>
        <w:spacing w:line="240" w:lineRule="auto"/>
      </w:pPr>
      <w:r>
        <w:separator/>
      </w:r>
    </w:p>
  </w:footnote>
  <w:footnote w:type="continuationSeparator" w:id="0">
    <w:p w14:paraId="696BD239" w14:textId="77777777" w:rsidR="00585D63" w:rsidRDefault="00585D63" w:rsidP="00026BCD">
      <w:pPr>
        <w:spacing w:line="240" w:lineRule="auto"/>
      </w:pPr>
      <w:r>
        <w:continuationSeparator/>
      </w:r>
    </w:p>
  </w:footnote>
  <w:footnote w:id="1">
    <w:p w14:paraId="561C540A" w14:textId="77777777" w:rsidR="00705D0C" w:rsidRDefault="00705D0C" w:rsidP="00705D0C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>
        <w:rPr>
          <w:rFonts w:ascii="Arial" w:eastAsia="Arial" w:hAnsi="Arial" w:cs="Arial"/>
        </w:rPr>
        <w:t>Doutor, Unifebe, Brusque, Santa Catarina, Brasil, wagner.estacio@unifebe.edu.br</w:t>
      </w:r>
    </w:p>
  </w:footnote>
  <w:footnote w:id="2">
    <w:p w14:paraId="17D0D768" w14:textId="77777777" w:rsidR="00705D0C" w:rsidRDefault="00705D0C" w:rsidP="00705D0C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>
        <w:rPr>
          <w:rFonts w:ascii="Arial" w:eastAsia="Arial" w:hAnsi="Arial" w:cs="Arial"/>
        </w:rPr>
        <w:t>Acadêmico de Educação Física</w:t>
      </w:r>
      <w:r w:rsidRPr="35BB4FFD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Unifebe</w:t>
      </w:r>
      <w:r w:rsidRPr="35BB4FFD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Brusque</w:t>
      </w:r>
      <w:r w:rsidRPr="35BB4FFD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Santa Catarina</w:t>
      </w:r>
      <w:r w:rsidRPr="35BB4FFD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Brasil</w:t>
      </w:r>
      <w:r w:rsidRPr="35BB4FFD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matheus.comper@unifebe.edu.br</w:t>
      </w:r>
    </w:p>
  </w:footnote>
  <w:footnote w:id="3">
    <w:p w14:paraId="41E4671B" w14:textId="77777777" w:rsidR="00705D0C" w:rsidRDefault="00705D0C" w:rsidP="00705D0C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>
        <w:rPr>
          <w:rFonts w:ascii="Arial" w:eastAsia="Arial" w:hAnsi="Arial" w:cs="Arial"/>
        </w:rPr>
        <w:t>Acadêmica de Educação Física</w:t>
      </w:r>
      <w:r w:rsidRPr="35BB4FFD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Unifebe</w:t>
      </w:r>
      <w:r w:rsidRPr="35BB4FFD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Brusque</w:t>
      </w:r>
      <w:r w:rsidRPr="35BB4FFD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Santa Catarina</w:t>
      </w:r>
      <w:r w:rsidRPr="35BB4FFD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Brasil</w:t>
      </w:r>
      <w:r w:rsidRPr="35BB4FFD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camile.lemos@unifebe.edu.br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D4380"/>
    <w:rsid w:val="00114D6E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54C59"/>
    <w:rsid w:val="0029403C"/>
    <w:rsid w:val="00297730"/>
    <w:rsid w:val="002A6224"/>
    <w:rsid w:val="002D4387"/>
    <w:rsid w:val="002E5744"/>
    <w:rsid w:val="0030144E"/>
    <w:rsid w:val="0030158D"/>
    <w:rsid w:val="003063C9"/>
    <w:rsid w:val="00390C0D"/>
    <w:rsid w:val="00391E0A"/>
    <w:rsid w:val="00391F87"/>
    <w:rsid w:val="003A16B9"/>
    <w:rsid w:val="003A53FB"/>
    <w:rsid w:val="003B13CF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15A81"/>
    <w:rsid w:val="00522804"/>
    <w:rsid w:val="00526D12"/>
    <w:rsid w:val="00531E8C"/>
    <w:rsid w:val="0057474E"/>
    <w:rsid w:val="00576DF9"/>
    <w:rsid w:val="00585D63"/>
    <w:rsid w:val="00597F8A"/>
    <w:rsid w:val="005A2B0A"/>
    <w:rsid w:val="005C5724"/>
    <w:rsid w:val="005C58D8"/>
    <w:rsid w:val="005D3A9E"/>
    <w:rsid w:val="0060173B"/>
    <w:rsid w:val="006017C1"/>
    <w:rsid w:val="006032B4"/>
    <w:rsid w:val="006306D9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5D0C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12F49"/>
    <w:rsid w:val="00816D36"/>
    <w:rsid w:val="00823FCA"/>
    <w:rsid w:val="00836A3A"/>
    <w:rsid w:val="008562B7"/>
    <w:rsid w:val="00865FF8"/>
    <w:rsid w:val="0087040B"/>
    <w:rsid w:val="00892CA9"/>
    <w:rsid w:val="008967EE"/>
    <w:rsid w:val="008B42F9"/>
    <w:rsid w:val="008B711F"/>
    <w:rsid w:val="008C02E5"/>
    <w:rsid w:val="008C6DFB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3F29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262FA"/>
    <w:rsid w:val="00D4622B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31A9B"/>
    <w:rsid w:val="00E34473"/>
    <w:rsid w:val="00E406F6"/>
    <w:rsid w:val="00E57BDA"/>
    <w:rsid w:val="00E65BC9"/>
    <w:rsid w:val="00E73320"/>
    <w:rsid w:val="00E91D9C"/>
    <w:rsid w:val="00EC1F91"/>
    <w:rsid w:val="00ED4385"/>
    <w:rsid w:val="00ED7BE5"/>
    <w:rsid w:val="00EE2639"/>
    <w:rsid w:val="00F27CE0"/>
    <w:rsid w:val="00F32F47"/>
    <w:rsid w:val="00F46CF2"/>
    <w:rsid w:val="00F647DC"/>
    <w:rsid w:val="00F72FD3"/>
    <w:rsid w:val="00F97363"/>
    <w:rsid w:val="00F97C22"/>
    <w:rsid w:val="00FB63FF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publications/i/item/ottawa-charter-for-health-promotion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who.int/publications/i/item/9789241500852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1902</Words>
  <Characters>10273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Wagner Estácio de Paula</cp:lastModifiedBy>
  <cp:revision>6</cp:revision>
  <dcterms:created xsi:type="dcterms:W3CDTF">2025-10-29T01:44:00Z</dcterms:created>
  <dcterms:modified xsi:type="dcterms:W3CDTF">2025-10-29T01:56:00Z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