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211" w14:textId="762CA66C" w:rsidR="00795BF1" w:rsidRDefault="008472D6" w:rsidP="00815036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0" w:after="0" w:line="360" w:lineRule="auto"/>
        <w:ind w:left="5" w:hanging="7"/>
        <w:jc w:val="left"/>
        <w:rPr>
          <w:rFonts w:ascii="Open Sans" w:eastAsia="Open Sans" w:hAnsi="Open Sans" w:cs="Open Sans"/>
          <w:sz w:val="40"/>
          <w:szCs w:val="40"/>
        </w:rPr>
      </w:pPr>
      <w:r>
        <w:rPr>
          <w:rFonts w:ascii="Open Sans" w:eastAsia="Open Sans" w:hAnsi="Open Sans" w:cs="Open Sans"/>
          <w:color w:val="C0C0C0"/>
          <w:sz w:val="72"/>
          <w:szCs w:val="72"/>
        </w:rPr>
        <w:t xml:space="preserve">Resultado de Pesquisa </w:t>
      </w:r>
    </w:p>
    <w:p w14:paraId="68F90943" w14:textId="77777777" w:rsidR="002750EF" w:rsidRPr="002750EF" w:rsidRDefault="002750EF" w:rsidP="002750EF">
      <w:pPr>
        <w:spacing w:before="240" w:after="360"/>
        <w:ind w:left="2" w:hanging="4"/>
        <w:jc w:val="center"/>
        <w:rPr>
          <w:rFonts w:ascii="Open Sans" w:eastAsia="Times New Roman" w:hAnsi="Open Sans" w:cs="Times New Roman"/>
          <w:b/>
          <w:sz w:val="40"/>
          <w:szCs w:val="40"/>
        </w:rPr>
      </w:pPr>
      <w:r w:rsidRPr="002750EF">
        <w:rPr>
          <w:rFonts w:ascii="Open Sans" w:eastAsia="Times New Roman" w:hAnsi="Open Sans" w:cs="Times New Roman"/>
          <w:b/>
          <w:sz w:val="40"/>
          <w:szCs w:val="40"/>
        </w:rPr>
        <w:t>ABORDAGEM DA TEM</w:t>
      </w:r>
      <w:r w:rsidRPr="002750EF">
        <w:rPr>
          <w:rFonts w:ascii="Open Sans" w:eastAsia="Times New Roman" w:hAnsi="Open Sans" w:cs="Times New Roman" w:hint="eastAsia"/>
          <w:b/>
          <w:sz w:val="40"/>
          <w:szCs w:val="40"/>
        </w:rPr>
        <w:t>Á</w:t>
      </w:r>
      <w:r w:rsidRPr="002750EF">
        <w:rPr>
          <w:rFonts w:ascii="Open Sans" w:eastAsia="Times New Roman" w:hAnsi="Open Sans" w:cs="Times New Roman"/>
          <w:b/>
          <w:sz w:val="40"/>
          <w:szCs w:val="40"/>
        </w:rPr>
        <w:t xml:space="preserve">TICA </w:t>
      </w:r>
      <w:r w:rsidRPr="002750EF">
        <w:rPr>
          <w:rFonts w:ascii="Open Sans" w:eastAsia="Times New Roman" w:hAnsi="Open Sans" w:cs="Times New Roman" w:hint="eastAsia"/>
          <w:b/>
          <w:sz w:val="40"/>
          <w:szCs w:val="40"/>
        </w:rPr>
        <w:t>“</w:t>
      </w:r>
      <w:r w:rsidRPr="002750EF">
        <w:rPr>
          <w:rFonts w:ascii="Open Sans" w:eastAsia="Times New Roman" w:hAnsi="Open Sans" w:cs="Times New Roman"/>
          <w:b/>
          <w:sz w:val="40"/>
          <w:szCs w:val="40"/>
        </w:rPr>
        <w:t>ALIMENTOS</w:t>
      </w:r>
      <w:r w:rsidRPr="002750EF">
        <w:rPr>
          <w:rFonts w:ascii="Open Sans" w:eastAsia="Times New Roman" w:hAnsi="Open Sans" w:cs="Times New Roman" w:hint="eastAsia"/>
          <w:b/>
          <w:sz w:val="40"/>
          <w:szCs w:val="40"/>
        </w:rPr>
        <w:t>”</w:t>
      </w:r>
      <w:r w:rsidRPr="002750EF">
        <w:rPr>
          <w:rFonts w:ascii="Open Sans" w:eastAsia="Times New Roman" w:hAnsi="Open Sans" w:cs="Times New Roman"/>
          <w:b/>
          <w:sz w:val="40"/>
          <w:szCs w:val="40"/>
        </w:rPr>
        <w:t xml:space="preserve"> NO ENSINO DE CI</w:t>
      </w:r>
      <w:r w:rsidRPr="002750EF">
        <w:rPr>
          <w:rFonts w:ascii="Open Sans" w:eastAsia="Times New Roman" w:hAnsi="Open Sans" w:cs="Times New Roman" w:hint="eastAsia"/>
          <w:b/>
          <w:sz w:val="40"/>
          <w:szCs w:val="40"/>
        </w:rPr>
        <w:t>Ê</w:t>
      </w:r>
      <w:r w:rsidRPr="002750EF">
        <w:rPr>
          <w:rFonts w:ascii="Open Sans" w:eastAsia="Times New Roman" w:hAnsi="Open Sans" w:cs="Times New Roman"/>
          <w:b/>
          <w:sz w:val="40"/>
          <w:szCs w:val="40"/>
        </w:rPr>
        <w:t>NCIAS: uma revisão de pesquisas publicadas nos anais do ENEBIO e ENPEC (2018-2021)</w:t>
      </w:r>
    </w:p>
    <w:p w14:paraId="394EA003" w14:textId="77777777" w:rsidR="002750EF" w:rsidRPr="00815036" w:rsidRDefault="002750EF" w:rsidP="00815036">
      <w:pPr>
        <w:spacing w:before="0" w:after="0"/>
        <w:ind w:leftChars="0" w:left="0" w:firstLineChars="0" w:firstLine="0"/>
        <w:jc w:val="right"/>
        <w:rPr>
          <w:rFonts w:ascii="Open Sans" w:eastAsia="Times New Roman" w:hAnsi="Open Sans" w:cs="Times New Roman"/>
          <w:b/>
          <w:sz w:val="28"/>
          <w:szCs w:val="28"/>
        </w:rPr>
      </w:pPr>
      <w:r w:rsidRPr="00815036">
        <w:rPr>
          <w:rFonts w:ascii="Open Sans" w:eastAsia="Times New Roman" w:hAnsi="Open Sans" w:cs="Times New Roman"/>
          <w:b/>
          <w:sz w:val="28"/>
          <w:szCs w:val="28"/>
        </w:rPr>
        <w:t>Vanessa Santiago Araujo</w:t>
      </w:r>
    </w:p>
    <w:p w14:paraId="6DD0D1B8" w14:textId="29A4901C" w:rsidR="00815036" w:rsidRPr="00815036" w:rsidRDefault="00815036" w:rsidP="00815036">
      <w:pPr>
        <w:spacing w:before="0" w:after="0"/>
        <w:ind w:leftChars="0" w:left="0" w:firstLineChars="0" w:firstLine="0"/>
        <w:jc w:val="right"/>
        <w:rPr>
          <w:rFonts w:ascii="Open Sans" w:eastAsia="Times New Roman" w:hAnsi="Open Sans" w:cs="Times New Roman"/>
          <w:b/>
          <w:sz w:val="28"/>
          <w:szCs w:val="28"/>
        </w:rPr>
      </w:pPr>
      <w:r w:rsidRPr="00815036">
        <w:rPr>
          <w:rFonts w:ascii="Open Sans" w:eastAsia="Times New Roman" w:hAnsi="Open Sans" w:cs="Times New Roman"/>
          <w:b/>
          <w:sz w:val="28"/>
          <w:szCs w:val="28"/>
        </w:rPr>
        <w:t>(UFNT</w:t>
      </w:r>
      <w:r>
        <w:rPr>
          <w:rFonts w:ascii="Open Sans" w:eastAsia="Times New Roman" w:hAnsi="Open Sans" w:cs="Times New Roman"/>
          <w:b/>
          <w:sz w:val="28"/>
          <w:szCs w:val="28"/>
        </w:rPr>
        <w:t>-</w:t>
      </w:r>
      <w:r w:rsidRPr="00815036">
        <w:rPr>
          <w:rFonts w:ascii="Open Sans" w:eastAsia="Times New Roman" w:hAnsi="Open Sans" w:cs="Times New Roman"/>
          <w:b/>
          <w:sz w:val="28"/>
          <w:szCs w:val="28"/>
        </w:rPr>
        <w:t xml:space="preserve"> PPGecim, </w:t>
      </w:r>
      <w:hyperlink r:id="rId8" w:history="1">
        <w:r w:rsidRPr="00815036">
          <w:rPr>
            <w:rStyle w:val="Hyperlink"/>
            <w:rFonts w:ascii="Open Sans" w:eastAsia="Times New Roman" w:hAnsi="Open Sans" w:cs="Times New Roman"/>
            <w:b/>
            <w:color w:val="auto"/>
            <w:sz w:val="28"/>
            <w:szCs w:val="28"/>
            <w:u w:val="none"/>
          </w:rPr>
          <w:t>vanesinhasanti@gmail.com</w:t>
        </w:r>
      </w:hyperlink>
      <w:r w:rsidRPr="00815036">
        <w:rPr>
          <w:rFonts w:ascii="Open Sans" w:eastAsia="Times New Roman" w:hAnsi="Open Sans" w:cs="Times New Roman"/>
          <w:b/>
          <w:sz w:val="28"/>
          <w:szCs w:val="28"/>
        </w:rPr>
        <w:t>)</w:t>
      </w:r>
    </w:p>
    <w:p w14:paraId="3E0FBCD2" w14:textId="3BDECFA5" w:rsidR="00AA53E7" w:rsidRPr="00815036" w:rsidRDefault="00AA53E7" w:rsidP="00815036">
      <w:pPr>
        <w:spacing w:before="0" w:after="0"/>
        <w:ind w:leftChars="0" w:left="0" w:firstLineChars="0" w:firstLine="0"/>
        <w:jc w:val="right"/>
        <w:rPr>
          <w:rFonts w:ascii="Open Sans" w:eastAsia="Times New Roman" w:hAnsi="Open Sans" w:cs="Times New Roman"/>
          <w:b/>
          <w:sz w:val="28"/>
          <w:szCs w:val="28"/>
        </w:rPr>
      </w:pPr>
      <w:r w:rsidRPr="00815036">
        <w:rPr>
          <w:rFonts w:ascii="Open Sans" w:eastAsia="Times New Roman" w:hAnsi="Open Sans" w:cs="Times New Roman"/>
          <w:b/>
          <w:sz w:val="28"/>
          <w:szCs w:val="28"/>
        </w:rPr>
        <w:t>Karolina Martins Almeida e Silva</w:t>
      </w:r>
    </w:p>
    <w:p w14:paraId="29B212D8" w14:textId="7E876C81" w:rsidR="00AA53E7" w:rsidRPr="00815036" w:rsidRDefault="00815036" w:rsidP="00815036">
      <w:pPr>
        <w:spacing w:before="0" w:after="0"/>
        <w:ind w:leftChars="0" w:left="0" w:firstLineChars="0" w:firstLine="0"/>
        <w:jc w:val="right"/>
        <w:rPr>
          <w:rFonts w:ascii="Open Sans" w:eastAsia="Times New Roman" w:hAnsi="Open Sans" w:cs="Times New Roman"/>
          <w:b/>
          <w:sz w:val="28"/>
          <w:szCs w:val="28"/>
        </w:rPr>
      </w:pPr>
      <w:r w:rsidRPr="00815036">
        <w:rPr>
          <w:rFonts w:ascii="Open Sans" w:eastAsia="Times New Roman" w:hAnsi="Open Sans" w:cs="Times New Roman"/>
          <w:b/>
          <w:sz w:val="28"/>
          <w:szCs w:val="28"/>
        </w:rPr>
        <w:t>(UFNT</w:t>
      </w:r>
      <w:r>
        <w:rPr>
          <w:rFonts w:ascii="Open Sans" w:eastAsia="Times New Roman" w:hAnsi="Open Sans" w:cs="Times New Roman"/>
          <w:b/>
          <w:sz w:val="28"/>
          <w:szCs w:val="28"/>
        </w:rPr>
        <w:t xml:space="preserve"> - </w:t>
      </w:r>
      <w:r w:rsidRPr="00815036">
        <w:rPr>
          <w:rFonts w:ascii="Open Sans" w:eastAsia="Times New Roman" w:hAnsi="Open Sans" w:cs="Times New Roman"/>
          <w:b/>
          <w:sz w:val="28"/>
          <w:szCs w:val="28"/>
        </w:rPr>
        <w:t>PPGecim, karolina.martins@uft.edu.br)</w:t>
      </w:r>
    </w:p>
    <w:p w14:paraId="2F89B3A0" w14:textId="77777777" w:rsidR="00AA53E7" w:rsidRDefault="00AA53E7" w:rsidP="00815036">
      <w:pPr>
        <w:tabs>
          <w:tab w:val="left" w:pos="2091"/>
          <w:tab w:val="center" w:pos="4607"/>
        </w:tabs>
        <w:spacing w:before="0" w:after="0"/>
        <w:ind w:leftChars="0" w:left="3969" w:right="85" w:firstLineChars="0" w:firstLine="0"/>
        <w:jc w:val="right"/>
        <w:rPr>
          <w:rFonts w:ascii="Open Sans" w:eastAsia="Times New Roman" w:hAnsi="Open Sans" w:cs="Times New Roman"/>
          <w:sz w:val="28"/>
          <w:szCs w:val="28"/>
        </w:rPr>
      </w:pPr>
    </w:p>
    <w:p w14:paraId="3CFDA27B" w14:textId="77777777" w:rsidR="00795BF1" w:rsidRDefault="00182474" w:rsidP="00182474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left="0" w:firstLineChars="0" w:firstLine="0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0" w:name="_heading=h.30j0zll" w:colFirst="0" w:colLast="0"/>
      <w:bookmarkStart w:id="1" w:name="bookmark=id.1fob9te" w:colFirst="0" w:colLast="0"/>
      <w:bookmarkEnd w:id="0"/>
      <w:bookmarkEnd w:id="1"/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I </w:t>
      </w:r>
      <w:r w:rsidR="008472D6">
        <w:rPr>
          <w:rFonts w:ascii="Open Sans" w:eastAsia="Open Sans" w:hAnsi="Open Sans" w:cs="Open Sans"/>
          <w:b/>
          <w:color w:val="000000"/>
          <w:sz w:val="40"/>
          <w:szCs w:val="40"/>
        </w:rPr>
        <w:t>Apresentação e Justificativa</w:t>
      </w:r>
    </w:p>
    <w:p w14:paraId="32B44499" w14:textId="77777777" w:rsidR="0060673E" w:rsidRDefault="00182474" w:rsidP="0024663C">
      <w:pPr>
        <w:spacing w:line="360" w:lineRule="auto"/>
        <w:ind w:left="0" w:hanging="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pesquisa desenvolvida </w:t>
      </w:r>
      <w:r w:rsidR="000B43CA">
        <w:rPr>
          <w:rFonts w:ascii="Open Sans" w:eastAsia="Open Sans" w:hAnsi="Open Sans" w:cs="Open Sans"/>
        </w:rPr>
        <w:t>aborda a temática “Alimentação” uma revisão bibliografica dos trabalhos apresentados nos eventos da área (EPEC E ENEBIO 2018 a 2021) para relaizar um levantamento das estratégias utilizadas para desenvolver a temática em</w:t>
      </w:r>
      <w:r w:rsidR="00D76B97">
        <w:rPr>
          <w:rFonts w:ascii="Open Sans" w:eastAsia="Open Sans" w:hAnsi="Open Sans" w:cs="Open Sans"/>
        </w:rPr>
        <w:t xml:space="preserve"> sa</w:t>
      </w:r>
      <w:r w:rsidR="000B43CA">
        <w:rPr>
          <w:rFonts w:ascii="Open Sans" w:eastAsia="Open Sans" w:hAnsi="Open Sans" w:cs="Open Sans"/>
        </w:rPr>
        <w:t xml:space="preserve">la </w:t>
      </w:r>
      <w:r w:rsidR="00D76B97">
        <w:rPr>
          <w:rFonts w:ascii="Open Sans" w:eastAsia="Open Sans" w:hAnsi="Open Sans" w:cs="Open Sans"/>
        </w:rPr>
        <w:t>de aula</w:t>
      </w:r>
      <w:r w:rsidR="000B43CA">
        <w:rPr>
          <w:rFonts w:ascii="Open Sans" w:eastAsia="Open Sans" w:hAnsi="Open Sans" w:cs="Open Sans"/>
        </w:rPr>
        <w:t xml:space="preserve"> especificamento no ensino de Biologia</w:t>
      </w:r>
      <w:r w:rsidR="0060673E">
        <w:rPr>
          <w:rFonts w:ascii="Open Sans" w:eastAsia="Open Sans" w:hAnsi="Open Sans" w:cs="Open Sans"/>
        </w:rPr>
        <w:t>. A proposta</w:t>
      </w:r>
      <w:r w:rsidR="00F21B95">
        <w:rPr>
          <w:rFonts w:ascii="Open Sans" w:eastAsia="Open Sans" w:hAnsi="Open Sans" w:cs="Open Sans"/>
        </w:rPr>
        <w:t xml:space="preserve"> f</w:t>
      </w:r>
      <w:r>
        <w:rPr>
          <w:rFonts w:ascii="Open Sans" w:eastAsia="Open Sans" w:hAnsi="Open Sans" w:cs="Open Sans"/>
        </w:rPr>
        <w:t>oi de</w:t>
      </w:r>
      <w:r w:rsidR="000F6EEF">
        <w:rPr>
          <w:rFonts w:ascii="Open Sans" w:eastAsia="Open Sans" w:hAnsi="Open Sans" w:cs="Open Sans"/>
        </w:rPr>
        <w:t>lineada a</w:t>
      </w:r>
      <w:r>
        <w:rPr>
          <w:rFonts w:ascii="Open Sans" w:eastAsia="Open Sans" w:hAnsi="Open Sans" w:cs="Open Sans"/>
        </w:rPr>
        <w:t xml:space="preserve"> </w:t>
      </w:r>
      <w:r w:rsidR="000F6EEF">
        <w:rPr>
          <w:rFonts w:ascii="Open Sans" w:eastAsia="Open Sans" w:hAnsi="Open Sans" w:cs="Open Sans"/>
        </w:rPr>
        <w:t>partir</w:t>
      </w:r>
      <w:r>
        <w:rPr>
          <w:rFonts w:ascii="Open Sans" w:eastAsia="Open Sans" w:hAnsi="Open Sans" w:cs="Open Sans"/>
        </w:rPr>
        <w:t xml:space="preserve"> da realidade presenciada pela pesquisadora </w:t>
      </w:r>
      <w:r w:rsidR="000F6EEF">
        <w:rPr>
          <w:rFonts w:ascii="Open Sans" w:eastAsia="Open Sans" w:hAnsi="Open Sans" w:cs="Open Sans"/>
        </w:rPr>
        <w:t>em</w:t>
      </w:r>
      <w:r w:rsidR="00F21B95">
        <w:rPr>
          <w:rFonts w:ascii="Open Sans" w:eastAsia="Open Sans" w:hAnsi="Open Sans" w:cs="Open Sans"/>
        </w:rPr>
        <w:t xml:space="preserve"> sala de aula, visto que, a temática “Alimentação” é abordada nos documentos curriculares como necessária ao desenvolvimento de cidadãos bem</w:t>
      </w:r>
      <w:r w:rsidR="000B43CA">
        <w:rPr>
          <w:rFonts w:ascii="Open Sans" w:eastAsia="Open Sans" w:hAnsi="Open Sans" w:cs="Open Sans"/>
        </w:rPr>
        <w:t xml:space="preserve"> informados com relação à sua alimentação.</w:t>
      </w:r>
      <w:r w:rsidR="0024663C">
        <w:rPr>
          <w:rFonts w:ascii="Open Sans" w:eastAsia="Open Sans" w:hAnsi="Open Sans" w:cs="Open Sans"/>
        </w:rPr>
        <w:t xml:space="preserve"> </w:t>
      </w:r>
    </w:p>
    <w:p w14:paraId="6CB41269" w14:textId="0EADA557" w:rsidR="0060673E" w:rsidRDefault="0060673E" w:rsidP="005840CF">
      <w:pPr>
        <w:spacing w:line="360" w:lineRule="auto"/>
        <w:ind w:left="0" w:hanging="2"/>
        <w:rPr>
          <w:rFonts w:ascii="Open Sans" w:hAnsi="Open Sans" w:cs="Times New Roman"/>
        </w:rPr>
      </w:pPr>
      <w:r>
        <w:rPr>
          <w:rFonts w:ascii="Open Sans" w:hAnsi="Open Sans" w:cs="Times New Roman"/>
        </w:rPr>
        <w:t>A</w:t>
      </w:r>
      <w:r w:rsidR="00D76B97" w:rsidRPr="00D76B97">
        <w:rPr>
          <w:rFonts w:ascii="Open Sans" w:hAnsi="Open Sans" w:cs="Times New Roman"/>
        </w:rPr>
        <w:t xml:space="preserve"> B</w:t>
      </w:r>
      <w:r>
        <w:rPr>
          <w:rFonts w:ascii="Open Sans" w:hAnsi="Open Sans" w:cs="Times New Roman"/>
        </w:rPr>
        <w:t xml:space="preserve">ase Nacional Comum Curricular </w:t>
      </w:r>
      <w:r w:rsidR="00D76B97" w:rsidRPr="00D76B97">
        <w:rPr>
          <w:rFonts w:ascii="Open Sans" w:hAnsi="Open Sans" w:cs="Times New Roman"/>
        </w:rPr>
        <w:t xml:space="preserve">(2017) explicita trechos sobre a importância da nutrição no Ensino de Ciências enfatizando que o currículo é organizado por áreas de </w:t>
      </w:r>
      <w:r>
        <w:rPr>
          <w:rFonts w:ascii="Open Sans" w:hAnsi="Open Sans" w:cs="Times New Roman"/>
        </w:rPr>
        <w:br w:type="page"/>
      </w:r>
    </w:p>
    <w:p w14:paraId="303E15F0" w14:textId="77777777" w:rsidR="0060673E" w:rsidRDefault="00D76B97" w:rsidP="0024663C">
      <w:pPr>
        <w:spacing w:line="360" w:lineRule="auto"/>
        <w:ind w:left="0" w:hanging="2"/>
        <w:rPr>
          <w:rFonts w:ascii="Open Sans" w:eastAsia="Open Sans" w:hAnsi="Open Sans" w:cs="Open Sans"/>
        </w:rPr>
      </w:pPr>
      <w:r w:rsidRPr="00D76B97">
        <w:rPr>
          <w:rFonts w:ascii="Open Sans" w:hAnsi="Open Sans" w:cs="Times New Roman"/>
        </w:rPr>
        <w:lastRenderedPageBreak/>
        <w:t xml:space="preserve">conhecimento e assim, propõe que as </w:t>
      </w:r>
      <w:r w:rsidRPr="00D76B97">
        <w:rPr>
          <w:rFonts w:ascii="Open Sans" w:eastAsia="Times" w:hAnsi="Open Sans" w:cs="Times New Roman"/>
        </w:rPr>
        <w:t xml:space="preserve">Ciências da Natureza </w:t>
      </w:r>
      <w:r w:rsidRPr="00D76B97">
        <w:rPr>
          <w:rFonts w:ascii="Open Sans" w:hAnsi="Open Sans" w:cs="Times New Roman"/>
        </w:rPr>
        <w:t>e suas Tecnologias possibilitem</w:t>
      </w:r>
      <w:r w:rsidRPr="00D76B97">
        <w:rPr>
          <w:rFonts w:ascii="Open Sans" w:eastAsia="Times" w:hAnsi="Open Sans" w:cs="Times New Roman"/>
        </w:rPr>
        <w:t xml:space="preserve"> o aprofundamento de conhecimentos estruturantes para a aplicação de vários conceitos no contexto social e organizando o currículo de maneira que permita estudos de diversas áreas da biologia, inclusive da nutrição (BRA</w:t>
      </w:r>
      <w:r w:rsidR="0060673E">
        <w:rPr>
          <w:rFonts w:ascii="Open Sans" w:eastAsia="Times" w:hAnsi="Open Sans" w:cs="Times New Roman"/>
        </w:rPr>
        <w:t>S</w:t>
      </w:r>
      <w:r w:rsidRPr="00D76B97">
        <w:rPr>
          <w:rFonts w:ascii="Open Sans" w:eastAsia="Times" w:hAnsi="Open Sans" w:cs="Times New Roman"/>
        </w:rPr>
        <w:t>IL, 2017)</w:t>
      </w:r>
      <w:r w:rsidR="0024663C">
        <w:rPr>
          <w:rFonts w:ascii="Open Sans" w:eastAsia="Open Sans" w:hAnsi="Open Sans" w:cs="Open Sans"/>
        </w:rPr>
        <w:t xml:space="preserve">. </w:t>
      </w:r>
    </w:p>
    <w:p w14:paraId="694F13AF" w14:textId="0FEA72AD" w:rsidR="00517AFB" w:rsidRPr="0024663C" w:rsidRDefault="00517AFB" w:rsidP="0024663C">
      <w:pPr>
        <w:spacing w:line="360" w:lineRule="auto"/>
        <w:ind w:left="0" w:hanging="2"/>
        <w:rPr>
          <w:rFonts w:ascii="Open Sans" w:eastAsia="Open Sans" w:hAnsi="Open Sans" w:cs="Open Sans"/>
        </w:rPr>
      </w:pPr>
      <w:r w:rsidRPr="00517AFB">
        <w:rPr>
          <w:rFonts w:ascii="Open Sans" w:eastAsia="Times" w:hAnsi="Open Sans" w:cs="Times New Roman"/>
        </w:rPr>
        <w:t>Mediante à diversidade que a temática “alimentos” poderá ser abordada no ensino de ciências e biologia, nos questionamos: Que encaminhamentos são apresentados por pesquisadores da área de Educação/Ensino de Ciências? Quais objetivos das pesquisas sobre o tema alimentação? Quais as estratégias de ensino vêm sendo abordadas?</w:t>
      </w:r>
    </w:p>
    <w:p w14:paraId="19B319F6" w14:textId="77777777" w:rsidR="00795BF1" w:rsidRDefault="00517AFB" w:rsidP="00B80752">
      <w:pPr>
        <w:spacing w:line="360" w:lineRule="auto"/>
        <w:ind w:left="0" w:hanging="2"/>
        <w:rPr>
          <w:rFonts w:ascii="Open Sans" w:eastAsia="Open Sans" w:hAnsi="Open Sans" w:cs="Open Sans"/>
        </w:rPr>
      </w:pPr>
      <w:r w:rsidRPr="00517AFB">
        <w:rPr>
          <w:rFonts w:ascii="Open Sans" w:eastAsia="Times New Roman" w:hAnsi="Open Sans" w:cs="Times New Roman"/>
        </w:rPr>
        <w:t>Consideramos que essa revisão poderá sinalizar encaminhamentos importantes para fomentar novas pesquisas sobre a temática, e até mesmo para fundamentar as propostas de ensino para abordagem da temática em sala de aula.</w:t>
      </w:r>
    </w:p>
    <w:p w14:paraId="06F7AFBD" w14:textId="77777777" w:rsidR="00795BF1" w:rsidRDefault="00517AFB" w:rsidP="00517AFB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left="0" w:firstLineChars="0" w:firstLine="0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II </w:t>
      </w:r>
      <w:r w:rsidR="008472D6">
        <w:rPr>
          <w:rFonts w:ascii="Open Sans" w:eastAsia="Open Sans" w:hAnsi="Open Sans" w:cs="Open Sans"/>
          <w:b/>
          <w:color w:val="000000"/>
          <w:sz w:val="40"/>
          <w:szCs w:val="40"/>
        </w:rPr>
        <w:t>Objetivos</w:t>
      </w:r>
    </w:p>
    <w:p w14:paraId="671D9011" w14:textId="109E9694" w:rsidR="00517AFB" w:rsidRPr="00815036" w:rsidRDefault="00815036" w:rsidP="00517AFB">
      <w:pPr>
        <w:widowControl w:val="0"/>
        <w:tabs>
          <w:tab w:val="left" w:pos="0"/>
          <w:tab w:val="left" w:pos="220"/>
        </w:tabs>
        <w:spacing w:line="360" w:lineRule="auto"/>
        <w:ind w:left="-2" w:firstLineChars="0" w:firstLine="0"/>
        <w:rPr>
          <w:rFonts w:ascii="Open Sans" w:eastAsia="Times New Roman" w:hAnsi="Open Sans" w:cs="Open Sans"/>
          <w:bCs/>
        </w:rPr>
      </w:pPr>
      <w:r w:rsidRPr="00815036">
        <w:rPr>
          <w:rFonts w:ascii="Open Sans" w:eastAsia="Times New Roman" w:hAnsi="Open Sans" w:cs="Open Sans"/>
          <w:bCs/>
        </w:rPr>
        <w:t xml:space="preserve">Geral: </w:t>
      </w:r>
      <w:r w:rsidR="00517AFB" w:rsidRPr="00815036">
        <w:rPr>
          <w:rFonts w:ascii="Open Sans" w:eastAsia="Times New Roman" w:hAnsi="Open Sans" w:cs="Open Sans"/>
          <w:bCs/>
        </w:rPr>
        <w:t xml:space="preserve">Identificar que encaminhamentos vêm sendo abordados em trabalhos publicados em anais do ENPEC e ENEBIO (2018-2021) sobre a temática “alimentação”. </w:t>
      </w:r>
    </w:p>
    <w:p w14:paraId="13F59DB4" w14:textId="061CA871" w:rsidR="00795BF1" w:rsidRDefault="00815036" w:rsidP="00B80752">
      <w:pPr>
        <w:widowControl w:val="0"/>
        <w:tabs>
          <w:tab w:val="left" w:pos="0"/>
          <w:tab w:val="left" w:pos="220"/>
        </w:tabs>
        <w:spacing w:line="360" w:lineRule="auto"/>
        <w:ind w:left="-2" w:firstLineChars="0" w:firstLine="0"/>
        <w:rPr>
          <w:rFonts w:ascii="Open Sans" w:eastAsia="Times New Roman" w:hAnsi="Open Sans" w:cs="Open Sans"/>
          <w:bCs/>
        </w:rPr>
      </w:pPr>
      <w:r w:rsidRPr="00815036">
        <w:rPr>
          <w:rFonts w:ascii="Open Sans" w:eastAsia="Times New Roman" w:hAnsi="Open Sans" w:cs="Open Sans"/>
          <w:bCs/>
        </w:rPr>
        <w:t xml:space="preserve">Específicos: a) </w:t>
      </w:r>
      <w:r w:rsidR="00517AFB" w:rsidRPr="00815036">
        <w:rPr>
          <w:rFonts w:ascii="Open Sans" w:eastAsia="Times New Roman" w:hAnsi="Open Sans" w:cs="Open Sans"/>
          <w:bCs/>
        </w:rPr>
        <w:t xml:space="preserve">Identificar quais objetivos </w:t>
      </w:r>
      <w:r w:rsidR="00B80752" w:rsidRPr="00815036">
        <w:rPr>
          <w:rFonts w:ascii="Open Sans" w:eastAsia="Times New Roman" w:hAnsi="Open Sans" w:cs="Open Sans"/>
          <w:bCs/>
        </w:rPr>
        <w:t xml:space="preserve">foram </w:t>
      </w:r>
      <w:r>
        <w:rPr>
          <w:rFonts w:ascii="Open Sans" w:eastAsia="Times New Roman" w:hAnsi="Open Sans" w:cs="Open Sans"/>
          <w:bCs/>
        </w:rPr>
        <w:t>indicados</w:t>
      </w:r>
      <w:r w:rsidR="00B80752" w:rsidRPr="00815036">
        <w:rPr>
          <w:rFonts w:ascii="Open Sans" w:eastAsia="Times New Roman" w:hAnsi="Open Sans" w:cs="Open Sans"/>
          <w:bCs/>
        </w:rPr>
        <w:t xml:space="preserve"> pelos autores</w:t>
      </w:r>
      <w:r w:rsidRPr="00815036">
        <w:rPr>
          <w:rFonts w:ascii="Open Sans" w:eastAsia="Times New Roman" w:hAnsi="Open Sans" w:cs="Open Sans"/>
          <w:bCs/>
        </w:rPr>
        <w:t xml:space="preserve">; </w:t>
      </w:r>
      <w:r w:rsidR="000D00B6">
        <w:rPr>
          <w:rFonts w:ascii="Open Sans" w:eastAsia="Times New Roman" w:hAnsi="Open Sans" w:cs="Open Sans"/>
          <w:bCs/>
        </w:rPr>
        <w:t>b)</w:t>
      </w:r>
      <w:r w:rsidRPr="00815036">
        <w:rPr>
          <w:rFonts w:ascii="Open Sans" w:eastAsia="Times New Roman" w:hAnsi="Open Sans" w:cs="Open Sans"/>
          <w:bCs/>
        </w:rPr>
        <w:t xml:space="preserve"> </w:t>
      </w:r>
      <w:r w:rsidR="000D00B6">
        <w:rPr>
          <w:rFonts w:ascii="Open Sans" w:eastAsia="Times New Roman" w:hAnsi="Open Sans" w:cs="Open Sans"/>
          <w:bCs/>
        </w:rPr>
        <w:t>Evidenciar as principais estratégias de ensino utilizadas pelos autores</w:t>
      </w:r>
      <w:r w:rsidR="00517AFB" w:rsidRPr="00815036">
        <w:rPr>
          <w:rFonts w:ascii="Open Sans" w:eastAsia="Times New Roman" w:hAnsi="Open Sans" w:cs="Open Sans"/>
          <w:bCs/>
        </w:rPr>
        <w:t>.</w:t>
      </w:r>
      <w:bookmarkStart w:id="2" w:name="_heading=h.3dy6vkm" w:colFirst="0" w:colLast="0"/>
      <w:bookmarkEnd w:id="2"/>
    </w:p>
    <w:p w14:paraId="056CD22A" w14:textId="77777777" w:rsidR="0060673E" w:rsidRPr="00815036" w:rsidRDefault="0060673E" w:rsidP="00B80752">
      <w:pPr>
        <w:widowControl w:val="0"/>
        <w:tabs>
          <w:tab w:val="left" w:pos="0"/>
          <w:tab w:val="left" w:pos="220"/>
        </w:tabs>
        <w:spacing w:line="360" w:lineRule="auto"/>
        <w:ind w:left="-2" w:firstLineChars="0" w:firstLine="0"/>
        <w:rPr>
          <w:rFonts w:ascii="Open Sans" w:eastAsia="Times New Roman" w:hAnsi="Open Sans" w:cs="Open Sans"/>
          <w:bCs/>
        </w:rPr>
      </w:pPr>
    </w:p>
    <w:p w14:paraId="50AFAE99" w14:textId="63959A32" w:rsidR="00795BF1" w:rsidRPr="000D00B6" w:rsidRDefault="00B80752" w:rsidP="00B80752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left="0" w:firstLineChars="0" w:firstLine="0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r w:rsidRPr="000D00B6">
        <w:rPr>
          <w:rFonts w:ascii="Open Sans" w:eastAsia="Open Sans" w:hAnsi="Open Sans" w:cs="Open Sans"/>
          <w:b/>
          <w:color w:val="000000"/>
          <w:sz w:val="40"/>
          <w:szCs w:val="40"/>
        </w:rPr>
        <w:t xml:space="preserve">III </w:t>
      </w:r>
      <w:r w:rsidR="008472D6" w:rsidRPr="000D00B6">
        <w:rPr>
          <w:rFonts w:ascii="Open Sans" w:eastAsia="Open Sans" w:hAnsi="Open Sans" w:cs="Open Sans"/>
          <w:b/>
          <w:color w:val="000000"/>
          <w:sz w:val="40"/>
          <w:szCs w:val="40"/>
        </w:rPr>
        <w:t>Metodologia</w:t>
      </w:r>
    </w:p>
    <w:p w14:paraId="651FEAAD" w14:textId="500A175E" w:rsidR="000D00B6" w:rsidRDefault="00B80752" w:rsidP="0060673E">
      <w:pPr>
        <w:widowControl w:val="0"/>
        <w:tabs>
          <w:tab w:val="left" w:pos="0"/>
          <w:tab w:val="left" w:pos="220"/>
        </w:tabs>
        <w:spacing w:line="360" w:lineRule="auto"/>
        <w:ind w:left="0" w:hanging="2"/>
        <w:rPr>
          <w:rFonts w:ascii="Open Sans" w:eastAsia="Times" w:hAnsi="Open Sans" w:cs="Open Sans"/>
        </w:rPr>
      </w:pPr>
      <w:bookmarkStart w:id="3" w:name="_heading=h.1t3h5sf" w:colFirst="0" w:colLast="0"/>
      <w:bookmarkEnd w:id="3"/>
      <w:r w:rsidRPr="000D00B6">
        <w:rPr>
          <w:rFonts w:ascii="Open Sans" w:eastAsia="Times" w:hAnsi="Open Sans" w:cs="Open Sans"/>
        </w:rPr>
        <w:t xml:space="preserve">O presente estudo, de abordagem qualitativa, do tipo revisão bibliográfica, é parte de uma </w:t>
      </w:r>
      <w:r w:rsidR="0060673E">
        <w:rPr>
          <w:rFonts w:ascii="Open Sans" w:eastAsia="Times" w:hAnsi="Open Sans" w:cs="Open Sans"/>
        </w:rPr>
        <w:t>p</w:t>
      </w:r>
      <w:r w:rsidRPr="000D00B6">
        <w:rPr>
          <w:rFonts w:ascii="Open Sans" w:eastAsia="Times" w:hAnsi="Open Sans" w:cs="Open Sans"/>
        </w:rPr>
        <w:t>esquisa de mestrado</w:t>
      </w:r>
      <w:r w:rsidR="000D00B6">
        <w:rPr>
          <w:rFonts w:ascii="Open Sans" w:eastAsia="Times" w:hAnsi="Open Sans" w:cs="Open Sans"/>
        </w:rPr>
        <w:t xml:space="preserve"> que vem sendo desenvolvida no âmbito do Programa de Pós-Graduação em Ensino de Ciências e Matemática da UFNT. Para a revisão, adotamos critérios</w:t>
      </w:r>
      <w:r w:rsidRPr="000D00B6">
        <w:rPr>
          <w:rFonts w:ascii="Open Sans" w:eastAsia="Times" w:hAnsi="Open Sans" w:cs="Open Sans"/>
        </w:rPr>
        <w:t xml:space="preserve"> pré-definidos para a seleção dos trabalhos foram: a) Trabalhos publicados em anais do ENEBIO e ENPEC entre os anos de 2018 e 2021; b) Trabalhos com os termos: alimentos, alimentação e alimentar em seus títulos e; c) serem trabalhos referentes ao </w:t>
      </w:r>
      <w:r w:rsidRPr="000D00B6">
        <w:rPr>
          <w:rFonts w:ascii="Open Sans" w:eastAsia="Times" w:hAnsi="Open Sans" w:cs="Open Sans"/>
        </w:rPr>
        <w:lastRenderedPageBreak/>
        <w:t>ensino de ciências e biologia na Educação Básica</w:t>
      </w:r>
      <w:r w:rsidR="00FE35F2" w:rsidRPr="000D00B6">
        <w:rPr>
          <w:rFonts w:ascii="Open Sans" w:eastAsia="Times" w:hAnsi="Open Sans" w:cs="Open Sans"/>
        </w:rPr>
        <w:t xml:space="preserve">. </w:t>
      </w:r>
      <w:r w:rsidRPr="000D00B6">
        <w:rPr>
          <w:rFonts w:ascii="Open Sans" w:hAnsi="Open Sans" w:cs="Open Sans"/>
        </w:rPr>
        <w:t>Após definir os descritores “alimentação” “alimentos”, identificamos os trabalhos que deveriam contê-los nos títulos. Nessa etapa, identificamos 25 trabalhos. Após revisarmos o escopo dos trabalhos, excluímos aqueles que se identificaram de natureza</w:t>
      </w:r>
      <w:r w:rsidRPr="000D00B6">
        <w:rPr>
          <w:rFonts w:ascii="Open Sans" w:eastAsia="Times" w:hAnsi="Open Sans" w:cs="Open Sans"/>
        </w:rPr>
        <w:t xml:space="preserve"> teórica, de revisão e aqueles referentes ao Ensino Técnico e desenvolvidos no nível superior</w:t>
      </w:r>
      <w:r w:rsidR="000D00B6">
        <w:rPr>
          <w:rFonts w:ascii="Open Sans" w:eastAsia="Times" w:hAnsi="Open Sans" w:cs="Open Sans"/>
        </w:rPr>
        <w:t>. Se</w:t>
      </w:r>
      <w:r w:rsidRPr="000D00B6">
        <w:rPr>
          <w:rFonts w:ascii="Open Sans" w:eastAsia="Times" w:hAnsi="Open Sans" w:cs="Open Sans"/>
        </w:rPr>
        <w:t>ndo assim</w:t>
      </w:r>
      <w:r w:rsidR="000D00B6">
        <w:rPr>
          <w:rFonts w:ascii="Open Sans" w:eastAsia="Times" w:hAnsi="Open Sans" w:cs="Open Sans"/>
        </w:rPr>
        <w:t xml:space="preserve">, nosso </w:t>
      </w:r>
      <w:r w:rsidR="000D00B6" w:rsidRPr="0060673E">
        <w:rPr>
          <w:rFonts w:ascii="Open Sans" w:eastAsia="Times" w:hAnsi="Open Sans" w:cs="Open Sans"/>
          <w:i/>
          <w:iCs/>
        </w:rPr>
        <w:t>corpus</w:t>
      </w:r>
      <w:r w:rsidR="000D00B6">
        <w:rPr>
          <w:rFonts w:ascii="Open Sans" w:eastAsia="Times" w:hAnsi="Open Sans" w:cs="Open Sans"/>
        </w:rPr>
        <w:t xml:space="preserve"> de análise se constitui em </w:t>
      </w:r>
      <w:r w:rsidRPr="000D00B6">
        <w:rPr>
          <w:rFonts w:ascii="Open Sans" w:eastAsia="Times" w:hAnsi="Open Sans" w:cs="Open Sans"/>
        </w:rPr>
        <w:t>14 trabalhos que atenderam aos critérios elencados acima</w:t>
      </w:r>
      <w:r w:rsidR="0060673E">
        <w:rPr>
          <w:rFonts w:ascii="Open Sans" w:eastAsia="Times" w:hAnsi="Open Sans" w:cs="Open Sans"/>
        </w:rPr>
        <w:t>,</w:t>
      </w:r>
      <w:r w:rsidR="0060673E" w:rsidRPr="0060673E">
        <w:rPr>
          <w:rFonts w:ascii="Open Sans" w:eastAsia="Times" w:hAnsi="Open Sans" w:cs="Open Sans"/>
        </w:rPr>
        <w:t xml:space="preserve"> </w:t>
      </w:r>
      <w:r w:rsidR="0060673E" w:rsidRPr="000D00B6">
        <w:rPr>
          <w:rFonts w:ascii="Open Sans" w:eastAsia="Times" w:hAnsi="Open Sans" w:cs="Open Sans"/>
        </w:rPr>
        <w:t>sendo 5 oriundos do ENPEC (2019 e 2021) e 9 do ENEBIO (2018 e 2021)</w:t>
      </w:r>
      <w:r w:rsidRPr="000D00B6">
        <w:rPr>
          <w:rFonts w:ascii="Open Sans" w:eastAsia="Times" w:hAnsi="Open Sans" w:cs="Open Sans"/>
        </w:rPr>
        <w:t>. Para as análises foram elaborados quadros contendo informações que identificam cada artigo, como</w:t>
      </w:r>
      <w:r w:rsidR="00EE755E" w:rsidRPr="000D00B6">
        <w:rPr>
          <w:rFonts w:ascii="Open Sans" w:eastAsia="Times" w:hAnsi="Open Sans" w:cs="Open Sans"/>
        </w:rPr>
        <w:t xml:space="preserve"> um</w:t>
      </w:r>
      <w:r w:rsidRPr="000D00B6">
        <w:rPr>
          <w:rFonts w:ascii="Open Sans" w:eastAsia="Times" w:hAnsi="Open Sans" w:cs="Open Sans"/>
        </w:rPr>
        <w:t xml:space="preserve"> código de identificação, ano do evento, título e autores. Logo após, orga</w:t>
      </w:r>
      <w:r w:rsidR="000070AE" w:rsidRPr="000D00B6">
        <w:rPr>
          <w:rFonts w:ascii="Open Sans" w:eastAsia="Times" w:hAnsi="Open Sans" w:cs="Open Sans"/>
        </w:rPr>
        <w:t>nizamos as categorias de análise baseadas nos objetivos dos trabalhos</w:t>
      </w:r>
      <w:r w:rsidR="0060673E">
        <w:rPr>
          <w:rFonts w:ascii="Open Sans" w:eastAsia="Times" w:hAnsi="Open Sans" w:cs="Open Sans"/>
        </w:rPr>
        <w:t xml:space="preserve"> e nas estratégias de ensino</w:t>
      </w:r>
      <w:r w:rsidRPr="000D00B6">
        <w:rPr>
          <w:rFonts w:ascii="Open Sans" w:eastAsia="Times" w:hAnsi="Open Sans" w:cs="Open Sans"/>
        </w:rPr>
        <w:t>.</w:t>
      </w:r>
    </w:p>
    <w:p w14:paraId="23D07636" w14:textId="77777777" w:rsidR="0060673E" w:rsidRPr="000D00B6" w:rsidRDefault="0060673E" w:rsidP="000D00B6">
      <w:pPr>
        <w:widowControl w:val="0"/>
        <w:tabs>
          <w:tab w:val="left" w:pos="0"/>
          <w:tab w:val="left" w:pos="220"/>
        </w:tabs>
        <w:spacing w:line="360" w:lineRule="auto"/>
        <w:ind w:left="0" w:hanging="2"/>
        <w:rPr>
          <w:rFonts w:ascii="Open Sans" w:eastAsia="Times" w:hAnsi="Open Sans" w:cs="Open Sans"/>
        </w:rPr>
      </w:pPr>
    </w:p>
    <w:p w14:paraId="27031EC9" w14:textId="77777777" w:rsidR="00795BF1" w:rsidRDefault="00B80752" w:rsidP="00B80752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left="0" w:firstLineChars="0" w:firstLine="0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IV </w:t>
      </w:r>
      <w:r w:rsidR="008472D6">
        <w:rPr>
          <w:rFonts w:ascii="Open Sans" w:eastAsia="Open Sans" w:hAnsi="Open Sans" w:cs="Open Sans"/>
          <w:b/>
          <w:color w:val="000000"/>
          <w:sz w:val="44"/>
          <w:szCs w:val="44"/>
        </w:rPr>
        <w:t>Resultados</w:t>
      </w:r>
    </w:p>
    <w:p w14:paraId="24AAECC2" w14:textId="77777777" w:rsidR="0060673E" w:rsidRPr="0060673E" w:rsidRDefault="0060673E" w:rsidP="000070A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eastAsia="Times" w:hAnsi="Open Sans" w:cs="Times"/>
          <w:b/>
          <w:bCs/>
        </w:rPr>
      </w:pPr>
      <w:r w:rsidRPr="0060673E">
        <w:rPr>
          <w:rFonts w:ascii="Open Sans" w:eastAsia="Times" w:hAnsi="Open Sans" w:cs="Times"/>
          <w:b/>
          <w:bCs/>
        </w:rPr>
        <w:t>Objetivos</w:t>
      </w:r>
    </w:p>
    <w:p w14:paraId="3DC0D545" w14:textId="24C298AA" w:rsidR="000070AE" w:rsidRDefault="00A9328D" w:rsidP="000070A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eastAsia="Times" w:hAnsi="Open Sans" w:cs="Times New Roman"/>
        </w:rPr>
      </w:pPr>
      <w:r w:rsidRPr="000070AE">
        <w:rPr>
          <w:rFonts w:ascii="Open Sans" w:eastAsia="Times" w:hAnsi="Open Sans" w:cs="Times"/>
        </w:rPr>
        <w:t>Na</w:t>
      </w:r>
      <w:r w:rsidRPr="000070AE">
        <w:rPr>
          <w:rFonts w:ascii="Open Sans" w:eastAsia="Times" w:hAnsi="Open Sans" w:cs="Times"/>
          <w:b/>
          <w:bCs/>
        </w:rPr>
        <w:t xml:space="preserve"> “Categoria Hábitos, Atitudes e Valores” </w:t>
      </w:r>
      <w:r w:rsidRPr="000070AE">
        <w:rPr>
          <w:rFonts w:ascii="Open Sans" w:eastAsia="Times" w:hAnsi="Open Sans" w:cs="Times"/>
        </w:rPr>
        <w:t>estão presentes</w:t>
      </w:r>
      <w:r w:rsidRPr="000070AE">
        <w:rPr>
          <w:rFonts w:ascii="Open Sans" w:eastAsia="Times" w:hAnsi="Open Sans" w:cs="Times"/>
          <w:b/>
          <w:bCs/>
        </w:rPr>
        <w:t xml:space="preserve"> </w:t>
      </w:r>
      <w:r w:rsidRPr="000070AE">
        <w:rPr>
          <w:rFonts w:ascii="Open Sans" w:eastAsia="Times" w:hAnsi="Open Sans" w:cs="Times New Roman"/>
        </w:rPr>
        <w:t>os objetivos voltados às questões de hábitos alimentares saudáveis como foi possível constatar nos trabalhos T3 e T13, onde os autores tiveram como proposta ensinar as crianças a desenvolverem estes hábitos saudáveis, o objetivo do trabalho T4 buscou investigar valores referentes à alimentação e consumo.</w:t>
      </w:r>
      <w:r w:rsidRPr="000070AE">
        <w:rPr>
          <w:rFonts w:ascii="Open Sans" w:hAnsi="Open Sans" w:cs="Times New Roman"/>
        </w:rPr>
        <w:t xml:space="preserve"> A alimentação adequada fornece ao organismo a energia e os nutrientes necessários para o desempenho de suas funções e para a manutenção de um bom estado de saúde (LOPEZ, 2004).</w:t>
      </w:r>
      <w:r w:rsidRPr="000070AE">
        <w:rPr>
          <w:rFonts w:ascii="Open Sans" w:hAnsi="Open Sans"/>
        </w:rPr>
        <w:t xml:space="preserve"> </w:t>
      </w:r>
      <w:r w:rsidRPr="000070AE">
        <w:rPr>
          <w:rFonts w:ascii="Open Sans" w:eastAsia="Times" w:hAnsi="Open Sans" w:cs="Times New Roman"/>
        </w:rPr>
        <w:t xml:space="preserve">Já o objetivo dos trabalhos T11 e T12 foi realizar um levantamento das concepções, hábitos e valores dos alunos sobre alimentação. Conforme </w:t>
      </w:r>
      <w:r w:rsidRPr="000070AE">
        <w:rPr>
          <w:rFonts w:ascii="Open Sans" w:hAnsi="Open Sans" w:cs="Times New Roman"/>
        </w:rPr>
        <w:t>o Marco de Referência de Educação Alimentar e Nutricional para Políticas Públicas (BRASIL, 2012)</w:t>
      </w:r>
      <w:r w:rsidRPr="000070AE">
        <w:rPr>
          <w:rFonts w:ascii="Open Sans" w:eastAsia="Times" w:hAnsi="Open Sans" w:cs="Times New Roman"/>
        </w:rPr>
        <w:t xml:space="preserve"> somente a partir dos anos 1990 começou uma preocupação com os hábitos alimentares, visto que, passaram a ser apontados como um dos principais fatores determinantes para o surgimento das doenças crônicas, a EAN pas</w:t>
      </w:r>
      <w:r w:rsidR="00680689" w:rsidRPr="000070AE">
        <w:rPr>
          <w:rFonts w:ascii="Open Sans" w:eastAsia="Times" w:hAnsi="Open Sans" w:cs="Times New Roman"/>
        </w:rPr>
        <w:t>sou a ser considerada uma medida</w:t>
      </w:r>
      <w:r w:rsidRPr="000070AE">
        <w:rPr>
          <w:rFonts w:ascii="Open Sans" w:eastAsia="Times" w:hAnsi="Open Sans" w:cs="Times New Roman"/>
        </w:rPr>
        <w:t xml:space="preserve"> fundamental para formação e manutenção de hábitos saudáveis. </w:t>
      </w:r>
    </w:p>
    <w:p w14:paraId="25BB019B" w14:textId="14CACF03" w:rsidR="00A9328D" w:rsidRPr="000070AE" w:rsidRDefault="00A9328D" w:rsidP="0060673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hAnsi="Open Sans"/>
          <w:color w:val="403D39"/>
          <w:sz w:val="18"/>
          <w:szCs w:val="18"/>
        </w:rPr>
      </w:pPr>
      <w:r w:rsidRPr="0060673E">
        <w:rPr>
          <w:rFonts w:ascii="Open Sans" w:hAnsi="Open Sans" w:cs="Times New Roman"/>
        </w:rPr>
        <w:lastRenderedPageBreak/>
        <w:t xml:space="preserve">Na categoria </w:t>
      </w:r>
      <w:r w:rsidRPr="0060673E">
        <w:rPr>
          <w:rFonts w:ascii="Open Sans" w:hAnsi="Open Sans" w:cs="Times New Roman"/>
          <w:b/>
        </w:rPr>
        <w:t>“</w:t>
      </w:r>
      <w:r w:rsidRPr="0060673E">
        <w:rPr>
          <w:rFonts w:ascii="Open Sans" w:eastAsia="Times" w:hAnsi="Open Sans" w:cs="Times New Roman"/>
          <w:b/>
        </w:rPr>
        <w:t>Concepções e Percepções”</w:t>
      </w:r>
      <w:r w:rsidRPr="0060673E">
        <w:rPr>
          <w:rFonts w:ascii="Open Sans" w:hAnsi="Open Sans" w:cs="Times New Roman"/>
        </w:rPr>
        <w:t xml:space="preserve"> estão inseridos os trabalhos T8 e T11 e T12 que</w:t>
      </w:r>
      <w:r w:rsidR="005840CF">
        <w:rPr>
          <w:rFonts w:ascii="Open Sans" w:hAnsi="Open Sans" w:cs="Times New Roman"/>
        </w:rPr>
        <w:t xml:space="preserve"> </w:t>
      </w:r>
      <w:r w:rsidRPr="0060673E">
        <w:rPr>
          <w:rFonts w:ascii="Open Sans" w:hAnsi="Open Sans" w:cs="Times New Roman"/>
        </w:rPr>
        <w:t>objetivaram uma abordagem sobre concepções e percepções dos estudantes sobre alimentação.</w:t>
      </w:r>
      <w:r w:rsidRPr="000070AE">
        <w:rPr>
          <w:rFonts w:ascii="Open Sans" w:hAnsi="Open Sans" w:cs="Times New Roman"/>
          <w:color w:val="403D39"/>
        </w:rPr>
        <w:t xml:space="preserve"> </w:t>
      </w:r>
    </w:p>
    <w:p w14:paraId="12395BF2" w14:textId="77777777" w:rsidR="00A9328D" w:rsidRPr="000070AE" w:rsidRDefault="00A9328D" w:rsidP="000070A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hAnsi="Open Sans" w:cs="Times New Roman"/>
        </w:rPr>
      </w:pPr>
      <w:r w:rsidRPr="000070AE">
        <w:rPr>
          <w:rFonts w:ascii="Open Sans" w:eastAsia="Times" w:hAnsi="Open Sans" w:cs="Times New Roman"/>
        </w:rPr>
        <w:t xml:space="preserve">Na categoria </w:t>
      </w:r>
      <w:r w:rsidRPr="000070AE">
        <w:rPr>
          <w:rFonts w:ascii="Open Sans" w:eastAsia="Times" w:hAnsi="Open Sans" w:cs="Times New Roman"/>
          <w:b/>
        </w:rPr>
        <w:t xml:space="preserve">“Estratégias de Ensino” </w:t>
      </w:r>
      <w:r w:rsidRPr="000070AE">
        <w:rPr>
          <w:rFonts w:ascii="Open Sans" w:eastAsia="Times" w:hAnsi="Open Sans" w:cs="Times New Roman"/>
        </w:rPr>
        <w:t>incluímos</w:t>
      </w:r>
      <w:r w:rsidRPr="000070AE">
        <w:rPr>
          <w:rFonts w:ascii="Open Sans" w:eastAsia="Times" w:hAnsi="Open Sans" w:cs="Times New Roman"/>
          <w:b/>
        </w:rPr>
        <w:t xml:space="preserve"> </w:t>
      </w:r>
      <w:r w:rsidRPr="000070AE">
        <w:rPr>
          <w:rFonts w:ascii="Open Sans" w:eastAsia="Times" w:hAnsi="Open Sans" w:cs="Times New Roman"/>
        </w:rPr>
        <w:t xml:space="preserve">os trabalhos que tiveram como objetivos o desenvolvimento de alguma estratégia voltada para a aprendizagem, assim identificamos no objetivo do trabalho T1 a produção de uma horta na escola. De acordo com Alves et al. (2014) a implantação de uma horta na escola pode trazer benefícios múltiplos como o pedagógico, o estético e o educativo, também pode ser um espaço de descobertas para os alunos possibilitando uma vasta aprendizagem de muitas matérias abordadas em sala.  Os objetivos de T2 e T10 apresentaram uma proposta de aplicação de jogos didáticos envolvendo o tema alimentação. </w:t>
      </w:r>
      <w:r w:rsidRPr="000070AE">
        <w:rPr>
          <w:rFonts w:ascii="Open Sans" w:hAnsi="Open Sans" w:cs="Times New Roman"/>
          <w:color w:val="000000"/>
          <w:shd w:val="clear" w:color="auto" w:fill="FFFFFF"/>
        </w:rPr>
        <w:t>O jogo apresenta sempre duas funções no ensino-aprendizagem. A primeira é lúdica, onde a criança encontra o prazer e a satisfação no jogar, e a segunda é educativa, onde através do jogo a criança é educada para a convivência social (RIBEIRO 2013 p.2)</w:t>
      </w:r>
      <w:r w:rsidRPr="000070AE">
        <w:rPr>
          <w:rFonts w:ascii="Open Sans" w:hAnsi="Open Sans" w:cs="Times New Roman"/>
        </w:rPr>
        <w:t xml:space="preserve">. </w:t>
      </w:r>
    </w:p>
    <w:p w14:paraId="077C8190" w14:textId="4885A0DD" w:rsidR="0060673E" w:rsidRDefault="00A9328D" w:rsidP="000070A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hAnsi="Open Sans" w:cs="Times New Roman"/>
          <w:color w:val="000000"/>
          <w:shd w:val="clear" w:color="auto" w:fill="FFFFFF"/>
        </w:rPr>
      </w:pPr>
      <w:r w:rsidRPr="000070AE">
        <w:rPr>
          <w:rFonts w:ascii="Open Sans" w:hAnsi="Open Sans" w:cs="Times New Roman"/>
        </w:rPr>
        <w:t>A Sequência Didática é definida como sendo um “conjunto de atividades ordenadas, estruturadas e articuladas para a realização de certos objetivos educacionais que têm um princípio e um fim conhecidos tanto pelo professor como pelos alunos” (ZABALA, 1998, p. 18). Seguindo esse pressuposto está o objetivo</w:t>
      </w:r>
      <w:r w:rsidRPr="000070AE">
        <w:rPr>
          <w:rFonts w:ascii="Open Sans" w:eastAsia="Times" w:hAnsi="Open Sans" w:cs="Times New Roman"/>
        </w:rPr>
        <w:t xml:space="preserve"> do trabalho T8. </w:t>
      </w:r>
      <w:r w:rsidRPr="000070AE">
        <w:rPr>
          <w:rFonts w:ascii="Open Sans" w:hAnsi="Open Sans" w:cs="Times New Roman"/>
          <w:color w:val="000000"/>
          <w:shd w:val="clear" w:color="auto" w:fill="FFFFFF"/>
        </w:rPr>
        <w:t xml:space="preserve">Já o trabalho T5 </w:t>
      </w:r>
      <w:r w:rsidRPr="000070AE">
        <w:rPr>
          <w:rFonts w:ascii="Open Sans" w:eastAsia="Times" w:hAnsi="Open Sans" w:cs="Times New Roman"/>
        </w:rPr>
        <w:t>é direcionado à produção de vídeo sobre plantas alimentícias não convencionais para ser usado como material didático à alunos de ensino fundamental e médio contribuindo na construção de uma visão integrada em sua estreita relação com a sociedade. Conforme o PCN+ os vídeos são meios de informações contemporâneas que promovem diferentes leituras e /ou análises críticas</w:t>
      </w:r>
      <w:r w:rsidRPr="000070AE">
        <w:rPr>
          <w:rFonts w:ascii="Open Sans" w:hAnsi="Open Sans" w:cs="Times New Roman"/>
          <w:color w:val="000000"/>
          <w:shd w:val="clear" w:color="auto" w:fill="FFFFFF"/>
        </w:rPr>
        <w:t xml:space="preserve">. </w:t>
      </w:r>
    </w:p>
    <w:p w14:paraId="4EFA62A7" w14:textId="1B9BC5BF" w:rsidR="00A9328D" w:rsidRPr="000070AE" w:rsidRDefault="00A9328D" w:rsidP="000070A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hAnsi="Open Sans" w:cs="Times New Roman"/>
        </w:rPr>
      </w:pPr>
      <w:r w:rsidRPr="000070AE">
        <w:rPr>
          <w:rFonts w:ascii="Open Sans" w:hAnsi="Open Sans" w:cs="Times New Roman"/>
          <w:color w:val="000000"/>
          <w:shd w:val="clear" w:color="auto" w:fill="FFFFFF"/>
        </w:rPr>
        <w:t>O objetivo do T7 foi o desenvolvimento de um projeto de intervenção junto a uma escola de comunidade indígena buscando conhecer os hábitos alimentares das crianças com o intuito de intervir positivamente no aprendizado destas crianças com relação à hábitos de alimentação saudável.</w:t>
      </w:r>
      <w:r w:rsidRPr="000070AE">
        <w:rPr>
          <w:rFonts w:ascii="Open Sans" w:hAnsi="Open Sans"/>
        </w:rPr>
        <w:t xml:space="preserve">  </w:t>
      </w:r>
      <w:r w:rsidRPr="000070AE">
        <w:rPr>
          <w:rFonts w:ascii="Open Sans" w:hAnsi="Open Sans" w:cs="Times New Roman"/>
        </w:rPr>
        <w:t xml:space="preserve">Segundo Paulo Freire (1996), não devemos apenas pensar em uma </w:t>
      </w:r>
      <w:r w:rsidRPr="000070AE">
        <w:rPr>
          <w:rFonts w:ascii="Open Sans" w:hAnsi="Open Sans" w:cs="Times New Roman"/>
        </w:rPr>
        <w:lastRenderedPageBreak/>
        <w:t xml:space="preserve">mudança de maneira simples, porém é necessário refletir o nosso papel no mundo para agir como sujeito de ação. Pois o homem inserido no mundo da história, da cultura e da </w:t>
      </w:r>
      <w:r w:rsidR="005840CF">
        <w:rPr>
          <w:rFonts w:ascii="Open Sans" w:hAnsi="Open Sans" w:cs="Times New Roman"/>
        </w:rPr>
        <w:t>po</w:t>
      </w:r>
      <w:r w:rsidRPr="000070AE">
        <w:rPr>
          <w:rFonts w:ascii="Open Sans" w:hAnsi="Open Sans" w:cs="Times New Roman"/>
        </w:rPr>
        <w:t xml:space="preserve">lítica, constata não apenas para se adaptar, mas para mudar. </w:t>
      </w:r>
    </w:p>
    <w:p w14:paraId="76A777F5" w14:textId="77777777" w:rsidR="00A9328D" w:rsidRDefault="00A9328D" w:rsidP="000070AE">
      <w:pPr>
        <w:widowControl w:val="0"/>
        <w:tabs>
          <w:tab w:val="left" w:pos="0"/>
          <w:tab w:val="left" w:pos="220"/>
        </w:tabs>
        <w:spacing w:before="0" w:after="0" w:line="360" w:lineRule="auto"/>
        <w:ind w:left="0" w:hanging="2"/>
        <w:rPr>
          <w:rFonts w:ascii="Open Sans" w:hAnsi="Open Sans" w:cs="Times New Roman"/>
        </w:rPr>
      </w:pPr>
      <w:r w:rsidRPr="000070AE">
        <w:rPr>
          <w:rFonts w:ascii="Open Sans" w:hAnsi="Open Sans"/>
        </w:rPr>
        <w:t xml:space="preserve">Já o trabalho T9 objetivou uma interdisciplinaridade entre Biologia e Educação Física </w:t>
      </w:r>
      <w:r w:rsidRPr="000070AE">
        <w:rPr>
          <w:rFonts w:ascii="Open Sans" w:hAnsi="Open Sans" w:cs="Times New Roman"/>
        </w:rPr>
        <w:t xml:space="preserve">como meio de promover conexões entre o conteúdo de alimentação e essas duas disciplinas. Sendo assim como afirma Fazenda et al. (2013), a interdisciplinaridade pode ser compreendida como uma forma de reciprocidade entre diversos conteúdos favorecendo uma interação, possibilitando aprendizado e estreitando as fronteiras entre as disciplinas escolares. </w:t>
      </w:r>
    </w:p>
    <w:p w14:paraId="0FB32590" w14:textId="77777777" w:rsidR="0060673E" w:rsidRDefault="0060673E" w:rsidP="000070AE">
      <w:pPr>
        <w:pStyle w:val="NormalWeb"/>
        <w:shd w:val="clear" w:color="auto" w:fill="FFFFFF"/>
        <w:spacing w:before="0" w:after="0" w:line="360" w:lineRule="auto"/>
        <w:ind w:left="0" w:hanging="2"/>
        <w:rPr>
          <w:rFonts w:ascii="Open Sans" w:eastAsia="Times" w:hAnsi="Open Sans"/>
          <w:b/>
          <w:sz w:val="20"/>
          <w:szCs w:val="20"/>
        </w:rPr>
      </w:pPr>
    </w:p>
    <w:p w14:paraId="11B1E34C" w14:textId="01A0C506" w:rsidR="00A9328D" w:rsidRPr="000070AE" w:rsidRDefault="00A9328D" w:rsidP="000070AE">
      <w:pPr>
        <w:pStyle w:val="NormalWeb"/>
        <w:shd w:val="clear" w:color="auto" w:fill="FFFFFF"/>
        <w:spacing w:before="0" w:after="0" w:line="360" w:lineRule="auto"/>
        <w:ind w:left="0" w:hanging="2"/>
        <w:rPr>
          <w:rFonts w:ascii="Open Sans" w:eastAsia="Times" w:hAnsi="Open Sans"/>
          <w:sz w:val="20"/>
          <w:szCs w:val="20"/>
        </w:rPr>
      </w:pPr>
      <w:r w:rsidRPr="000070AE">
        <w:rPr>
          <w:rFonts w:ascii="Open Sans" w:eastAsia="Times" w:hAnsi="Open Sans"/>
          <w:b/>
          <w:sz w:val="20"/>
          <w:szCs w:val="20"/>
        </w:rPr>
        <w:t xml:space="preserve">Estratégias de Ensino </w:t>
      </w:r>
    </w:p>
    <w:p w14:paraId="7069A6A9" w14:textId="77777777" w:rsidR="00A9328D" w:rsidRPr="000070AE" w:rsidRDefault="00A9328D" w:rsidP="000070AE">
      <w:pPr>
        <w:pStyle w:val="NormalWeb"/>
        <w:shd w:val="clear" w:color="auto" w:fill="FFFFFF"/>
        <w:spacing w:before="0" w:after="0" w:line="360" w:lineRule="auto"/>
        <w:ind w:left="0" w:hanging="2"/>
        <w:rPr>
          <w:rFonts w:ascii="Open Sans" w:eastAsia="Times" w:hAnsi="Open Sans"/>
          <w:sz w:val="20"/>
          <w:szCs w:val="20"/>
        </w:rPr>
      </w:pPr>
      <w:r w:rsidRPr="000070AE">
        <w:rPr>
          <w:rFonts w:ascii="Open Sans" w:eastAsia="Times" w:hAnsi="Open Sans"/>
          <w:sz w:val="20"/>
          <w:szCs w:val="20"/>
        </w:rPr>
        <w:t xml:space="preserve">Ao investigarmos as Estratégias de Ensino utilizadas pelos autores de cada trabalho pudemos entender o processo e os caminhos utilizados em cada um sobre a temática que envolve a alimentação e assim levantarmos o seguinte questionamento: Como tem sido a abordagem metodológica destes autores frente a investigação sobre alimentação na educação? </w:t>
      </w:r>
    </w:p>
    <w:p w14:paraId="202B893F" w14:textId="210FE1A5" w:rsidR="00A9328D" w:rsidRPr="000070AE" w:rsidRDefault="00A9328D" w:rsidP="000070AE">
      <w:pPr>
        <w:widowControl w:val="0"/>
        <w:tabs>
          <w:tab w:val="left" w:pos="0"/>
        </w:tabs>
        <w:spacing w:before="0" w:after="0" w:line="360" w:lineRule="auto"/>
        <w:ind w:left="0" w:hanging="2"/>
        <w:rPr>
          <w:rFonts w:ascii="Open Sans" w:hAnsi="Open Sans" w:cs="Times New Roman"/>
        </w:rPr>
      </w:pPr>
      <w:r w:rsidRPr="000070AE">
        <w:rPr>
          <w:rFonts w:ascii="Open Sans" w:eastAsia="Times" w:hAnsi="Open Sans" w:cs="Times New Roman"/>
        </w:rPr>
        <w:tab/>
        <w:t>Observa-se que uma boa parte dos trabalhos indicaram estratégias voltadas para a investigação dos hábitos alimentares dos indivíduos ou para a questão da educação alimentar. O trabalho T1 envolveu a estratégia da produção horta na escola com o intuito de investigar a educação alimentar no ensino de ciências. De acordo com Alves et al. (2014) a implantação de uma horta na escola pode trazer benefícios múltiplos como o pedagógico, o estético e o educativo, também pode ser um espaço de descobertas para os alunos possibilitando uma vasta aprendizagem de muitas matérias abordadas em sala. Os trabalhos T2, T3 e T10 utilizaram além e outras estratégias os jogos como ferramentas didáticas no processo de ensino e aprendizagem sobre a temática alimentação. Como já exposto anteriormente</w:t>
      </w:r>
      <w:r w:rsidRPr="000070AE">
        <w:rPr>
          <w:rFonts w:ascii="Open Sans" w:hAnsi="Open Sans" w:cs="Times New Roman"/>
        </w:rPr>
        <w:t xml:space="preserve"> de acordo com o PCN+ os jogos são elementos valiosos no processo de apropriação do conhecimento, pois o mesmo oferece ambiente propício que </w:t>
      </w:r>
      <w:r w:rsidRPr="000070AE">
        <w:rPr>
          <w:rFonts w:ascii="Open Sans" w:hAnsi="Open Sans" w:cs="Times New Roman"/>
        </w:rPr>
        <w:lastRenderedPageBreak/>
        <w:t xml:space="preserve">favorece o desenvolvimento espontâneo e criativo. </w:t>
      </w:r>
    </w:p>
    <w:p w14:paraId="413D066F" w14:textId="4276A608" w:rsidR="00A9328D" w:rsidRDefault="00A9328D" w:rsidP="000070AE">
      <w:pPr>
        <w:pStyle w:val="NormalWeb"/>
        <w:shd w:val="clear" w:color="auto" w:fill="FFFFFF"/>
        <w:spacing w:before="0" w:after="0" w:line="360" w:lineRule="auto"/>
        <w:ind w:left="0" w:hanging="2"/>
        <w:rPr>
          <w:rFonts w:ascii="Open Sans" w:hAnsi="Open Sans" w:cs="Times New Roman"/>
          <w:color w:val="000000"/>
          <w:sz w:val="20"/>
          <w:szCs w:val="20"/>
          <w:shd w:val="clear" w:color="auto" w:fill="FFFFFF"/>
        </w:rPr>
      </w:pPr>
      <w:r w:rsidRPr="000070AE">
        <w:rPr>
          <w:rFonts w:ascii="Open Sans" w:eastAsia="Times" w:hAnsi="Open Sans"/>
          <w:sz w:val="20"/>
          <w:szCs w:val="20"/>
        </w:rPr>
        <w:t>Pra Gil (2008)</w:t>
      </w:r>
      <w:r w:rsidRPr="000070AE">
        <w:rPr>
          <w:rFonts w:ascii="Open Sans" w:hAnsi="Open Sans"/>
          <w:sz w:val="20"/>
          <w:szCs w:val="20"/>
        </w:rPr>
        <w:t xml:space="preserve"> a entrevista estratégia observada no trabalho T12 é considerada uma forma de diálogo assimétrico sendo uma interação social onde uma das partes envolvidas pretende coletar dados e a outra se apresenta como fonte de informação. </w:t>
      </w:r>
      <w:r w:rsidRPr="000070AE">
        <w:rPr>
          <w:rFonts w:ascii="Open Sans" w:eastAsia="Times" w:hAnsi="Open Sans"/>
          <w:sz w:val="20"/>
          <w:szCs w:val="20"/>
        </w:rPr>
        <w:t>Outros ainda trouxeram como estratégia de pesquisa o uso de questionário como os trabalhos T4, T7, T8, T11 e T13 que de acordo com Gil (2008), o questionário apresenta algumas vantagens em relação a entrevista entre elas é o fato de poder alcançar um maior número de pessoas ainda que estejam dispersas. Ainda tiveram os trabalhos que se utilizam de discussões e aulas expositivas ou seminários como os trabalhos T3, T7, T9 e T14. Conforme Freire (2018), os educadores precisam levar em consideração as discussões que podem ser geradas durante as aulas advindas do senso comum para aprimoramento do conhecimento.</w:t>
      </w:r>
      <w:r w:rsidR="000070AE" w:rsidRPr="000070AE">
        <w:rPr>
          <w:rFonts w:ascii="Open Sans" w:eastAsia="Times" w:hAnsi="Open Sans"/>
          <w:sz w:val="20"/>
          <w:szCs w:val="20"/>
        </w:rPr>
        <w:t xml:space="preserve"> </w:t>
      </w:r>
      <w:r w:rsidRPr="000070AE">
        <w:rPr>
          <w:rFonts w:ascii="Open Sans" w:eastAsia="Times" w:hAnsi="Open Sans" w:cs="Times New Roman"/>
          <w:sz w:val="20"/>
          <w:szCs w:val="20"/>
        </w:rPr>
        <w:t xml:space="preserve">Os autores do trabalho T6 utilizaram a estratégia do desenvolvimento de Sequências Didáticas que para </w:t>
      </w:r>
      <w:r w:rsidRPr="000070AE">
        <w:rPr>
          <w:rFonts w:ascii="Open Sans" w:hAnsi="Open Sans" w:cs="Times New Roman"/>
          <w:sz w:val="20"/>
          <w:szCs w:val="20"/>
        </w:rPr>
        <w:t xml:space="preserve">Zabala (1998) pode ser estabelecida como um grupo de atividades que buscam atender a certos objetivos educacionais e que têm um princípio e um fim conhecidos tanto pelo professor como pelos alunos.  </w:t>
      </w:r>
      <w:r w:rsidRPr="000070AE">
        <w:rPr>
          <w:rFonts w:ascii="Open Sans" w:eastAsia="Times" w:hAnsi="Open Sans" w:cs="Times New Roman"/>
          <w:sz w:val="20"/>
          <w:szCs w:val="20"/>
        </w:rPr>
        <w:t>Já os autores do trabalho T5 utilizaram a estratégia de vídeo aula para desenvolver suas pesquisas. Como descrito anteriormente, conforme o PCN+ os vídeos são meios de informações contemporâneas que promovem diferentes leituras e /ou análises críticas</w:t>
      </w:r>
      <w:r w:rsidRPr="000070AE">
        <w:rPr>
          <w:rFonts w:ascii="Open Sans" w:hAnsi="Open Sans" w:cs="Times New Roman"/>
          <w:color w:val="000000"/>
          <w:sz w:val="20"/>
          <w:szCs w:val="20"/>
          <w:shd w:val="clear" w:color="auto" w:fill="FFFFFF"/>
        </w:rPr>
        <w:t>.</w:t>
      </w:r>
    </w:p>
    <w:p w14:paraId="03D5D8FD" w14:textId="77777777" w:rsidR="0060673E" w:rsidRPr="000070AE" w:rsidRDefault="0060673E" w:rsidP="000070AE">
      <w:pPr>
        <w:pStyle w:val="NormalWeb"/>
        <w:shd w:val="clear" w:color="auto" w:fill="FFFFFF"/>
        <w:spacing w:before="0" w:after="0" w:line="360" w:lineRule="auto"/>
        <w:ind w:left="0" w:hanging="2"/>
        <w:rPr>
          <w:rFonts w:ascii="Open Sans" w:hAnsi="Open Sans"/>
          <w:sz w:val="20"/>
          <w:szCs w:val="20"/>
        </w:rPr>
      </w:pPr>
    </w:p>
    <w:p w14:paraId="5D2CB447" w14:textId="77777777" w:rsidR="00795BF1" w:rsidRDefault="00B80752" w:rsidP="00B80752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left="0" w:firstLineChars="0" w:firstLine="0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V </w:t>
      </w:r>
      <w:r w:rsidR="008472D6">
        <w:rPr>
          <w:rFonts w:ascii="Open Sans" w:eastAsia="Open Sans" w:hAnsi="Open Sans" w:cs="Open Sans"/>
          <w:b/>
          <w:color w:val="000000"/>
          <w:sz w:val="44"/>
          <w:szCs w:val="44"/>
        </w:rPr>
        <w:t>Considerações Finais</w:t>
      </w:r>
    </w:p>
    <w:p w14:paraId="170CED79" w14:textId="48C5A8F4" w:rsidR="000158DC" w:rsidRPr="000158DC" w:rsidRDefault="00EE755E" w:rsidP="000158DC">
      <w:pPr>
        <w:widowControl w:val="0"/>
        <w:tabs>
          <w:tab w:val="left" w:pos="0"/>
          <w:tab w:val="left" w:pos="220"/>
        </w:tabs>
        <w:spacing w:after="120" w:line="360" w:lineRule="auto"/>
        <w:ind w:left="0" w:hanging="2"/>
        <w:rPr>
          <w:rFonts w:ascii="Open Sans" w:eastAsia="Times" w:hAnsi="Open Sans" w:cs="Times"/>
        </w:rPr>
      </w:pPr>
      <w:r w:rsidRPr="000158DC">
        <w:rPr>
          <w:rFonts w:ascii="Open Sans" w:eastAsia="Times" w:hAnsi="Open Sans" w:cs="Times New Roman"/>
        </w:rPr>
        <w:t>Ao analisarmos estes trabalhos foi possível identificar a preocupação dos autores frente aos problemas adv</w:t>
      </w:r>
      <w:r w:rsidRPr="000158DC">
        <w:rPr>
          <w:rFonts w:ascii="Open Sans" w:eastAsia="Times" w:hAnsi="Open Sans" w:cs="Times"/>
        </w:rPr>
        <w:t>indos de uma má alimentação</w:t>
      </w:r>
      <w:r w:rsidR="0060673E">
        <w:rPr>
          <w:rFonts w:ascii="Open Sans" w:eastAsia="Times" w:hAnsi="Open Sans" w:cs="Times"/>
        </w:rPr>
        <w:t>. A</w:t>
      </w:r>
      <w:r w:rsidRPr="000158DC">
        <w:rPr>
          <w:rFonts w:ascii="Open Sans" w:eastAsia="Times" w:hAnsi="Open Sans" w:cs="Times"/>
        </w:rPr>
        <w:t xml:space="preserve">ssim os objetivos dos mesmos em buscar respostas à diversos questionamentos de pesquisa, porém na sua grande maioria objetivaram compreender como estava sendo abordado este tema em sala de aula devido a sua grande importância no contexto educacional. Desta forma, muitos trabalhos analisados, tem como objetivo identificar o que os estudantes trazem de conhecimento </w:t>
      </w:r>
      <w:r w:rsidRPr="000158DC">
        <w:rPr>
          <w:rFonts w:ascii="Open Sans" w:eastAsia="Times" w:hAnsi="Open Sans" w:cs="Times"/>
        </w:rPr>
        <w:lastRenderedPageBreak/>
        <w:t>sobre o tema, destacando suas concepções, percepções para fundamentar uma Educação Alimentar. Foi possível também identificar que poucos trabalhos tiveram como objetivo o desenvolvimento de Sequência Didática, ainda que a mesma facilite a compreensão do aluno na temática abordada. Com relação à categoria estratégias de ensino foi possível constatar uma grande diversidade de abordagens dentro da temática proposta</w:t>
      </w:r>
      <w:r w:rsidR="005840CF">
        <w:rPr>
          <w:rFonts w:ascii="Open Sans" w:eastAsia="Times" w:hAnsi="Open Sans" w:cs="Times"/>
        </w:rPr>
        <w:t>. A</w:t>
      </w:r>
      <w:r w:rsidRPr="000158DC">
        <w:rPr>
          <w:rFonts w:ascii="Open Sans" w:eastAsia="Times" w:hAnsi="Open Sans" w:cs="Times"/>
        </w:rPr>
        <w:t xml:space="preserve">ssim muitos dos trabalhos analisados utilizaram questionários, entrevistas, discussões, vídeos, anotações dos estudantes em agendas, S.D. produção de hortas e vídeos. Diante do exposto podemos inferir que os trabalhos analisados utilizaram a abordagem dos conteúdos com a temática alimentação dentro de um contexto focado na problematização e vivências dos educandos, visto que é sabido a importância desta contextualização para o desenvolvimento de ensino aprendizagem. Também pudemos constatar que alguns trabalhos tiverem em seu objetivo a preocupação em contribuir com desenvolvimento de hábitos alimentares saudáveis. </w:t>
      </w:r>
    </w:p>
    <w:p w14:paraId="65FF0117" w14:textId="77777777" w:rsidR="00795BF1" w:rsidRPr="000158DC" w:rsidRDefault="0024663C" w:rsidP="000158DC">
      <w:pPr>
        <w:widowControl w:val="0"/>
        <w:tabs>
          <w:tab w:val="left" w:pos="0"/>
          <w:tab w:val="left" w:pos="220"/>
        </w:tabs>
        <w:spacing w:after="120" w:line="360" w:lineRule="auto"/>
        <w:ind w:left="2" w:hanging="4"/>
        <w:rPr>
          <w:rFonts w:ascii="Times" w:eastAsia="Times" w:hAnsi="Times" w:cs="Times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t xml:space="preserve">VI </w:t>
      </w:r>
      <w:r w:rsidR="008472D6">
        <w:rPr>
          <w:rFonts w:ascii="Open Sans" w:eastAsia="Open Sans" w:hAnsi="Open Sans" w:cs="Open Sans"/>
          <w:b/>
          <w:color w:val="000000"/>
          <w:sz w:val="44"/>
          <w:szCs w:val="44"/>
        </w:rPr>
        <w:t>Referências Bibliográficas</w:t>
      </w:r>
    </w:p>
    <w:p w14:paraId="6D259E42" w14:textId="77777777" w:rsidR="000158DC" w:rsidRPr="000158DC" w:rsidRDefault="000158DC" w:rsidP="002B5D5C">
      <w:pPr>
        <w:spacing w:before="0" w:after="0"/>
        <w:ind w:leftChars="0" w:left="0" w:firstLineChars="0" w:firstLine="0"/>
        <w:jc w:val="left"/>
        <w:rPr>
          <w:rFonts w:ascii="Open Sans" w:hAnsi="Open Sans" w:cs="Times New Roman"/>
          <w:color w:val="000000"/>
        </w:rPr>
      </w:pPr>
      <w:r w:rsidRPr="000158DC">
        <w:rPr>
          <w:rFonts w:ascii="Open Sans" w:hAnsi="Open Sans" w:cs="Times New Roman"/>
          <w:color w:val="000000"/>
        </w:rPr>
        <w:t xml:space="preserve">BARDIN, Laurence. </w:t>
      </w:r>
      <w:r w:rsidRPr="000158DC">
        <w:rPr>
          <w:rFonts w:ascii="Open Sans" w:hAnsi="Open Sans" w:cs="Times New Roman"/>
          <w:b/>
          <w:bCs/>
          <w:color w:val="000000"/>
        </w:rPr>
        <w:t>Análise de conteúdo</w:t>
      </w:r>
      <w:r w:rsidRPr="000158DC">
        <w:rPr>
          <w:rFonts w:ascii="Open Sans" w:hAnsi="Open Sans" w:cs="Times New Roman"/>
          <w:color w:val="000000"/>
        </w:rPr>
        <w:t>. SP: Edições 70, 2011.</w:t>
      </w:r>
    </w:p>
    <w:p w14:paraId="2ED3C1D8" w14:textId="4A789B4B" w:rsidR="000158DC" w:rsidRPr="000158DC" w:rsidRDefault="000158DC" w:rsidP="002B5D5C">
      <w:pPr>
        <w:pBdr>
          <w:top w:val="nil"/>
          <w:left w:val="nil"/>
          <w:bottom w:val="nil"/>
          <w:right w:val="nil"/>
          <w:between w:val="nil"/>
        </w:pBdr>
        <w:tabs>
          <w:tab w:val="left" w:pos="2539"/>
        </w:tabs>
        <w:spacing w:before="0" w:after="0"/>
        <w:ind w:left="0" w:hanging="2"/>
        <w:jc w:val="left"/>
        <w:rPr>
          <w:rFonts w:ascii="Open Sans" w:hAnsi="Open Sans" w:cs="Times New Roman"/>
        </w:rPr>
      </w:pPr>
      <w:r w:rsidRPr="000158DC">
        <w:rPr>
          <w:rFonts w:ascii="Open Sans" w:hAnsi="Open Sans" w:cs="Times New Roman"/>
        </w:rPr>
        <w:t>BRA</w:t>
      </w:r>
      <w:r w:rsidR="0060673E">
        <w:rPr>
          <w:rFonts w:ascii="Open Sans" w:hAnsi="Open Sans" w:cs="Times New Roman"/>
        </w:rPr>
        <w:t>S</w:t>
      </w:r>
      <w:r w:rsidRPr="000158DC">
        <w:rPr>
          <w:rFonts w:ascii="Open Sans" w:hAnsi="Open Sans" w:cs="Times New Roman"/>
        </w:rPr>
        <w:t xml:space="preserve">IL. </w:t>
      </w:r>
      <w:r w:rsidRPr="000158DC">
        <w:rPr>
          <w:rFonts w:ascii="Open Sans" w:hAnsi="Open Sans" w:cs="Times New Roman"/>
          <w:b/>
        </w:rPr>
        <w:t>Marco de referência de educação alimentar e nutricional para as políticas públicas</w:t>
      </w:r>
      <w:r w:rsidRPr="000158DC">
        <w:rPr>
          <w:rFonts w:ascii="Open Sans" w:hAnsi="Open Sans" w:cs="Times New Roman"/>
        </w:rPr>
        <w:t>. Secretaria Nacional de Segurança Alimentar e Nutricional. Brasília-DF, 2012</w:t>
      </w:r>
    </w:p>
    <w:p w14:paraId="46F7C781" w14:textId="77777777" w:rsidR="000158DC" w:rsidRPr="000158DC" w:rsidRDefault="000158DC" w:rsidP="002B5D5C">
      <w:pPr>
        <w:pBdr>
          <w:top w:val="nil"/>
          <w:left w:val="nil"/>
          <w:bottom w:val="nil"/>
          <w:right w:val="nil"/>
          <w:between w:val="nil"/>
        </w:pBdr>
        <w:tabs>
          <w:tab w:val="left" w:pos="2539"/>
        </w:tabs>
        <w:spacing w:before="0" w:after="0"/>
        <w:ind w:leftChars="0" w:left="0" w:firstLineChars="0" w:firstLine="0"/>
        <w:jc w:val="left"/>
        <w:rPr>
          <w:rFonts w:ascii="Open Sans" w:hAnsi="Open Sans" w:cs="Times New Roman"/>
        </w:rPr>
      </w:pPr>
      <w:r w:rsidRPr="000158DC">
        <w:rPr>
          <w:rFonts w:ascii="Open Sans" w:hAnsi="Open Sans" w:cs="Times New Roman"/>
        </w:rPr>
        <w:t xml:space="preserve">BRASIL. Ministério da Saúde. </w:t>
      </w:r>
      <w:r w:rsidRPr="000158DC">
        <w:rPr>
          <w:rFonts w:ascii="Open Sans" w:hAnsi="Open Sans" w:cs="Times New Roman"/>
          <w:b/>
        </w:rPr>
        <w:t>Guia Alimentar Para A População Brasileira</w:t>
      </w:r>
      <w:r w:rsidRPr="000158DC">
        <w:rPr>
          <w:rFonts w:ascii="Open Sans" w:hAnsi="Open Sans" w:cs="Times New Roman"/>
        </w:rPr>
        <w:t>. Brasília, 2016. Disponível em: Acesso em: 23 de janeiro 2023.</w:t>
      </w:r>
    </w:p>
    <w:p w14:paraId="2AAD7A61" w14:textId="23A15D96" w:rsidR="000158DC" w:rsidRPr="000158DC" w:rsidRDefault="000158DC" w:rsidP="002B5D5C">
      <w:pPr>
        <w:pBdr>
          <w:top w:val="nil"/>
          <w:left w:val="nil"/>
          <w:bottom w:val="nil"/>
          <w:right w:val="nil"/>
          <w:between w:val="nil"/>
        </w:pBdr>
        <w:tabs>
          <w:tab w:val="left" w:pos="2539"/>
        </w:tabs>
        <w:spacing w:before="0" w:after="0"/>
        <w:ind w:leftChars="0" w:left="0" w:firstLineChars="0" w:firstLine="0"/>
        <w:jc w:val="left"/>
        <w:rPr>
          <w:rFonts w:ascii="Open Sans" w:hAnsi="Open Sans" w:cs="Times New Roman"/>
        </w:rPr>
      </w:pPr>
      <w:r w:rsidRPr="000158DC">
        <w:rPr>
          <w:rFonts w:ascii="Open Sans" w:hAnsi="Open Sans" w:cs="Times New Roman"/>
        </w:rPr>
        <w:t xml:space="preserve">BRASIL. Ministério da Educação. </w:t>
      </w:r>
      <w:r w:rsidR="00F57B5F" w:rsidRPr="000158DC">
        <w:rPr>
          <w:rFonts w:ascii="Open Sans" w:hAnsi="Open Sans" w:cs="Times New Roman"/>
        </w:rPr>
        <w:t xml:space="preserve">Base </w:t>
      </w:r>
      <w:r w:rsidR="00F57B5F">
        <w:rPr>
          <w:rFonts w:ascii="Open Sans" w:hAnsi="Open Sans" w:cs="Times New Roman"/>
        </w:rPr>
        <w:t>N</w:t>
      </w:r>
      <w:r w:rsidR="00F57B5F" w:rsidRPr="000158DC">
        <w:rPr>
          <w:rFonts w:ascii="Open Sans" w:hAnsi="Open Sans" w:cs="Times New Roman"/>
        </w:rPr>
        <w:t xml:space="preserve">acional </w:t>
      </w:r>
      <w:r w:rsidR="00F57B5F">
        <w:rPr>
          <w:rFonts w:ascii="Open Sans" w:hAnsi="Open Sans" w:cs="Times New Roman"/>
        </w:rPr>
        <w:t>C</w:t>
      </w:r>
      <w:r w:rsidR="00F57B5F" w:rsidRPr="000158DC">
        <w:rPr>
          <w:rFonts w:ascii="Open Sans" w:hAnsi="Open Sans" w:cs="Times New Roman"/>
        </w:rPr>
        <w:t xml:space="preserve">omum </w:t>
      </w:r>
      <w:r w:rsidR="00F57B5F">
        <w:rPr>
          <w:rFonts w:ascii="Open Sans" w:hAnsi="Open Sans" w:cs="Times New Roman"/>
        </w:rPr>
        <w:t>C</w:t>
      </w:r>
      <w:r w:rsidR="00F57B5F" w:rsidRPr="000158DC">
        <w:rPr>
          <w:rFonts w:ascii="Open Sans" w:hAnsi="Open Sans" w:cs="Times New Roman"/>
        </w:rPr>
        <w:t>urricular</w:t>
      </w:r>
      <w:r w:rsidRPr="000158DC">
        <w:rPr>
          <w:rFonts w:ascii="Open Sans" w:hAnsi="Open Sans" w:cs="Times New Roman"/>
        </w:rPr>
        <w:t>. Brasília, DF: MEC, 2017.</w:t>
      </w:r>
    </w:p>
    <w:p w14:paraId="1CA8B838" w14:textId="77777777" w:rsidR="002B5D5C" w:rsidRDefault="000158DC" w:rsidP="002B5D5C">
      <w:pPr>
        <w:pBdr>
          <w:top w:val="nil"/>
          <w:left w:val="nil"/>
          <w:bottom w:val="nil"/>
          <w:right w:val="nil"/>
          <w:between w:val="nil"/>
        </w:pBdr>
        <w:tabs>
          <w:tab w:val="left" w:pos="2539"/>
        </w:tabs>
        <w:spacing w:before="0" w:after="0"/>
        <w:ind w:left="0" w:hanging="2"/>
        <w:jc w:val="left"/>
        <w:rPr>
          <w:rFonts w:ascii="Open Sans" w:hAnsi="Open Sans" w:cs="Times New Roman"/>
        </w:rPr>
      </w:pPr>
      <w:r w:rsidRPr="000158DC">
        <w:rPr>
          <w:rFonts w:ascii="Open Sans" w:hAnsi="Open Sans" w:cs="Times New Roman"/>
        </w:rPr>
        <w:t xml:space="preserve">BRASIL. Ministério da Educação e Cultura. Base Nacional Comum Curricular: </w:t>
      </w:r>
      <w:r w:rsidRPr="000158DC">
        <w:rPr>
          <w:rFonts w:ascii="Open Sans" w:hAnsi="Open Sans" w:cs="Times New Roman"/>
          <w:b/>
        </w:rPr>
        <w:t>Educação é a base</w:t>
      </w:r>
      <w:r w:rsidRPr="000158DC">
        <w:rPr>
          <w:rFonts w:ascii="Open Sans" w:hAnsi="Open Sans" w:cs="Times New Roman"/>
        </w:rPr>
        <w:t>. Versão final. Brasília: MÊS/SEB, 2018.</w:t>
      </w:r>
    </w:p>
    <w:p w14:paraId="717C4DE8" w14:textId="77777777" w:rsidR="005840CF" w:rsidRDefault="005840CF" w:rsidP="002B5D5C">
      <w:pPr>
        <w:pBdr>
          <w:top w:val="nil"/>
          <w:left w:val="nil"/>
          <w:bottom w:val="nil"/>
          <w:right w:val="nil"/>
          <w:between w:val="nil"/>
        </w:pBdr>
        <w:tabs>
          <w:tab w:val="left" w:pos="2539"/>
        </w:tabs>
        <w:spacing w:before="0" w:after="0"/>
        <w:ind w:left="0" w:hanging="2"/>
        <w:jc w:val="left"/>
        <w:rPr>
          <w:rFonts w:ascii="Open Sans" w:hAnsi="Open Sans" w:cs="Times New Roman"/>
        </w:rPr>
      </w:pPr>
    </w:p>
    <w:p w14:paraId="26A01871" w14:textId="77777777" w:rsidR="00795BF1" w:rsidRDefault="008472D6">
      <w:pPr>
        <w:spacing w:line="360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>VII. Agradecimentos</w:t>
      </w:r>
    </w:p>
    <w:p w14:paraId="3A246910" w14:textId="4FCCC947" w:rsidR="005840CF" w:rsidRPr="005840CF" w:rsidRDefault="005840CF">
      <w:pPr>
        <w:spacing w:line="360" w:lineRule="auto"/>
        <w:ind w:left="0" w:hanging="2"/>
        <w:rPr>
          <w:rFonts w:ascii="Open Sans" w:eastAsia="Open Sans" w:hAnsi="Open Sans" w:cs="Open Sans"/>
          <w:bCs/>
        </w:rPr>
      </w:pPr>
      <w:r w:rsidRPr="005840CF">
        <w:rPr>
          <w:rFonts w:ascii="Open Sans" w:eastAsia="Open Sans" w:hAnsi="Open Sans" w:cs="Open Sans"/>
          <w:bCs/>
        </w:rPr>
        <w:t>PPGecim -UFNT</w:t>
      </w:r>
    </w:p>
    <w:sectPr w:rsidR="005840CF" w:rsidRPr="00584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6D58" w14:textId="77777777" w:rsidR="001202E7" w:rsidRDefault="001202E7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4739E288" w14:textId="77777777" w:rsidR="001202E7" w:rsidRDefault="001202E7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CCC0" w14:textId="77777777" w:rsidR="00815036" w:rsidRDefault="0081503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041F" w14:textId="77777777" w:rsidR="00795BF1" w:rsidRDefault="008472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35F2">
      <w:rPr>
        <w:noProof/>
        <w:color w:val="000000"/>
      </w:rPr>
      <w:t>5</w:t>
    </w:r>
    <w:r>
      <w:rPr>
        <w:color w:val="000000"/>
      </w:rPr>
      <w:fldChar w:fldCharType="end"/>
    </w:r>
  </w:p>
  <w:p w14:paraId="7557EAEE" w14:textId="77777777" w:rsidR="00795BF1" w:rsidRDefault="00795BF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4E5B" w14:textId="77777777" w:rsidR="00815036" w:rsidRDefault="0081503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36D1" w14:textId="77777777" w:rsidR="001202E7" w:rsidRDefault="001202E7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55E7266B" w14:textId="77777777" w:rsidR="001202E7" w:rsidRDefault="001202E7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7CD3" w14:textId="77777777" w:rsidR="00815036" w:rsidRDefault="0081503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FA27" w14:textId="6F24FC1B" w:rsidR="00795BF1" w:rsidRDefault="00815036">
    <w:pPr>
      <w:ind w:left="0" w:hanging="2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8E88C2B" wp14:editId="4296B780">
          <wp:simplePos x="0" y="0"/>
          <wp:positionH relativeFrom="column">
            <wp:posOffset>-514350</wp:posOffset>
          </wp:positionH>
          <wp:positionV relativeFrom="paragraph">
            <wp:posOffset>-438150</wp:posOffset>
          </wp:positionV>
          <wp:extent cx="6376988" cy="2095500"/>
          <wp:effectExtent l="0" t="0" r="5080" b="0"/>
          <wp:wrapTight wrapText="bothSides">
            <wp:wrapPolygon edited="0">
              <wp:start x="0" y="0"/>
              <wp:lineTo x="0" y="21404"/>
              <wp:lineTo x="21553" y="21404"/>
              <wp:lineTo x="21553" y="0"/>
              <wp:lineTo x="0" y="0"/>
            </wp:wrapPolygon>
          </wp:wrapTight>
          <wp:docPr id="1" name="image1.png" descr="Gráfico de pizz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Gráfico de pizz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988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69C0" w14:textId="77777777" w:rsidR="00815036" w:rsidRDefault="0081503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871"/>
    <w:multiLevelType w:val="multilevel"/>
    <w:tmpl w:val="97062F78"/>
    <w:lvl w:ilvl="0">
      <w:start w:val="1"/>
      <w:numFmt w:val="upperRoman"/>
      <w:pStyle w:val="Ttulo1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7F04D5"/>
    <w:multiLevelType w:val="multilevel"/>
    <w:tmpl w:val="1EA06860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9316791">
    <w:abstractNumId w:val="0"/>
  </w:num>
  <w:num w:numId="2" w16cid:durableId="1499534433">
    <w:abstractNumId w:val="1"/>
  </w:num>
  <w:num w:numId="3" w16cid:durableId="2083329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F1"/>
    <w:rsid w:val="000070AE"/>
    <w:rsid w:val="000158DC"/>
    <w:rsid w:val="000B43CA"/>
    <w:rsid w:val="000D00B6"/>
    <w:rsid w:val="000F6EEF"/>
    <w:rsid w:val="001202E7"/>
    <w:rsid w:val="00182474"/>
    <w:rsid w:val="001B3DA3"/>
    <w:rsid w:val="0024663C"/>
    <w:rsid w:val="002750EF"/>
    <w:rsid w:val="002B4955"/>
    <w:rsid w:val="002B5D5C"/>
    <w:rsid w:val="00517AFB"/>
    <w:rsid w:val="005840CF"/>
    <w:rsid w:val="0060673E"/>
    <w:rsid w:val="00680689"/>
    <w:rsid w:val="00795BF1"/>
    <w:rsid w:val="00815036"/>
    <w:rsid w:val="008472D6"/>
    <w:rsid w:val="00A9328D"/>
    <w:rsid w:val="00AA53E7"/>
    <w:rsid w:val="00B80752"/>
    <w:rsid w:val="00D76B97"/>
    <w:rsid w:val="00ED7BA1"/>
    <w:rsid w:val="00EE755E"/>
    <w:rsid w:val="00F21B95"/>
    <w:rsid w:val="00F57B5F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BF398"/>
  <w15:docId w15:val="{2860D801-7A68-43A2-A45D-AC8E8D2C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7AF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next w:val="Normal"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customStyle="1" w:styleId="Ttulo21">
    <w:name w:val="Título 21"/>
    <w:basedOn w:val="Normal"/>
    <w:next w:val="Normal"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customStyle="1" w:styleId="Ttulo31">
    <w:name w:val="Título 31"/>
    <w:basedOn w:val="Normal"/>
    <w:next w:val="Normal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0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merodepgina1">
    <w:name w:val="Número de página1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nfase1">
    <w:name w:val="Ênfase1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texto1">
    <w:name w:val="Corpo de texto1"/>
    <w:basedOn w:val="Normal"/>
    <w:pPr>
      <w:spacing w:after="200" w:line="260" w:lineRule="atLeast"/>
      <w:ind w:left="864"/>
    </w:pPr>
    <w:rPr>
      <w:sz w:val="18"/>
    </w:rPr>
  </w:style>
  <w:style w:type="paragraph" w:customStyle="1" w:styleId="Lista1">
    <w:name w:val="Lista1"/>
    <w:basedOn w:val="Corpodetexto1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customStyle="1" w:styleId="Cabealho1">
    <w:name w:val="Cabeçalho1"/>
    <w:basedOn w:val="Normal"/>
  </w:style>
  <w:style w:type="paragraph" w:customStyle="1" w:styleId="Sumrio11">
    <w:name w:val="Sumário 1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customStyle="1" w:styleId="Sumrio21">
    <w:name w:val="Sumário 21"/>
    <w:basedOn w:val="Normal"/>
    <w:next w:val="Normal"/>
    <w:pPr>
      <w:spacing w:before="240"/>
    </w:pPr>
    <w:rPr>
      <w:b/>
      <w:bCs/>
    </w:rPr>
  </w:style>
  <w:style w:type="paragraph" w:customStyle="1" w:styleId="Sumrio31">
    <w:name w:val="Sumário 31"/>
    <w:basedOn w:val="Normal"/>
    <w:next w:val="Normal"/>
    <w:pPr>
      <w:ind w:left="240"/>
    </w:pPr>
  </w:style>
  <w:style w:type="paragraph" w:customStyle="1" w:styleId="Sumrio41">
    <w:name w:val="Sumário 41"/>
    <w:basedOn w:val="Normal"/>
    <w:next w:val="Normal"/>
    <w:pPr>
      <w:ind w:left="480"/>
    </w:pPr>
  </w:style>
  <w:style w:type="paragraph" w:customStyle="1" w:styleId="Sumrio51">
    <w:name w:val="Sumário 51"/>
    <w:basedOn w:val="Normal"/>
    <w:next w:val="Normal"/>
    <w:pPr>
      <w:ind w:left="720"/>
    </w:pPr>
  </w:style>
  <w:style w:type="paragraph" w:customStyle="1" w:styleId="Sumrio61">
    <w:name w:val="Sumário 61"/>
    <w:basedOn w:val="Normal"/>
    <w:next w:val="Normal"/>
    <w:pPr>
      <w:ind w:left="960"/>
    </w:pPr>
  </w:style>
  <w:style w:type="paragraph" w:customStyle="1" w:styleId="Sumrio71">
    <w:name w:val="Sumário 71"/>
    <w:basedOn w:val="Normal"/>
    <w:next w:val="Normal"/>
    <w:pPr>
      <w:ind w:left="1200"/>
    </w:pPr>
  </w:style>
  <w:style w:type="paragraph" w:customStyle="1" w:styleId="Sumrio81">
    <w:name w:val="Sumário 81"/>
    <w:basedOn w:val="Normal"/>
    <w:next w:val="Normal"/>
    <w:pPr>
      <w:ind w:left="1440"/>
    </w:pPr>
  </w:style>
  <w:style w:type="paragraph" w:customStyle="1" w:styleId="Sumrio91">
    <w:name w:val="Sumário 91"/>
    <w:basedOn w:val="Normal"/>
    <w:next w:val="Normal"/>
    <w:pPr>
      <w:ind w:left="1680"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customStyle="1" w:styleId="Textodenotaderodap1">
    <w:name w:val="Texto de nota de rodapé1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customStyle="1" w:styleId="Pr-formataoHTML1">
    <w:name w:val="Pré-formatação HTML1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customStyle="1" w:styleId="Rodap1">
    <w:name w:val="Rodapé1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customStyle="1" w:styleId="Ttulo10">
    <w:name w:val="Título1"/>
    <w:basedOn w:val="Normal"/>
    <w:next w:val="Normal"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paragraph" w:customStyle="1" w:styleId="Subttulo1">
    <w:name w:val="Subtítulo1"/>
    <w:basedOn w:val="Normal"/>
    <w:next w:val="Normal"/>
    <w:pPr>
      <w:jc w:val="center"/>
    </w:pPr>
    <w:rPr>
      <w:rFonts w:ascii="Cambria" w:hAnsi="Cambria"/>
      <w:sz w:val="24"/>
      <w:szCs w:val="24"/>
    </w:rPr>
  </w:style>
  <w:style w:type="paragraph" w:customStyle="1" w:styleId="WW-Footnote">
    <w:name w:val="WW-Footnote"/>
    <w:basedOn w:val="Textodenotaderodap1"/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1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defim1">
    <w:name w:val="Texto de nota de fim1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Refdenotadefim1">
    <w:name w:val="Ref. de nota de fim1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notaderodap1">
    <w:name w:val="Ref. de nota de rodapé1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0158DC"/>
    <w:rPr>
      <w:b/>
      <w:bCs/>
    </w:rPr>
  </w:style>
  <w:style w:type="paragraph" w:styleId="Cabealho">
    <w:name w:val="header"/>
    <w:basedOn w:val="Normal"/>
    <w:link w:val="CabealhoChar1"/>
    <w:uiPriority w:val="99"/>
    <w:unhideWhenUsed/>
    <w:rsid w:val="0081503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815036"/>
    <w:rPr>
      <w:position w:val="-1"/>
      <w:lang w:val="en-US" w:eastAsia="ar-SA"/>
    </w:rPr>
  </w:style>
  <w:style w:type="paragraph" w:styleId="Rodap">
    <w:name w:val="footer"/>
    <w:basedOn w:val="Normal"/>
    <w:link w:val="RodapChar1"/>
    <w:uiPriority w:val="99"/>
    <w:unhideWhenUsed/>
    <w:rsid w:val="0081503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815036"/>
    <w:rPr>
      <w:position w:val="-1"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815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inhasant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EQmxqZqh2R6Vm+lTrtTE0GvRQ==">CgMxLjAyCGguZ2pkZ3hzMgloLjMwajB6bGwyCmlkLjFmb2I5dGUyCWguM2R5NnZrbTIJaC4xdDNoNXNmOAByITFHd05PRlhaYkM0TkZrQ2NlVkxORFg2VXhka3MwaWY2QQ==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1959</Words>
  <Characters>10579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Karolina Martins</cp:lastModifiedBy>
  <cp:revision>3</cp:revision>
  <dcterms:created xsi:type="dcterms:W3CDTF">2023-11-05T01:20:00Z</dcterms:created>
  <dcterms:modified xsi:type="dcterms:W3CDTF">2023-11-05T01:20:00Z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