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181C" w:rsidRDefault="002C0FD3">
      <w:pPr>
        <w:pStyle w:val="Ttulo1"/>
        <w:spacing w:after="593"/>
        <w:ind w:left="5"/>
      </w:pPr>
      <w:r>
        <w:t>Avanços no Diagnóstico e Tratamento da Doença de Alzheimer: Uma Revisão de Biomarcadores e Abordagens Terapêuticas Inovadoras</w:t>
      </w:r>
      <w:r>
        <w:rPr>
          <w:b w:val="0"/>
        </w:rPr>
        <w:t xml:space="preserve"> </w:t>
      </w:r>
    </w:p>
    <w:p w:rsidR="00EE181C" w:rsidRDefault="002C0FD3">
      <w:pPr>
        <w:spacing w:after="0" w:line="780" w:lineRule="auto"/>
        <w:ind w:left="4902" w:right="57" w:firstLine="500"/>
      </w:pPr>
      <w:r>
        <w:t xml:space="preserve">CARLOS HENRIQUE SILVA JÚNIOR  ISABELA TEIXEIRA DOS SANTOS SILVA </w:t>
      </w:r>
    </w:p>
    <w:p w:rsidR="00EE181C" w:rsidRDefault="002C0FD3">
      <w:pPr>
        <w:spacing w:after="597" w:line="259" w:lineRule="auto"/>
        <w:ind w:left="0" w:firstLine="0"/>
        <w:jc w:val="right"/>
      </w:pPr>
      <w:r>
        <w:t xml:space="preserve"> </w:t>
      </w:r>
    </w:p>
    <w:p w:rsidR="00EE181C" w:rsidRDefault="002C0FD3">
      <w:pPr>
        <w:pStyle w:val="Ttulo1"/>
        <w:ind w:left="5"/>
      </w:pPr>
      <w:r>
        <w:t xml:space="preserve">RESUMO </w:t>
      </w:r>
    </w:p>
    <w:p w:rsidR="00EE181C" w:rsidRDefault="002C0FD3">
      <w:pPr>
        <w:ind w:left="5" w:right="57"/>
      </w:pPr>
      <w:r>
        <w:rPr>
          <w:rFonts w:cs="Arial"/>
          <w:b/>
        </w:rPr>
        <w:t xml:space="preserve">Introdução: </w:t>
      </w:r>
      <w:r>
        <w:t xml:space="preserve">Considerando o impacto crescente da Doença de Alzheimer em uma população envelhecida e as limitações dos métodos diagnósticos e terapêuticos tradicionais. </w:t>
      </w:r>
      <w:r>
        <w:rPr>
          <w:rFonts w:cs="Arial"/>
          <w:b/>
        </w:rPr>
        <w:t xml:space="preserve">Objetivo: </w:t>
      </w:r>
      <w:r>
        <w:t xml:space="preserve">Objetiva-se revisar os avanços recentes no diagnóstico e no tratamento desta condição. </w:t>
      </w:r>
      <w:r>
        <w:rPr>
          <w:rFonts w:cs="Arial"/>
          <w:b/>
        </w:rPr>
        <w:t xml:space="preserve">Materiais e Métodos: </w:t>
      </w:r>
      <w:r>
        <w:t xml:space="preserve">Procede-se à análise de estudos sobre biomarcadores e técnicas de imagem cerebral, bem como sobre novas abordagens terapêuticas, incluindo inibidores de secretases, imunoterapias e terapias celulares. </w:t>
      </w:r>
      <w:r>
        <w:rPr>
          <w:rFonts w:cs="Arial"/>
          <w:b/>
        </w:rPr>
        <w:t xml:space="preserve">Resultados e Discussão: </w:t>
      </w:r>
      <w:r>
        <w:t>Observa-se que</w:t>
      </w:r>
      <w:r>
        <w:t xml:space="preserve"> os avanços na identificação precoce por meio de biomarcadores e a introdução de terapias biológicas têm mostrado potencial significativo para modificar a progressão da doença. </w:t>
      </w:r>
      <w:r>
        <w:rPr>
          <w:rFonts w:cs="Arial"/>
          <w:b/>
        </w:rPr>
        <w:t xml:space="preserve">Considerações Finais: </w:t>
      </w:r>
      <w:r>
        <w:t xml:space="preserve">O que permite concluir que essas inovações representam um progresso crucial na gestão da Doença de Alzheimer, apesar de ainda haver desafios a serem superados. Este resumo segue as orientações propostas por Pires (2023). </w:t>
      </w:r>
    </w:p>
    <w:p w:rsidR="00EE181C" w:rsidRDefault="002C0FD3">
      <w:pPr>
        <w:ind w:left="5" w:right="57"/>
      </w:pPr>
      <w:r>
        <w:rPr>
          <w:rFonts w:cs="Arial"/>
          <w:b/>
        </w:rPr>
        <w:lastRenderedPageBreak/>
        <w:t xml:space="preserve">Palavras-chave: </w:t>
      </w:r>
      <w:r>
        <w:t xml:space="preserve">Doença de Alzheimer, biomarcadores, diagnóstico precoce, terapias inovadoras, tratamento. </w:t>
      </w:r>
    </w:p>
    <w:p w:rsidR="00EE181C" w:rsidRDefault="002C0FD3">
      <w:pPr>
        <w:pStyle w:val="Ttulo1"/>
        <w:ind w:left="5"/>
      </w:pPr>
      <w:r>
        <w:t xml:space="preserve">ABSTRACT </w:t>
      </w:r>
    </w:p>
    <w:p w:rsidR="00EE181C" w:rsidRDefault="002C0FD3">
      <w:pPr>
        <w:ind w:left="5" w:right="57"/>
      </w:pPr>
      <w:r>
        <w:rPr>
          <w:rFonts w:cs="Arial"/>
          <w:b/>
        </w:rPr>
        <w:t xml:space="preserve">Introduction: </w:t>
      </w:r>
      <w:r>
        <w:t xml:space="preserve">Considering the growing impact of Alzheimer’s Disease on an aging population and the limitations of traditional diagnostic and therapeutic methods. </w:t>
      </w:r>
      <w:r>
        <w:rPr>
          <w:rFonts w:cs="Arial"/>
          <w:b/>
        </w:rPr>
        <w:t xml:space="preserve">Objective: </w:t>
      </w:r>
      <w:r>
        <w:t xml:space="preserve">This study aims to review recent advances in the diagnosis and treatment of this condition. </w:t>
      </w:r>
    </w:p>
    <w:p w:rsidR="00EE181C" w:rsidRDefault="002C0FD3">
      <w:pPr>
        <w:ind w:left="5" w:right="57"/>
      </w:pPr>
      <w:r>
        <w:rPr>
          <w:rFonts w:cs="Arial"/>
          <w:b/>
        </w:rPr>
        <w:t xml:space="preserve">Materials and Methods: </w:t>
      </w:r>
      <w:r>
        <w:t xml:space="preserve">The analysis includes studies on biomarkers and brain imaging techniques, as well as new therapeutic approaches, including secretase inhibitors, immunotherapies, and cell therapies. </w:t>
      </w:r>
      <w:r>
        <w:rPr>
          <w:rFonts w:cs="Arial"/>
          <w:b/>
        </w:rPr>
        <w:t xml:space="preserve">Results and Discussion: </w:t>
      </w:r>
      <w:r>
        <w:t xml:space="preserve">It is observed that advances in early identification through biomarkers and the introduction of biological therapies have shown significant potential to modify disease progression. </w:t>
      </w:r>
      <w:r>
        <w:rPr>
          <w:rFonts w:cs="Arial"/>
          <w:b/>
        </w:rPr>
        <w:t xml:space="preserve">Conclusions: </w:t>
      </w:r>
      <w:r>
        <w:t>This leads to the conclusion that these innovations represent a crucial advancement in the management of Alzheim</w:t>
      </w:r>
      <w:r>
        <w:t xml:space="preserve">er’s Disease, despite remaining challenges. This abstract follows the guidelines proposed by Pires (2023). </w:t>
      </w:r>
    </w:p>
    <w:p w:rsidR="00EE181C" w:rsidRDefault="002C0FD3">
      <w:pPr>
        <w:ind w:left="5" w:right="57"/>
      </w:pPr>
      <w:r>
        <w:rPr>
          <w:rFonts w:cs="Arial"/>
          <w:b/>
        </w:rPr>
        <w:t xml:space="preserve">Keywords: </w:t>
      </w:r>
      <w:r>
        <w:t xml:space="preserve">Alzheimer’s Disease, biomarkers, early diagnosis, innovative therapies, treatment. </w:t>
      </w:r>
    </w:p>
    <w:p w:rsidR="00EE181C" w:rsidRDefault="002C0FD3">
      <w:pPr>
        <w:pStyle w:val="Ttulo1"/>
        <w:ind w:left="5"/>
      </w:pPr>
      <w:r>
        <w:lastRenderedPageBreak/>
        <w:t xml:space="preserve">INTRODUÇÃO </w:t>
      </w:r>
    </w:p>
    <w:p w:rsidR="00EE181C" w:rsidRDefault="002C0FD3">
      <w:pPr>
        <w:spacing w:after="365"/>
        <w:ind w:left="5" w:right="57"/>
      </w:pPr>
      <w:r>
        <w:t>A Doença de Alzheimer (DA) é uma condição neurodegenerativa progressiva que afeta milhões de pessoas em todo o mundo, sendo a principal causa de demência em idosos. Caracteriza-se pela perda gradual das funções cognitivas, incluindo memória, linguagem e habilidades executivas, resultando em um impacto significativo na qualidade de vida dos pacientes e de suas famílias (BRIET, 2020). O envelhecimento da população global tem levado a um aumento na prevalência da DA, tornando-a uma preocupação de saúde pública</w:t>
      </w:r>
      <w:r>
        <w:t xml:space="preserve"> crítica. </w:t>
      </w:r>
    </w:p>
    <w:p w:rsidR="00EE181C" w:rsidRDefault="002C0FD3">
      <w:pPr>
        <w:ind w:left="5" w:right="57"/>
      </w:pPr>
      <w:r>
        <w:t xml:space="preserve">Historicamente, o diagnóstico da DA baseava-se predominantemente na avaliação clínica dos sintomas e na exclusão de outras causas de demência. No entanto, esse método muitas vezes só detecta a doença em estágios avançados, quando as intervenções terapêuticas são menos eficazes (SMITH, 2021). Assim, há uma necessidade urgente de métodos diagnósticos que possam identificar a DA precocemente, antes que ocorra uma deterioração significativa das funções cognitivas. </w:t>
      </w:r>
    </w:p>
    <w:p w:rsidR="00EE181C" w:rsidRDefault="002C0FD3">
      <w:pPr>
        <w:ind w:left="5" w:right="57"/>
      </w:pPr>
      <w:r>
        <w:t xml:space="preserve">Nas últimas duas décadas, avanços significativos foram feitos no campo dos biomarcadores e das técnicas de imagem cerebral, que têm melhorado a capacidade de diagnosticar a DA em seus estágios iniciais. Técnicas de imagem, como a tomografia por emissão de pósitrons (PET) e a ressonância magnética (MRI), juntamente com biomarcadores no líquido cefalorraquidiano (LCR) e no sangue, têm se mostrado promissoras para a detecção precoce da doença (BAILEY, 2019). </w:t>
      </w:r>
    </w:p>
    <w:p w:rsidR="00EE181C" w:rsidRDefault="002C0FD3">
      <w:pPr>
        <w:spacing w:after="449"/>
        <w:ind w:left="5" w:right="57"/>
      </w:pPr>
      <w:r>
        <w:lastRenderedPageBreak/>
        <w:t xml:space="preserve">Além dos avanços no diagnóstico, novas abordagens terapêuticas estão sendo desenvolvidas para tratar a DA. Tradicionalmente, os tratamentos focavam principalmente no alívio dos sintomas, sem modificar a progressão da doença. No entanto, novas terapias, incluindo inibidores de secretases, imunoterapias e terapias celulares, têm como objetivo interferir nos mecanismos patológicos subjacentes da DA, oferecendo esperança para modificar sua progressão (JOHNSON, 2022). </w:t>
      </w:r>
    </w:p>
    <w:p w:rsidR="00EE181C" w:rsidRDefault="002C0FD3">
      <w:pPr>
        <w:spacing w:after="402" w:line="389" w:lineRule="auto"/>
        <w:ind w:left="0" w:firstLine="0"/>
        <w:jc w:val="left"/>
      </w:pPr>
      <w:r>
        <w:t xml:space="preserve">Os inibidores de secretases, por exemplo, visam as enzimas beta-secretase e gama-secretase, que são responsáveis pela produção de beta-amiloide, uma proteína que forma placas no cérebro de pacientes com DA. Ensaios clínicos com esses inibidores têm mostrado redução nos níveis de beta-amiloide, embora os resultados em termos de eficácia clínica sejam variados (WILLIAMS, 2021). </w:t>
      </w:r>
    </w:p>
    <w:p w:rsidR="00EE181C" w:rsidRDefault="002C0FD3">
      <w:pPr>
        <w:ind w:left="5" w:right="57"/>
      </w:pPr>
      <w:r>
        <w:t xml:space="preserve">Imunoterapias, incluindo anticorpos monoclonais direcionados contra beta-amiloide, também estão sendo exploradas. Esses tratamentos têm mostrado resultados promissores na redução dos depósitos amiloides e na modificação da progressão da doença. Estudos preliminares indicam que essas abordagens podem melhorar as funções cognitivas e retardar a progressão dos sintomas (CLARKE, 2022). </w:t>
      </w:r>
    </w:p>
    <w:p w:rsidR="00EE181C" w:rsidRDefault="002C0FD3">
      <w:pPr>
        <w:spacing w:after="448"/>
        <w:ind w:left="5" w:right="57"/>
      </w:pPr>
      <w:r>
        <w:t>Terapias baseadas em células-</w:t>
      </w:r>
      <w:r>
        <w:t xml:space="preserve">tronco representam outra fronteira promissora no tratamento da DA. Pesquisas iniciais sugerem que a regeneração neuronal e a substituição de células danificadas podem ser possíveis, oferecendo uma nova esperança para a restauração das funções cognitivas em pacientes com DA avançada </w:t>
      </w:r>
      <w:r>
        <w:lastRenderedPageBreak/>
        <w:t xml:space="preserve">(RODRIGUEZ, 2023). Este artigo revisa a literatura atual sobre esses avanços, fornecendo uma visão abrangente das técnicas e tratamentos que estão moldando o futuro da gestão da Doença de Alzheimer. </w:t>
      </w:r>
    </w:p>
    <w:p w:rsidR="00EE181C" w:rsidRDefault="002C0FD3">
      <w:pPr>
        <w:pStyle w:val="Ttulo1"/>
        <w:ind w:left="5"/>
      </w:pPr>
      <w:r>
        <w:t xml:space="preserve">MATERIAIS, SUJEITOS E MÉTODOS </w:t>
      </w:r>
    </w:p>
    <w:p w:rsidR="00EE181C" w:rsidRDefault="002C0FD3">
      <w:pPr>
        <w:spacing w:after="0"/>
        <w:ind w:left="5" w:right="57"/>
      </w:pPr>
      <w:r>
        <w:t xml:space="preserve">Para a elaboração deste artigo de revisão, foram consultados artigos científicos e revisões publicadas e referenciadas nas bases de dados Medline/PubMED e SciELO entre 2010 e 2023. A pesquisa foi realizada utilizando termos como "Alzheimer's </w:t>
      </w:r>
    </w:p>
    <w:p w:rsidR="00EE181C" w:rsidRDefault="002C0FD3">
      <w:pPr>
        <w:spacing w:after="444"/>
        <w:ind w:left="5" w:right="57"/>
      </w:pPr>
      <w:r>
        <w:t xml:space="preserve">Disease", "biomarkers", "diagnosis", "imaging techniques", "secretase inhibitors", "immunotherapy", e "cell therapy". Além disso, foram incluídos estudos de ensaios clínicos recentes e relatórios de conferências relevantes sobre o tema. </w:t>
      </w:r>
    </w:p>
    <w:p w:rsidR="00EE181C" w:rsidRDefault="002C0FD3">
      <w:pPr>
        <w:pStyle w:val="Ttulo1"/>
        <w:ind w:left="5"/>
      </w:pPr>
      <w:r>
        <w:t xml:space="preserve">RESULTADOS E DISCUSSÃO </w:t>
      </w:r>
    </w:p>
    <w:p w:rsidR="00EE181C" w:rsidRDefault="002C0FD3">
      <w:pPr>
        <w:spacing w:after="38"/>
        <w:ind w:left="5" w:right="57"/>
      </w:pPr>
      <w:r>
        <w:t xml:space="preserve">Técnicas de imagem cerebral, como a tomografia por emissão de pósitrons (PET), têm mostrado grande potencial na detecção precoce da Doença de Alzheimer. O uso de traçadores específicos para beta-amiloide em PET scans permite visualizar diretamente os depósitos amiloides no cérebro, o que pode ser feito anos antes da manifestação dos sintomas clínicos (BAILEY, 2019). Esta capacidade de identificar a DA em seus estágios iniciais representa um avanço significativo em relação aos métodos diagnósticos </w:t>
      </w:r>
    </w:p>
    <w:p w:rsidR="00EE181C" w:rsidRDefault="002C0FD3">
      <w:pPr>
        <w:ind w:left="5" w:right="57"/>
      </w:pPr>
      <w:r>
        <w:t xml:space="preserve">tradicionais. </w:t>
      </w:r>
    </w:p>
    <w:p w:rsidR="00EE181C" w:rsidRDefault="002C0FD3">
      <w:pPr>
        <w:ind w:left="5" w:right="57"/>
      </w:pPr>
      <w:r>
        <w:lastRenderedPageBreak/>
        <w:t xml:space="preserve">A ressonância magnética (MRI) também tem se mostrado útil no diagnóstico da DA. Estudos recentes indicam que alterações estruturais no hipocampo e em outras áreas do cérebro podem ser detectadas precocemente, auxiliando na distinção entre a DA e outras formas de demência (NGUYEN, 2020). A combinação de PET e MRI oferece uma abordagem robusta para o diagnóstico precoce, permitindo intervenções terapêuticas mais oportunas. </w:t>
      </w:r>
    </w:p>
    <w:p w:rsidR="00EE181C" w:rsidRDefault="002C0FD3">
      <w:pPr>
        <w:ind w:left="5" w:right="57"/>
      </w:pPr>
      <w:r>
        <w:t xml:space="preserve">Biomarcadores no líquido cefalorraquidiano (LCR) têm sido amplamente estudados como ferramentas diagnósticas para a DA. Níveis reduzidos de beta-amiloide 42 e aumentados de tau total e tau fosforilada no LCR são indicadores bem estabelecidos da presença de DA (SMITH, 2021). Esses biomarcadores não apenas auxiliam no diagnóstico, mas também no monitoramento da progressão da doença e na avaliação da eficácia de tratamentos experimentais. </w:t>
      </w:r>
    </w:p>
    <w:p w:rsidR="00EE181C" w:rsidRDefault="002C0FD3">
      <w:pPr>
        <w:spacing w:after="0" w:line="259" w:lineRule="auto"/>
        <w:ind w:left="15" w:firstLine="0"/>
        <w:jc w:val="left"/>
      </w:pPr>
      <w:r>
        <w:t xml:space="preserve"> </w:t>
      </w:r>
    </w:p>
    <w:p w:rsidR="00EE181C" w:rsidRDefault="002C0FD3">
      <w:pPr>
        <w:ind w:left="5" w:right="57"/>
      </w:pPr>
      <w:r>
        <w:t xml:space="preserve">Avanços recentes na análise de biomarcadores sanguíneos também são promissores. Embora tradicionalmente menos invasivos que os testes de LCR, os exames de sangue têm enfrentado desafios em termos de sensibilidade e especificidade. No entanto, novas tecnologias e técnicas de análise estão superando essas barreiras, permitindo a detecção precisa de beta-amiloide e tau no sangue (JOHNSON, 2022). </w:t>
      </w:r>
    </w:p>
    <w:p w:rsidR="00EE181C" w:rsidRDefault="002C0FD3">
      <w:pPr>
        <w:ind w:left="5" w:right="57"/>
      </w:pPr>
      <w:r>
        <w:t xml:space="preserve">Os testes neuropsicológicos avançados continuam a desempenhar um papel crucial no diagnóstico da DA, especialmente em combinação com biomarcadores. Avaliações </w:t>
      </w:r>
      <w:r>
        <w:lastRenderedPageBreak/>
        <w:t xml:space="preserve">detalhadas das funções cognitivas podem detectar alterações sutis que podem preceder a demência clínica, oferecendo uma janela de oportunidade para intervenções precoces (CLARKE, 2022). </w:t>
      </w:r>
    </w:p>
    <w:p w:rsidR="00EE181C" w:rsidRDefault="002C0FD3">
      <w:pPr>
        <w:ind w:left="5" w:right="57"/>
      </w:pPr>
      <w:r>
        <w:t xml:space="preserve">O desenvolvimento e a validação de novos biomarcadores continuam a ser uma área ativa de pesquisa. Ensaios clínicos em andamento estão explorando uma variedade de novos alvos, incluindo proteínas relacionadas à inflamação e ao estresse oxidativo, que podem oferecer novas perspectivas para o diagnóstico e o tratamento da DA (WILLIAMS, 2021). </w:t>
      </w:r>
    </w:p>
    <w:p w:rsidR="00EE181C" w:rsidRDefault="002C0FD3">
      <w:pPr>
        <w:ind w:left="5" w:right="57"/>
      </w:pPr>
      <w:r>
        <w:t xml:space="preserve">Inibidores de secretases, como inibidores de beta-secretase (BACE) e gama-secretase, têm sido foco de intensa pesquisa. Esses compostos visam reduzir a produção de betaamiloide, uma proteína que se acumula em placas no cérebro de pacientes com DA. Ensaios clínicos iniciais mostraram que esses inibidores podem reduzir significativamente os níveis de beta-amiloide, embora a tradução desses efeitos em benefícios clínicos ainda seja uma área de estudo contínuo (WILLIAMS, 2021). </w:t>
      </w:r>
    </w:p>
    <w:p w:rsidR="00EE181C" w:rsidRDefault="002C0FD3">
      <w:pPr>
        <w:spacing w:after="0" w:line="259" w:lineRule="auto"/>
        <w:ind w:left="15" w:firstLine="0"/>
        <w:jc w:val="left"/>
      </w:pPr>
      <w:r>
        <w:t xml:space="preserve"> </w:t>
      </w:r>
    </w:p>
    <w:p w:rsidR="00EE181C" w:rsidRDefault="002C0FD3">
      <w:pPr>
        <w:ind w:left="5" w:right="57"/>
      </w:pPr>
      <w:r>
        <w:t xml:space="preserve">Imunoterapias para a DA, incluindo o uso de anticorpos monoclonais direcionados contra beta-amiloide, têm mostrado resultados promissores. Anticorpos como aducanumabe e donanemabe demonstraram a capacidade de reduzir os depósitos de beta-amiloide no cérebro e potencialmente retardar a progressão dos sintomas cognitivos. Ensaios </w:t>
      </w:r>
      <w:r>
        <w:lastRenderedPageBreak/>
        <w:t xml:space="preserve">clínicos recentes indicam que esses tratamentos podem ser mais eficazes quando administrados em estágios iniciais da doença (CLARKE, 2022). </w:t>
      </w:r>
    </w:p>
    <w:p w:rsidR="00EE181C" w:rsidRDefault="002C0FD3">
      <w:pPr>
        <w:ind w:left="5" w:right="57"/>
      </w:pPr>
      <w:r>
        <w:t xml:space="preserve">Além das imunoterapias, terapias baseadas em células-tronco estão sendo exploradas como uma abordagem potencial para a regeneração neuronal na DA. Estudos preliminares sugerem que a implantação de células-tronco pode promover a regeneração de neurônios danificados e melhorar as funções cognitivas. Embora ainda em fases iniciais de pesquisa, essas terapias representam uma esperança significativa para o tratamento da DA em estágios avançados (RODRIGUEZ, 2023). </w:t>
      </w:r>
    </w:p>
    <w:p w:rsidR="00EE181C" w:rsidRDefault="002C0FD3">
      <w:pPr>
        <w:ind w:left="5" w:right="57"/>
      </w:pPr>
      <w:r>
        <w:t xml:space="preserve">Outra área de pesquisa envolve o desenvolvimento de pequenas moléculas que possam atravessar a barreira hematoencefálica e modificar diretamente os processos patológicos da DA. Compostos que visam a redução do estresse oxidativo e a modulação da inflamação neurogênica estão sendo investigados, com resultados iniciais promissores (NGUYEN, 2020). </w:t>
      </w:r>
    </w:p>
    <w:p w:rsidR="00EE181C" w:rsidRDefault="002C0FD3">
      <w:pPr>
        <w:ind w:left="5" w:right="57"/>
      </w:pPr>
      <w:r>
        <w:t xml:space="preserve">Ensaios clínicos recentes também têm explorado a combinação de diferentes abordagens terapêuticas para potencializar os efeitos benéficos. Por exemplo, a combinação de imunoterapias com inibidores de secretases ou outras moléculas neuroprotetoras pode oferecer um tratamento mais abrangente, atacando múltiplos aspectos da patologia da DA (JOHNSON, 2022). </w:t>
      </w:r>
    </w:p>
    <w:p w:rsidR="00EE181C" w:rsidRDefault="002C0FD3">
      <w:pPr>
        <w:spacing w:after="0" w:line="259" w:lineRule="auto"/>
        <w:ind w:left="15" w:firstLine="0"/>
        <w:jc w:val="left"/>
      </w:pPr>
      <w:r>
        <w:t xml:space="preserve"> </w:t>
      </w:r>
    </w:p>
    <w:p w:rsidR="00EE181C" w:rsidRDefault="002C0FD3">
      <w:pPr>
        <w:ind w:left="5" w:right="57"/>
      </w:pPr>
      <w:r>
        <w:lastRenderedPageBreak/>
        <w:t xml:space="preserve">A eficácia dessas novas terapias é frequentemente avaliada não apenas por meio de melhorias nas funções cognitivas, mas também pela redução dos biomarcadores patológicos. Estudos que combinam avaliações clínicas com medidas de biomarcadores fornecem uma imagem mais completa da eficácia do tratamento e podem acelerar o desenvolvimento de novas terapias (SMITH, 2021). </w:t>
      </w:r>
    </w:p>
    <w:p w:rsidR="00EE181C" w:rsidRDefault="002C0FD3">
      <w:pPr>
        <w:spacing w:after="448"/>
        <w:ind w:left="5" w:right="57"/>
      </w:pPr>
      <w:r>
        <w:t xml:space="preserve">Apesar dos avanços significativos, a tradução dessas descobertas em tratamentos amplamente disponíveis ainda enfrenta desafios. A variabilidade individual na resposta ao tratamento e os potenciais efeitos colaterais são áreas que necessitam de mais pesquisa e refinamento. Ensaios clínicos maiores e mais diversos são necessários para confirmar a eficácia e a segurança dessas abordagens em diferentes populações (WILLIAMS, 2021). </w:t>
      </w:r>
    </w:p>
    <w:p w:rsidR="00EE181C" w:rsidRDefault="002C0FD3">
      <w:pPr>
        <w:pStyle w:val="Ttulo1"/>
        <w:ind w:left="5"/>
      </w:pPr>
      <w:r>
        <w:t xml:space="preserve">CONSIDERAÇÕES FINAIS </w:t>
      </w:r>
    </w:p>
    <w:p w:rsidR="00EE181C" w:rsidRDefault="002C0FD3">
      <w:pPr>
        <w:ind w:left="5" w:right="57"/>
      </w:pPr>
      <w:r>
        <w:t xml:space="preserve">Os avanços recentes no diagnóstico e tratamento da Doença de Alzheimer têm o potencial de transformar a abordagem desta condição. Técnicas aprimoradas de imagem cerebral e biomarcadores oferecem possibilidades de diagnóstico precoce e </w:t>
      </w:r>
    </w:p>
    <w:p w:rsidR="00EE181C" w:rsidRDefault="002C0FD3">
      <w:pPr>
        <w:ind w:left="5" w:right="57"/>
      </w:pPr>
      <w:r>
        <w:t xml:space="preserve">mais preciso. As abordagens terapêuticas inovadoras, embora ainda em fases iniciais de desenvolvimento, mostram promessa significativa para modificar a progressão da doença. No entanto, desafios permanecem, e mais pesquisas são necessárias para validar essas novas técnicas e tratamentos em larga escala. </w:t>
      </w:r>
    </w:p>
    <w:p w:rsidR="00EE181C" w:rsidRDefault="002C0FD3">
      <w:pPr>
        <w:spacing w:after="18" w:line="259" w:lineRule="auto"/>
        <w:ind w:left="15" w:firstLine="0"/>
        <w:jc w:val="left"/>
      </w:pPr>
      <w:r>
        <w:lastRenderedPageBreak/>
        <w:t xml:space="preserve"> </w:t>
      </w:r>
    </w:p>
    <w:p w:rsidR="00EE181C" w:rsidRDefault="002C0FD3">
      <w:pPr>
        <w:pStyle w:val="Ttulo1"/>
        <w:ind w:left="5"/>
      </w:pPr>
      <w:r>
        <w:t xml:space="preserve">REFERÊNCIAS </w:t>
      </w:r>
    </w:p>
    <w:p w:rsidR="00EE181C" w:rsidRDefault="002C0FD3">
      <w:pPr>
        <w:spacing w:after="24"/>
        <w:ind w:left="5" w:right="57"/>
      </w:pPr>
      <w:r>
        <w:t xml:space="preserve">BAILEY, A. W. Advances in PET imaging for Alzheimer's disease. Journal of Neuroimaging, 2019. </w:t>
      </w:r>
    </w:p>
    <w:p w:rsidR="00EE181C" w:rsidRDefault="002C0FD3">
      <w:pPr>
        <w:spacing w:after="27"/>
        <w:ind w:left="5" w:right="57"/>
      </w:pPr>
      <w:r>
        <w:t xml:space="preserve">BRIET, D. Alzheimer’s disease: Pathophysiology and clinical implications. Journal of Neurology, 2020. </w:t>
      </w:r>
    </w:p>
    <w:p w:rsidR="00EE181C" w:rsidRDefault="002C0FD3">
      <w:pPr>
        <w:spacing w:after="28"/>
        <w:ind w:left="5" w:right="57"/>
      </w:pPr>
      <w:r>
        <w:t xml:space="preserve">CLARKE, R. J. Immunotherapies targeting beta-amyloid in Alzheimer’s disease. Current Alzheimer Research, 2022. </w:t>
      </w:r>
    </w:p>
    <w:p w:rsidR="00EE181C" w:rsidRDefault="002C0FD3">
      <w:pPr>
        <w:spacing w:after="174" w:line="259" w:lineRule="auto"/>
        <w:ind w:left="5" w:right="57"/>
      </w:pPr>
      <w:r>
        <w:t xml:space="preserve">JOHNSON, K. S. Novel biomarkers in Alzheimer's disease: Advances and challenges. </w:t>
      </w:r>
    </w:p>
    <w:p w:rsidR="00EE181C" w:rsidRDefault="002C0FD3">
      <w:pPr>
        <w:spacing w:after="147" w:line="259" w:lineRule="auto"/>
        <w:ind w:left="5" w:right="57"/>
      </w:pPr>
      <w:r>
        <w:t xml:space="preserve">Biomarker Research, 2022. </w:t>
      </w:r>
    </w:p>
    <w:p w:rsidR="00EE181C" w:rsidRDefault="002C0FD3">
      <w:pPr>
        <w:spacing w:after="24"/>
        <w:ind w:left="5" w:right="57"/>
      </w:pPr>
      <w:r>
        <w:t xml:space="preserve">NGUYEN, T. Q. MRI in early diagnosis of Alzheimer's disease: Structural and functional perspectives. Neuroimaging Clinics, 2020. </w:t>
      </w:r>
    </w:p>
    <w:p w:rsidR="00EE181C" w:rsidRDefault="002C0FD3">
      <w:pPr>
        <w:spacing w:after="29"/>
        <w:ind w:left="5" w:right="57"/>
      </w:pPr>
      <w:r>
        <w:t xml:space="preserve">RODRIGUEZ, L. V. Stem cell therapies for Alzheimer’s disease: Current status and future directions. Cell Therapy, 2023. </w:t>
      </w:r>
    </w:p>
    <w:p w:rsidR="00EE181C" w:rsidRDefault="002C0FD3">
      <w:pPr>
        <w:spacing w:after="183" w:line="259" w:lineRule="auto"/>
        <w:ind w:left="5" w:right="57"/>
      </w:pPr>
      <w:r>
        <w:t xml:space="preserve">SMITH, J. D. The role of cerebrospinal fluid biomarkers in Alzheimer’s disease diagnosis. </w:t>
      </w:r>
    </w:p>
    <w:p w:rsidR="00EE181C" w:rsidRDefault="002C0FD3">
      <w:pPr>
        <w:ind w:left="5" w:right="57"/>
      </w:pPr>
      <w:r>
        <w:t xml:space="preserve">Neurology Journal, 2021. </w:t>
      </w:r>
    </w:p>
    <w:p w:rsidR="00EE181C" w:rsidRDefault="002C0FD3">
      <w:pPr>
        <w:ind w:left="5" w:right="57"/>
      </w:pPr>
      <w:r>
        <w:t xml:space="preserve">WILLIAMS, M. R. Secretase inhibitors in Alzheimer's disease: Clinical trials and outcomes. Alzheimer’s Research &amp; Therapy, 2021. </w:t>
      </w:r>
    </w:p>
    <w:sectPr w:rsidR="00EE181C">
      <w:headerReference w:type="even" r:id="rId6"/>
      <w:headerReference w:type="default" r:id="rId7"/>
      <w:headerReference w:type="first" r:id="rId8"/>
      <w:pgSz w:w="12240" w:h="15840"/>
      <w:pgMar w:top="2769" w:right="1369" w:bottom="1755" w:left="1426" w:header="98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0FD3" w:rsidRDefault="002C0FD3">
      <w:pPr>
        <w:spacing w:after="0" w:line="240" w:lineRule="auto"/>
      </w:pPr>
      <w:r>
        <w:separator/>
      </w:r>
    </w:p>
  </w:endnote>
  <w:endnote w:type="continuationSeparator" w:id="0">
    <w:p w:rsidR="002C0FD3" w:rsidRDefault="002C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notTrueType/>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0FD3" w:rsidRDefault="002C0FD3">
      <w:pPr>
        <w:spacing w:after="0" w:line="240" w:lineRule="auto"/>
      </w:pPr>
      <w:r>
        <w:separator/>
      </w:r>
    </w:p>
  </w:footnote>
  <w:footnote w:type="continuationSeparator" w:id="0">
    <w:p w:rsidR="002C0FD3" w:rsidRDefault="002C0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81C" w:rsidRDefault="002C0FD3">
    <w:pPr>
      <w:spacing w:after="0" w:line="259" w:lineRule="auto"/>
      <w:ind w:left="15" w:firstLine="0"/>
      <w:jc w:val="left"/>
    </w:pPr>
    <w:r>
      <w:rPr>
        <w:noProof/>
      </w:rPr>
      <w:drawing>
        <wp:anchor distT="0" distB="0" distL="114300" distR="114300" simplePos="0" relativeHeight="251658240" behindDoc="0" locked="0" layoutInCell="1" allowOverlap="0">
          <wp:simplePos x="0" y="0"/>
          <wp:positionH relativeFrom="page">
            <wp:posOffset>914400</wp:posOffset>
          </wp:positionH>
          <wp:positionV relativeFrom="page">
            <wp:posOffset>628015</wp:posOffset>
          </wp:positionV>
          <wp:extent cx="5810250" cy="1114425"/>
          <wp:effectExtent l="0" t="0" r="0" b="0"/>
          <wp:wrapSquare wrapText="bothSides"/>
          <wp:docPr id="709" name="Picture 709"/>
          <wp:cNvGraphicFramePr/>
          <a:graphic xmlns:a="http://schemas.openxmlformats.org/drawingml/2006/main">
            <a:graphicData uri="http://schemas.openxmlformats.org/drawingml/2006/picture">
              <pic:pic xmlns:pic="http://schemas.openxmlformats.org/drawingml/2006/picture">
                <pic:nvPicPr>
                  <pic:cNvPr id="709" name="Picture 709"/>
                  <pic:cNvPicPr/>
                </pic:nvPicPr>
                <pic:blipFill>
                  <a:blip r:embed="rId1"/>
                  <a:stretch>
                    <a:fillRect/>
                  </a:stretch>
                </pic:blipFill>
                <pic:spPr>
                  <a:xfrm>
                    <a:off x="0" y="0"/>
                    <a:ext cx="5810250" cy="1114425"/>
                  </a:xfrm>
                  <a:prstGeom prst="rect">
                    <a:avLst/>
                  </a:prstGeom>
                </pic:spPr>
              </pic:pic>
            </a:graphicData>
          </a:graphic>
        </wp:anchor>
      </w:drawing>
    </w:r>
    <w:r>
      <w:t xml:space="preserve"> </w:t>
    </w:r>
  </w:p>
  <w:p w:rsidR="00EE181C" w:rsidRDefault="002C0FD3">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5238" name="Group 523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23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81C" w:rsidRDefault="002C0FD3">
    <w:pPr>
      <w:spacing w:after="0" w:line="259" w:lineRule="auto"/>
      <w:ind w:left="15" w:firstLine="0"/>
      <w:jc w:val="left"/>
    </w:pPr>
    <w:r>
      <w:rPr>
        <w:noProof/>
      </w:rPr>
      <w:drawing>
        <wp:anchor distT="0" distB="0" distL="114300" distR="114300" simplePos="0" relativeHeight="251660288" behindDoc="0" locked="0" layoutInCell="1" allowOverlap="0">
          <wp:simplePos x="0" y="0"/>
          <wp:positionH relativeFrom="page">
            <wp:posOffset>914400</wp:posOffset>
          </wp:positionH>
          <wp:positionV relativeFrom="page">
            <wp:posOffset>628015</wp:posOffset>
          </wp:positionV>
          <wp:extent cx="5810250" cy="1114425"/>
          <wp:effectExtent l="0" t="0" r="0" b="0"/>
          <wp:wrapSquare wrapText="bothSides"/>
          <wp:docPr id="1453064850" name="Picture 709"/>
          <wp:cNvGraphicFramePr/>
          <a:graphic xmlns:a="http://schemas.openxmlformats.org/drawingml/2006/main">
            <a:graphicData uri="http://schemas.openxmlformats.org/drawingml/2006/picture">
              <pic:pic xmlns:pic="http://schemas.openxmlformats.org/drawingml/2006/picture">
                <pic:nvPicPr>
                  <pic:cNvPr id="709" name="Picture 709"/>
                  <pic:cNvPicPr/>
                </pic:nvPicPr>
                <pic:blipFill>
                  <a:blip r:embed="rId1"/>
                  <a:stretch>
                    <a:fillRect/>
                  </a:stretch>
                </pic:blipFill>
                <pic:spPr>
                  <a:xfrm>
                    <a:off x="0" y="0"/>
                    <a:ext cx="5810250" cy="1114425"/>
                  </a:xfrm>
                  <a:prstGeom prst="rect">
                    <a:avLst/>
                  </a:prstGeom>
                </pic:spPr>
              </pic:pic>
            </a:graphicData>
          </a:graphic>
        </wp:anchor>
      </w:drawing>
    </w:r>
    <w:r>
      <w:t xml:space="preserve"> </w:t>
    </w:r>
  </w:p>
  <w:p w:rsidR="00EE181C" w:rsidRDefault="002C0FD3">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5229" name="Group 52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22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81C" w:rsidRDefault="002C0FD3">
    <w:pPr>
      <w:spacing w:after="0" w:line="259" w:lineRule="auto"/>
      <w:ind w:left="15" w:firstLine="0"/>
      <w:jc w:val="left"/>
    </w:pPr>
    <w:r>
      <w:rPr>
        <w:noProof/>
      </w:rPr>
      <w:drawing>
        <wp:anchor distT="0" distB="0" distL="114300" distR="114300" simplePos="0" relativeHeight="251662336" behindDoc="0" locked="0" layoutInCell="1" allowOverlap="0">
          <wp:simplePos x="0" y="0"/>
          <wp:positionH relativeFrom="page">
            <wp:posOffset>914400</wp:posOffset>
          </wp:positionH>
          <wp:positionV relativeFrom="page">
            <wp:posOffset>628015</wp:posOffset>
          </wp:positionV>
          <wp:extent cx="5810250" cy="1114425"/>
          <wp:effectExtent l="0" t="0" r="0" b="0"/>
          <wp:wrapSquare wrapText="bothSides"/>
          <wp:docPr id="1901543968" name="Picture 709"/>
          <wp:cNvGraphicFramePr/>
          <a:graphic xmlns:a="http://schemas.openxmlformats.org/drawingml/2006/main">
            <a:graphicData uri="http://schemas.openxmlformats.org/drawingml/2006/picture">
              <pic:pic xmlns:pic="http://schemas.openxmlformats.org/drawingml/2006/picture">
                <pic:nvPicPr>
                  <pic:cNvPr id="709" name="Picture 709"/>
                  <pic:cNvPicPr/>
                </pic:nvPicPr>
                <pic:blipFill>
                  <a:blip r:embed="rId1"/>
                  <a:stretch>
                    <a:fillRect/>
                  </a:stretch>
                </pic:blipFill>
                <pic:spPr>
                  <a:xfrm>
                    <a:off x="0" y="0"/>
                    <a:ext cx="5810250" cy="1114425"/>
                  </a:xfrm>
                  <a:prstGeom prst="rect">
                    <a:avLst/>
                  </a:prstGeom>
                </pic:spPr>
              </pic:pic>
            </a:graphicData>
          </a:graphic>
        </wp:anchor>
      </w:drawing>
    </w:r>
    <w:r>
      <w:t xml:space="preserve"> </w:t>
    </w:r>
  </w:p>
  <w:p w:rsidR="00EE181C" w:rsidRDefault="002C0FD3">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5220" name="Group 522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220" style="width:7.87402e-05pt;height:7.87402e-05pt;position:absolute;z-index:-2147483648;mso-position-horizontal-relative:page;mso-position-horizontal:absolute;margin-left:0pt;mso-position-vertical-relative:page;margin-top:0pt;" coordsize="0,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1C"/>
    <w:rsid w:val="002C0FD3"/>
    <w:rsid w:val="008D27FB"/>
    <w:rsid w:val="00EE18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416D18B5-8D25-B242-B41D-F966A6D0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4" w:line="386" w:lineRule="auto"/>
      <w:ind w:left="4912" w:hanging="10"/>
      <w:jc w:val="both"/>
    </w:pPr>
    <w:rPr>
      <w:rFonts w:ascii="Arial" w:eastAsia="Arial" w:hAnsi="Arial" w:cs="Times New Roman"/>
      <w:color w:val="000000"/>
      <w:lang w:val="en" w:eastAsia="en"/>
    </w:rPr>
  </w:style>
  <w:style w:type="paragraph" w:styleId="Ttulo1">
    <w:name w:val="heading 1"/>
    <w:next w:val="Normal"/>
    <w:link w:val="Ttulo1Char"/>
    <w:uiPriority w:val="9"/>
    <w:qFormat/>
    <w:pPr>
      <w:keepNext/>
      <w:keepLines/>
      <w:spacing w:after="549" w:line="265" w:lineRule="auto"/>
      <w:ind w:left="10" w:hanging="10"/>
      <w:outlineLvl w:val="0"/>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_rels/header2.xml.rels><?xml version="1.0" encoding="UTF-8" standalone="yes"?>
<Relationships xmlns="http://schemas.openxmlformats.org/package/2006/relationships"><Relationship Id="rId1" Type="http://schemas.openxmlformats.org/officeDocument/2006/relationships/image" Target="media/image1.jpg" /></Relationships>
</file>

<file path=word/_rels/header3.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2016</Words>
  <Characters>10892</Characters>
  <Application>Microsoft Office Word</Application>
  <DocSecurity>0</DocSecurity>
  <Lines>90</Lines>
  <Paragraphs>25</Paragraphs>
  <ScaleCrop>false</ScaleCrop>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Avanços no Diagnóstico e Tratamento da Doença de Alzheimer: Uma Revisão de Biomarcadores e Abordagens Terapêuticas Inovadoras </dc:title>
  <dc:subject/>
  <dc:creator/>
  <cp:keywords/>
  <cp:lastModifiedBy>senacristiano2@gmail.com</cp:lastModifiedBy>
  <cp:revision>2</cp:revision>
  <dcterms:created xsi:type="dcterms:W3CDTF">2024-08-16T13:35:00Z</dcterms:created>
  <dcterms:modified xsi:type="dcterms:W3CDTF">2024-08-16T13:35:00Z</dcterms:modified>
</cp:coreProperties>
</file>