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80CC" w14:textId="77777777" w:rsidR="007F7DD7" w:rsidRDefault="007F7DD7" w:rsidP="007F7DD7">
      <w:pP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  <w:r>
        <w:rPr>
          <w:b/>
        </w:rPr>
        <w:t>PROJETO POLÍTICO PEDAGÓGICO E O PRINCÍPIO DA GESTÃO DEMOCRÁTICA: CONCEPÇÕES E PARTICIPAÇÃO DA COMUNIDADE ESCOLAR NA REDE DE ENSINO MUNICIPAL DE MANAUS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3" w14:textId="006091E3" w:rsidR="00B337D8" w:rsidRDefault="007F7DD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Ronilda Rodrigues Couto da Silva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765A0A5C" w:rsidR="00B337D8" w:rsidRDefault="008A6E6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Fabiane Maia Garcia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6" w14:textId="4F8832DB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7F7DD7">
        <w:rPr>
          <w:sz w:val="20"/>
          <w:szCs w:val="20"/>
        </w:rPr>
        <w:t>ronilda.silva@seduc.net</w:t>
      </w:r>
    </w:p>
    <w:p w14:paraId="6787034C" w14:textId="527A52E8" w:rsidR="007F7DD7" w:rsidRPr="0018223C" w:rsidRDefault="00CA6043">
      <w:pPr>
        <w:spacing w:line="360" w:lineRule="auto"/>
        <w:jc w:val="right"/>
        <w:rPr>
          <w:b/>
          <w:sz w:val="20"/>
          <w:szCs w:val="20"/>
        </w:rPr>
      </w:pPr>
      <w:r w:rsidRPr="0018223C">
        <w:rPr>
          <w:b/>
          <w:bCs/>
          <w:sz w:val="20"/>
          <w:szCs w:val="20"/>
        </w:rPr>
        <w:t>GT 1</w:t>
      </w:r>
      <w:r w:rsidRPr="0018223C">
        <w:rPr>
          <w:sz w:val="20"/>
          <w:szCs w:val="20"/>
        </w:rPr>
        <w:t xml:space="preserve"> – Educação, Estado e Sociedade na Amazônia</w:t>
      </w:r>
    </w:p>
    <w:p w14:paraId="00000008" w14:textId="419671AC" w:rsidR="00B337D8" w:rsidRDefault="00B337D8">
      <w:pPr>
        <w:spacing w:line="360" w:lineRule="auto"/>
        <w:jc w:val="right"/>
        <w:rPr>
          <w:sz w:val="20"/>
          <w:szCs w:val="20"/>
        </w:rPr>
      </w:pPr>
    </w:p>
    <w:p w14:paraId="46B88B64" w14:textId="00CD9037" w:rsidR="00CA6043" w:rsidRDefault="00A204F8" w:rsidP="00E665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CA6043">
        <w:t>O objetivo deste trabalho centralizou-se em analisar, mediante o princípio da gestão democrática, a concepção e participação da comunidade escolar na construção do Projeto Político-Pedagógico</w:t>
      </w:r>
      <w:r w:rsidR="00292CE4">
        <w:t>-PPP</w:t>
      </w:r>
      <w:r w:rsidR="00CA6043">
        <w:t xml:space="preserve"> de duas escolas de Ensino Fundamental da Rede Municipal de </w:t>
      </w:r>
      <w:r w:rsidR="00292CE4">
        <w:t>Manaus-SEMED</w:t>
      </w:r>
      <w:r w:rsidR="00CA6043">
        <w:t>. Para tanto, segundo abordagem qualitativa, foram realizadas entrevistas semiestruturadas com gestores, pedagogos, professores, pais e/ou responsáveis, serviço de apoio administrativo e/ou pedagógico, representantes do conselho escolar e da comunidade local. Apesar dos esforços em reconhecer o PPP como instrumento norteador das ações da escola, os resultados apontam limitações para a sua construção coletiva, cujo princípio democrático ainda se demonstra uma realidade distante. Dessa forma, lançam-se reflexões quanto à preocupação em estabelecer uma (</w:t>
      </w:r>
      <w:proofErr w:type="spellStart"/>
      <w:r w:rsidR="00CA6043">
        <w:t>re</w:t>
      </w:r>
      <w:proofErr w:type="spellEnd"/>
      <w:r w:rsidR="00CA6043">
        <w:t xml:space="preserve">)organização do trabalho pedagógico com base na colaboração dos atores envolvidos para uma formação mais cidadã, cuja </w:t>
      </w:r>
      <w:r w:rsidR="00292CE4">
        <w:t>SEMED</w:t>
      </w:r>
      <w:r w:rsidR="00CA6043">
        <w:t xml:space="preserve"> detém um papel crucial na garantia de planejamentos, assessoramentos e programas de formação que subsidiem a formulação desse documento.</w:t>
      </w:r>
    </w:p>
    <w:p w14:paraId="4BDD4760" w14:textId="77777777" w:rsidR="004741D4" w:rsidRDefault="004741D4" w:rsidP="00E665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</w:p>
    <w:p w14:paraId="0000000B" w14:textId="01D406B8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>:</w:t>
      </w:r>
      <w:r w:rsidR="00CA6043" w:rsidRPr="00CA6043">
        <w:rPr>
          <w:color w:val="000000"/>
        </w:rPr>
        <w:t xml:space="preserve"> </w:t>
      </w:r>
      <w:r w:rsidR="00CA6043">
        <w:t>Gestão Democrática, Comunidade Escolar, Projeto Político-Pedagógico.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EE63831" w14:textId="311E8D80" w:rsidR="00E66596" w:rsidRDefault="00A204F8" w:rsidP="00E665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3048CD2C" w14:textId="5E745CF2" w:rsidR="00CA6043" w:rsidRDefault="00E66596" w:rsidP="00CA6043">
      <w:pPr>
        <w:widowControl w:val="0"/>
        <w:spacing w:line="345" w:lineRule="auto"/>
        <w:ind w:left="116" w:right="158" w:firstLine="713"/>
        <w:jc w:val="both"/>
      </w:pPr>
      <w:r>
        <w:t>A</w:t>
      </w:r>
      <w:r w:rsidR="00CA6043">
        <w:t xml:space="preserve"> gestão escolar democrática, assegurada pela Constituição da República Federativa do Brasil de 1988 (BRASIL, 1988) e Lei de Diretrizes e Bases da Educação Nacional (LDBEN), Lei n⁰ 9.394/1996 (BRASIL, 1996), representa o modelo mais apropriado ao gerenciamento dos sistemas de ensino públicos escolares brasileiros. Nesse sentido, essa </w:t>
      </w:r>
      <w:r w:rsidR="00CA6043">
        <w:lastRenderedPageBreak/>
        <w:t>perspectiva perpassa pela construção e promoção de espaços e instrumentos para a participação dos distintos atores sociais, que circundam o ambiente escolar, no planejamento de ações orientadoras para o processo formativo (LIBÂNEO; OLIVEIRA; TOSCHI, 2018; VEIGA, 2020).</w:t>
      </w:r>
    </w:p>
    <w:p w14:paraId="73F3CEF2" w14:textId="1D335F2E" w:rsidR="00CA6043" w:rsidRDefault="00CA6043" w:rsidP="00CA6043">
      <w:pPr>
        <w:widowControl w:val="0"/>
        <w:spacing w:line="345" w:lineRule="auto"/>
        <w:ind w:left="116" w:right="158" w:firstLine="713"/>
        <w:jc w:val="both"/>
      </w:pPr>
      <w:r>
        <w:t xml:space="preserve">Por esse ângulo, conforme </w:t>
      </w:r>
      <w:proofErr w:type="spellStart"/>
      <w:r>
        <w:t>Libâneo</w:t>
      </w:r>
      <w:proofErr w:type="spellEnd"/>
      <w:r>
        <w:t xml:space="preserve"> (2021), o Projeto Político-Pedagógico (PPP) trata-se de um documento que descreve e direciona os objetivos e as ações do trabalho educativo a ser desenvolvido nas escolas, requerendo-se coerência com a realidade em que estão situadas</w:t>
      </w:r>
      <w:r w:rsidR="0018223C">
        <w:t xml:space="preserve">. </w:t>
      </w:r>
      <w:r>
        <w:t xml:space="preserve">Em conformidade, a LDBEN (BRASIL, 1996), que reafirma o princípio constitucional da gestão democrática e estabelece diretrizes para a gestão dos sistemas de ensino da Educação Básica, recomenda a participação dos profissionais da educação na elaboração do </w:t>
      </w:r>
      <w:r w:rsidR="004741D4">
        <w:t>PPP</w:t>
      </w:r>
      <w:r>
        <w:t xml:space="preserve"> e das comunidades escolar e local em conselhos e situações equivalentes de modo dinâmico e articulado.</w:t>
      </w:r>
    </w:p>
    <w:p w14:paraId="6B57226E" w14:textId="43328787" w:rsidR="00CA6043" w:rsidRDefault="00CA6043" w:rsidP="00CA6043">
      <w:pPr>
        <w:widowControl w:val="0"/>
        <w:spacing w:line="345" w:lineRule="auto"/>
        <w:ind w:left="121" w:right="164" w:firstLine="702"/>
        <w:jc w:val="both"/>
      </w:pPr>
      <w:r>
        <w:t>Em concordância com Veiga (2009, p. 167), a comunidade escolar pode ser compreendida como o conjunto de “professores, funcionários, alunos, pais e representantes da comunidade vinculados a processos de socialização educativa na escola, na família, no bairro”. Em vista disso, todos podem e devem contribuir em questões que causam consequências diretas no âmbito educacional</w:t>
      </w:r>
      <w:r w:rsidR="0018223C">
        <w:t>.</w:t>
      </w:r>
    </w:p>
    <w:p w14:paraId="4E6FDE1C" w14:textId="4221F408" w:rsidR="00CA6043" w:rsidRDefault="00CA6043" w:rsidP="00CA6043">
      <w:pPr>
        <w:widowControl w:val="0"/>
        <w:spacing w:line="345" w:lineRule="auto"/>
        <w:ind w:left="122" w:right="169" w:firstLine="718"/>
        <w:jc w:val="both"/>
      </w:pPr>
      <w:r>
        <w:t xml:space="preserve">A presença e colaboração dos diferentes sujeitos que compõem a comunidade escolar na tomada de decisões, portanto, oportuniza uma concepção mais apurada acerca de propósitos, visões, normas e princípios da escola e sua estrutura organizacional, bem como um ambiente propício à interação entre pais, alunos e professores (LIBÂNEO; OLIVEIRA; TOSCHI, 2018). </w:t>
      </w:r>
    </w:p>
    <w:p w14:paraId="50F30499" w14:textId="57A54245" w:rsidR="00CA6043" w:rsidRDefault="00CA6043" w:rsidP="00CA6043">
      <w:pPr>
        <w:widowControl w:val="0"/>
        <w:spacing w:line="345" w:lineRule="auto"/>
        <w:ind w:left="122" w:right="169" w:firstLine="718"/>
        <w:jc w:val="both"/>
        <w:rPr>
          <w:b/>
        </w:rPr>
      </w:pPr>
      <w:r>
        <w:t xml:space="preserve">Diante do exposto, o objetivo deste trabalho centralizou-se em analisar, mediante o princípio da gestão democrática, a concepção e participação da comunidade escolar na construção do </w:t>
      </w:r>
      <w:r w:rsidR="004741D4">
        <w:t>PPP</w:t>
      </w:r>
      <w:r>
        <w:t xml:space="preserve"> de duas escolas de Ensino Fundamental da Rede Municipal de Ensino, situadas na Zona Sul de Manaus-Amazonas.</w:t>
      </w:r>
    </w:p>
    <w:p w14:paraId="3ACA5705" w14:textId="77777777" w:rsidR="00CA6043" w:rsidRDefault="00CA604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CBA8C09" w14:textId="23D9467F" w:rsid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64D99621" w14:textId="77777777" w:rsidR="00CA6043" w:rsidRDefault="00CA6043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2CB54D47" w14:textId="04860EF4" w:rsidR="00CA6043" w:rsidRDefault="00CA6043" w:rsidP="00CA6043">
      <w:pPr>
        <w:spacing w:line="360" w:lineRule="auto"/>
        <w:ind w:firstLine="850"/>
        <w:jc w:val="both"/>
      </w:pPr>
      <w:r>
        <w:t xml:space="preserve">A fim de atender o objetivo proposto, este estudo pautou-se em uma abordagem de pesquisa qualitativa uma vez que foram priorizadas as concepções da comunidade escolar perante o processo de formulação do </w:t>
      </w:r>
      <w:r w:rsidR="004741D4">
        <w:t>PPP</w:t>
      </w:r>
      <w:r>
        <w:t xml:space="preserve"> de suas instituições. Segundo Gil (2019), a pesquisa qualitativa pauta-se no ambiente em que os sujeitos estão inseridos, bem como em seus anseios e opiniões.</w:t>
      </w:r>
    </w:p>
    <w:p w14:paraId="42625CDB" w14:textId="217E9BCD" w:rsidR="00CA6043" w:rsidRDefault="00CA6043" w:rsidP="00CA6043">
      <w:pPr>
        <w:spacing w:line="360" w:lineRule="auto"/>
        <w:ind w:firstLine="850"/>
        <w:jc w:val="both"/>
      </w:pPr>
      <w:r>
        <w:lastRenderedPageBreak/>
        <w:t>Em coerência, a investigação foi realizada em duas escolas públicas de Ensino Fundamental - vinculadas à Divisão Regional de Educação (DRE I) e à Secretaria Municipal de Educação (SEMED</w:t>
      </w:r>
      <w:r w:rsidR="004741D4">
        <w:t>-Manaus</w:t>
      </w:r>
      <w:r>
        <w:t>) -, localizada</w:t>
      </w:r>
      <w:r w:rsidR="004741D4">
        <w:t>s</w:t>
      </w:r>
      <w:r>
        <w:t xml:space="preserve"> no bairro Japiim I (Escola A) e no bairro Praça 14 de Janeiro (Escola B). Cumpre destacar que o PPP de tais escolas encontrava-se em processo de implementação no ato da coleta de dados, perspectiva que </w:t>
      </w:r>
      <w:r w:rsidR="004741D4">
        <w:t>se tornou</w:t>
      </w:r>
      <w:r>
        <w:t xml:space="preserve"> um critério para a inclusão de ambas ao cenário da pesquisa.</w:t>
      </w:r>
    </w:p>
    <w:p w14:paraId="52912303" w14:textId="1FA7C561" w:rsidR="00CA6043" w:rsidRDefault="00CA6043" w:rsidP="00CA6043">
      <w:pPr>
        <w:widowControl w:val="0"/>
        <w:spacing w:before="30" w:line="344" w:lineRule="auto"/>
        <w:ind w:left="121" w:right="158" w:firstLine="720"/>
        <w:jc w:val="both"/>
      </w:pPr>
      <w:r>
        <w:t xml:space="preserve">Com aprovação do Comitê de Ética em Pesquisa da Universidade Federal do Amazonas, a investigação contou com uma população de 36 participantes. Segundo codificação entre parênteses, foram contemplados representantes de diferentes segmentos das duas escolas: duas </w:t>
      </w:r>
      <w:r w:rsidR="004741D4">
        <w:t>gestoras</w:t>
      </w:r>
      <w:r>
        <w:t xml:space="preserve"> (GE); quatro pedagogos (PE); quatro representantes do conselho escolar (CE); dois representantes comunitários (RC); quatro pais e/ou responsáveis (RE); dois funcionários administrativos (AD); dezoito professores (PR).</w:t>
      </w:r>
    </w:p>
    <w:p w14:paraId="24F901AF" w14:textId="77777777" w:rsidR="00CA6043" w:rsidRDefault="00CA6043" w:rsidP="00CA6043">
      <w:pPr>
        <w:widowControl w:val="0"/>
        <w:spacing w:before="30" w:line="344" w:lineRule="auto"/>
        <w:ind w:left="121" w:right="158" w:firstLine="720"/>
        <w:jc w:val="both"/>
      </w:pPr>
      <w:r>
        <w:t xml:space="preserve">Quanto ao método de recolha de dados, realizou-se uma entrevista semiestruturada, constituída por um roteiro de questionamentos norteadores, cuja forma e ordem de expressá-los foi adaptada conforme a fomentação de cada diálogo (GIL, 2019). As perguntas foram lançadas para verificar as concepções e participação da comunidade escolar no processo de construção do PPP. </w:t>
      </w:r>
    </w:p>
    <w:p w14:paraId="00000014" w14:textId="6B04B04C" w:rsidR="00B337D8" w:rsidRDefault="00CA6043" w:rsidP="00E66596">
      <w:pPr>
        <w:widowControl w:val="0"/>
        <w:spacing w:before="30" w:line="344" w:lineRule="auto"/>
        <w:ind w:left="121" w:right="158" w:firstLine="720"/>
        <w:jc w:val="both"/>
      </w:pPr>
      <w:r>
        <w:t>Dentre outros aspectos, ressalta-se que as entrevistas ocorreram individualmente no próprio espaço escolar. A respeito dos procedimentos de análise e discussões de dados, sucederam-se em uma perspectiva dialética, descritiva e interpretativa, à luz do princípio da gestão democrática, com base na constituição de categorias de análise</w:t>
      </w:r>
      <w:r w:rsidR="00E66596">
        <w:t>.</w:t>
      </w:r>
    </w:p>
    <w:p w14:paraId="5E2186B1" w14:textId="77777777" w:rsidR="00E66596" w:rsidRDefault="00E66596" w:rsidP="00E66596">
      <w:pPr>
        <w:widowControl w:val="0"/>
        <w:spacing w:before="30" w:line="344" w:lineRule="auto"/>
        <w:ind w:left="121" w:right="158" w:firstLine="720"/>
        <w:jc w:val="both"/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730B6ACF" w14:textId="77777777" w:rsidR="00E66596" w:rsidRDefault="00E66596">
      <w:pPr>
        <w:spacing w:line="360" w:lineRule="auto"/>
        <w:rPr>
          <w:b/>
        </w:rPr>
      </w:pPr>
    </w:p>
    <w:p w14:paraId="20903DA9" w14:textId="198B8608" w:rsidR="00E66596" w:rsidRDefault="00E66596" w:rsidP="00E66596">
      <w:pPr>
        <w:spacing w:line="360" w:lineRule="auto"/>
        <w:ind w:firstLine="850"/>
        <w:jc w:val="both"/>
      </w:pPr>
      <w:r>
        <w:t>Com o intuito de analisar as concepções dos entrevistados acerca do objeto de estudo, os traços comuns emergentes nos depoimentos foram transformados em duas categorias de análise: importância do PPP para a gestão democrática e participação da comunidade escolar em seu delineamento; formas de participação e obstáculos para/na construção</w:t>
      </w:r>
      <w:r>
        <w:t>.</w:t>
      </w:r>
    </w:p>
    <w:p w14:paraId="589A31AB" w14:textId="77777777" w:rsidR="00E66596" w:rsidRDefault="00E66596" w:rsidP="00E66596">
      <w:pPr>
        <w:spacing w:line="360" w:lineRule="auto"/>
        <w:ind w:firstLine="850"/>
        <w:jc w:val="both"/>
      </w:pPr>
      <w:r>
        <w:t>A primeira categoria destinou-se a verificar a relevância do PPP para comunidade escolar com base no princípio de tomada de decisões. Para tanto, lançou-se tal reflexão aos gestores, pedagogos, professores e representantes do conselho escolar, cujos relatos convergiram para as funções que o PPP desempenha quanto à: identidade, incentivo e respaldo escolar; orientação do trabalho pedagógico e administrativo; valorização e integração da comunidade escolar; garantia de um ensino de qualidade.</w:t>
      </w:r>
    </w:p>
    <w:p w14:paraId="2E704C95" w14:textId="63847DF8" w:rsidR="00E66596" w:rsidRDefault="00E66596" w:rsidP="00E66596">
      <w:pPr>
        <w:spacing w:line="360" w:lineRule="auto"/>
        <w:ind w:firstLine="850"/>
        <w:jc w:val="both"/>
      </w:pPr>
      <w:r>
        <w:lastRenderedPageBreak/>
        <w:t xml:space="preserve">Entretanto, segundo os professores entrevistados, principalmente da Escola B, o princípio democrático ainda </w:t>
      </w:r>
      <w:r w:rsidR="004741D4">
        <w:t>se encontra</w:t>
      </w:r>
      <w:r>
        <w:t xml:space="preserve"> distante da realidade de suas instituições: “Quando de fato é participativo, com todos os segmentos, o PPP realmente passa a ser a identidade da escola, infelizmente, aqui não foi assim de forma democrática" (PR1/B); “O PPP não existe, somente na teoria e digitado em um papel. Quem participa são aqueles que não opinam, não criticam, não leem, apenas assinam" (PR2/B).</w:t>
      </w:r>
    </w:p>
    <w:p w14:paraId="2536B357" w14:textId="25F85001" w:rsidR="00E66596" w:rsidRDefault="004741D4" w:rsidP="00E66596">
      <w:pPr>
        <w:spacing w:line="360" w:lineRule="auto"/>
        <w:ind w:firstLine="850"/>
        <w:jc w:val="both"/>
      </w:pPr>
      <w:r>
        <w:t>A</w:t>
      </w:r>
      <w:r w:rsidR="00E66596">
        <w:t xml:space="preserve"> maioria dos entrevistados compreende o PPP como guia de todas as ações da escola, desmistificando a ideia de que o PPP consiste apenas em um mero agrupamento de objetivos e atividades idealizadoras. Logo, quando construído comunitariamente e com base no contexto em que a escola está inserida, proporciona mecanismos de gestão e vivência democráticas, além de despertar o senso de responsabilidade na tomada de decisões e efetivação das ações planejadas (VEIGA, 2020; LIBÂNEO, 2021).</w:t>
      </w:r>
    </w:p>
    <w:p w14:paraId="3E8AE7D3" w14:textId="77777777" w:rsidR="00E66596" w:rsidRDefault="00E66596" w:rsidP="00E66596">
      <w:pPr>
        <w:spacing w:line="360" w:lineRule="auto"/>
        <w:ind w:firstLine="850"/>
        <w:jc w:val="both"/>
      </w:pPr>
      <w:r>
        <w:t>A segunda categoria concerne às formas de participação da comunidade escolar e dificuldades encontradas na construção do PPP. Embora salientados entraves relacionados à incompatibilidade de horário, destacou-se uma participação parcial de pais e professores no processo de delineamento do documento. Nesse sentido, suas atuações sucederam-se em reuniões, planejamentos de aulas, discussões referentes ao processo escolar e sugestões de movimentos para melhoria do ensino.</w:t>
      </w:r>
    </w:p>
    <w:p w14:paraId="71EC4D9C" w14:textId="438CDA56" w:rsidR="00E66596" w:rsidRDefault="00E66596" w:rsidP="00E66596">
      <w:pPr>
        <w:spacing w:line="360" w:lineRule="auto"/>
        <w:ind w:firstLine="850"/>
        <w:jc w:val="both"/>
        <w:rPr>
          <w:color w:val="FF0000"/>
        </w:rPr>
      </w:pPr>
      <w:r>
        <w:t xml:space="preserve">No que diz respeito aos obstáculos percorridos no ato de participação, os entrevistados sublinharam uma limitação mais preponderante quanto ao núcleo familiar - uma vez que se ausentam nas reuniões </w:t>
      </w:r>
      <w:r w:rsidR="004741D4">
        <w:t>- e</w:t>
      </w:r>
      <w:r>
        <w:t xml:space="preserve"> docente - com ênfase naqueles que trabalham em outras unidades, pois comprometem o encontro de todos que atuam na mesma escola. Por esse ângulo, destacaram-se os seguintes relatos: “O tempo foi o principal problema, não temos tempo para tantas reuniões” (PR1/A); “A SEMED dá um prazo para construir e nem sempre o prazo é adequado às necessidades e à realidade da escola (PR1/B); “O problema é que nós pais </w:t>
      </w:r>
      <w:r w:rsidR="004741D4">
        <w:t>não temos</w:t>
      </w:r>
      <w:r>
        <w:t xml:space="preserve"> tempo para participar, geralmente as reuniões são realizadas durante a semana e a gente trabalha” (RE1/B).</w:t>
      </w:r>
    </w:p>
    <w:p w14:paraId="116A5036" w14:textId="77777777" w:rsidR="00E66596" w:rsidRDefault="00E66596" w:rsidP="00E66596">
      <w:pPr>
        <w:spacing w:line="360" w:lineRule="auto"/>
        <w:ind w:firstLine="850"/>
        <w:jc w:val="both"/>
      </w:pPr>
      <w:r>
        <w:t xml:space="preserve">Apesar disso, as duas escolas se esforçaram no intuito de possibilitar a integração da comunidade escolar no ato de formulação do PPP, com cerne nos momentos de discussão e tomadas de decisões. Em concordância com </w:t>
      </w:r>
      <w:proofErr w:type="spellStart"/>
      <w:r>
        <w:t>Libâneo</w:t>
      </w:r>
      <w:proofErr w:type="spellEnd"/>
      <w:r>
        <w:t xml:space="preserve">, Oliveira e </w:t>
      </w:r>
      <w:proofErr w:type="spellStart"/>
      <w:r>
        <w:t>Toschi</w:t>
      </w:r>
      <w:proofErr w:type="spellEnd"/>
      <w:r>
        <w:t xml:space="preserve"> (2018), defende-se que o PPP cumpra seu papel quanto à promoção de mais situações e ambientes, cujos sujeitos do meio escolar, familiar e local possam atuar na identidade e planejamento escolar coletivamente. Com vistas à gestão democrática, espera-se um direcionamento mais preciso quanto ao modo </w:t>
      </w:r>
      <w:r>
        <w:lastRenderedPageBreak/>
        <w:t>que será realizado o trabalho pedagógico conforme o conjunto de atores sociais que influenciam o processo de ensino e aprendizagem dos estudantes.</w:t>
      </w:r>
    </w:p>
    <w:p w14:paraId="2B7AC821" w14:textId="3693E8E1" w:rsidR="00F74849" w:rsidRPr="00F74849" w:rsidRDefault="00F74849">
      <w:pPr>
        <w:spacing w:line="360" w:lineRule="auto"/>
      </w:pPr>
    </w:p>
    <w:p w14:paraId="233088F7" w14:textId="301EDFC1" w:rsid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F74849">
        <w:rPr>
          <w:b/>
        </w:rPr>
        <w:t>CONSIDERAÇÕES FINAIS</w:t>
      </w:r>
    </w:p>
    <w:p w14:paraId="6F8B469F" w14:textId="77777777" w:rsidR="004741D4" w:rsidRDefault="00474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0CABE9E2" w14:textId="6D444EB7" w:rsidR="00E66596" w:rsidRDefault="00E66596" w:rsidP="00E66596">
      <w:pPr>
        <w:spacing w:line="360" w:lineRule="auto"/>
        <w:ind w:firstLine="850"/>
        <w:jc w:val="both"/>
      </w:pPr>
      <w:r>
        <w:t xml:space="preserve">A partir do objetivo proposto e depoimentos dos entrevistados, infere-se que a comunidade escolar reconhece a importância do </w:t>
      </w:r>
      <w:r w:rsidR="004741D4">
        <w:t>PPP</w:t>
      </w:r>
      <w:r>
        <w:t xml:space="preserve"> como instrumento norteador das práticas pedagógicas das escolas. No entanto, quanto ao processo de participação da comunidade escolar na elaboração dos projetos das escolas selecionadas para a investigação, os relatos revelam que os encontros para o delineamento do documento se restringiram a rápidas informações e discussões no horário do planejamento escolar.</w:t>
      </w:r>
    </w:p>
    <w:p w14:paraId="3A38421E" w14:textId="77777777" w:rsidR="00E66596" w:rsidRDefault="00E66596" w:rsidP="00E66596">
      <w:pPr>
        <w:spacing w:line="360" w:lineRule="auto"/>
        <w:ind w:firstLine="850"/>
        <w:jc w:val="both"/>
      </w:pPr>
      <w:r>
        <w:t>Por conta disso, lançam-se reflexões no que concerne à etapa de construção do PPP, a qual precisa fundamentar-se na preocupação em instaurar uma (</w:t>
      </w:r>
      <w:proofErr w:type="spellStart"/>
      <w:r>
        <w:t>re</w:t>
      </w:r>
      <w:proofErr w:type="spellEnd"/>
      <w:r>
        <w:t>)organização do trabalho pedagógico com base em um diagnóstico da realidade de cada instituição. Frente ao fluxo contínuo de transformações, cenários e situações adversas, como a própria Pandemia de Covid-19, o PPP precisa ser revisitado, atualizado e refletido continuamente. Em coerência com as dificuldades ressaltadas - pelos gestores e pedagogos entrevistados - em gerir e articular a equipe de professores, pais e representantes da comunidade local, aponta-se que a aceitabilidade do PPP está relacionada ao grau de participação da comunidade escolar/local e nível de envolvimento desses sujeitos com o processo de ensino e aprendizagem.</w:t>
      </w:r>
    </w:p>
    <w:p w14:paraId="7FD62246" w14:textId="6D82E2D0" w:rsidR="00CA6043" w:rsidRDefault="00E66596" w:rsidP="0018223C">
      <w:pPr>
        <w:spacing w:line="360" w:lineRule="auto"/>
        <w:ind w:firstLine="850"/>
        <w:jc w:val="both"/>
        <w:rPr>
          <w:b/>
        </w:rPr>
      </w:pPr>
      <w:r>
        <w:t>Portanto, a SEMED</w:t>
      </w:r>
      <w:r w:rsidR="00292CE4">
        <w:t>/Manaus</w:t>
      </w:r>
      <w:r>
        <w:t xml:space="preserve"> detém um papel primordial na garantia de ações que subsidiem a formulação desse documento por meio de planejamentos, assessoramentos, programas de formação e acompanhamentos na (</w:t>
      </w:r>
      <w:proofErr w:type="spellStart"/>
      <w:r>
        <w:t>re</w:t>
      </w:r>
      <w:proofErr w:type="spellEnd"/>
      <w:r>
        <w:t xml:space="preserve">)elaboração do PPP das escolas de sua rede de ensino. </w:t>
      </w:r>
      <w:r w:rsidR="00292CE4">
        <w:t>E</w:t>
      </w:r>
      <w:r>
        <w:t>videncia-se a pertinência de estudos voltados à construção e fiscalização de políticas públicas educacionais, que contemplem estratégias de consubstanciação quanto ao que se propõe nos projetos, sua coerência com as esferas - familiar, social, cultural, política e econômica -  e contextos - local, regional e nacional - que perpassam pelo o processo educativo, cuja participação dos atores envolvidos, dentro ou fora das escolas, contribuem para uma formação mais cidadã e alicerçada no princípio democrático.</w:t>
      </w:r>
    </w:p>
    <w:p w14:paraId="45507E2F" w14:textId="77777777" w:rsidR="00CA6043" w:rsidRPr="00F74849" w:rsidRDefault="00CA60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3DC14C82" w14:textId="77777777" w:rsidR="00E66596" w:rsidRDefault="00E66596" w:rsidP="00E66596">
      <w:pPr>
        <w:widowControl w:val="0"/>
        <w:spacing w:line="360" w:lineRule="auto"/>
        <w:ind w:right="160"/>
        <w:jc w:val="both"/>
      </w:pPr>
      <w:r>
        <w:t xml:space="preserve">BRASIL. Senado Federal. </w:t>
      </w:r>
      <w:r>
        <w:rPr>
          <w:b/>
        </w:rPr>
        <w:t>Constituição da República Federativa do Brasil</w:t>
      </w:r>
      <w:r>
        <w:t>. Brasília/DF: Casa Civil, 1988.</w:t>
      </w:r>
    </w:p>
    <w:p w14:paraId="7FBC5C95" w14:textId="26A6676A" w:rsidR="00E66596" w:rsidRDefault="00E66596" w:rsidP="00E66596">
      <w:pPr>
        <w:widowControl w:val="0"/>
        <w:spacing w:line="360" w:lineRule="auto"/>
        <w:ind w:right="160"/>
        <w:jc w:val="both"/>
        <w:rPr>
          <w:b/>
        </w:rPr>
      </w:pPr>
      <w:r>
        <w:t xml:space="preserve">BRASIL. </w:t>
      </w:r>
      <w:r>
        <w:rPr>
          <w:b/>
        </w:rPr>
        <w:t>Lei n</w:t>
      </w:r>
      <w:r>
        <w:t xml:space="preserve">º </w:t>
      </w:r>
      <w:r>
        <w:rPr>
          <w:b/>
        </w:rPr>
        <w:t xml:space="preserve">9.394, de 20 de dezembro de 1996. </w:t>
      </w:r>
      <w:r>
        <w:t xml:space="preserve">Estabelece as Diretrizes e Bases </w:t>
      </w:r>
      <w:r w:rsidR="000B6AD6">
        <w:t xml:space="preserve">da </w:t>
      </w:r>
      <w:r w:rsidR="000B6AD6">
        <w:lastRenderedPageBreak/>
        <w:t>Educação</w:t>
      </w:r>
      <w:r>
        <w:t xml:space="preserve"> Nacional. Brasília/DF: Casa Civil, 1996</w:t>
      </w:r>
      <w:r>
        <w:rPr>
          <w:b/>
        </w:rPr>
        <w:t>.</w:t>
      </w:r>
    </w:p>
    <w:p w14:paraId="2019B1B1" w14:textId="625F5E95" w:rsidR="00E66596" w:rsidRDefault="00E66596" w:rsidP="00E66596">
      <w:pPr>
        <w:widowControl w:val="0"/>
        <w:spacing w:line="360" w:lineRule="auto"/>
        <w:ind w:right="160"/>
        <w:jc w:val="both"/>
      </w:pPr>
      <w:r>
        <w:rPr>
          <w:highlight w:val="white"/>
        </w:rPr>
        <w:t xml:space="preserve">GIL, </w:t>
      </w:r>
      <w:proofErr w:type="spellStart"/>
      <w:r>
        <w:rPr>
          <w:highlight w:val="white"/>
        </w:rPr>
        <w:t>Antonio</w:t>
      </w:r>
      <w:proofErr w:type="spellEnd"/>
      <w:r>
        <w:rPr>
          <w:highlight w:val="white"/>
        </w:rPr>
        <w:t xml:space="preserve"> Carlos. </w:t>
      </w:r>
      <w:r>
        <w:rPr>
          <w:b/>
          <w:highlight w:val="white"/>
        </w:rPr>
        <w:t>Métodos e técnicas de pesquisa social.</w:t>
      </w:r>
      <w:r>
        <w:rPr>
          <w:highlight w:val="white"/>
        </w:rPr>
        <w:t xml:space="preserve"> 7. ed. São Paulo: Atlas, 2019.</w:t>
      </w:r>
    </w:p>
    <w:p w14:paraId="06ECE421" w14:textId="77777777" w:rsidR="00E66596" w:rsidRDefault="00E66596" w:rsidP="00E66596">
      <w:pPr>
        <w:widowControl w:val="0"/>
        <w:spacing w:line="360" w:lineRule="auto"/>
        <w:ind w:right="159"/>
        <w:jc w:val="both"/>
      </w:pPr>
      <w:r>
        <w:t xml:space="preserve">LIBÂNEO, José Carlos; OLIVEIRA, João Ferreira; TOSCHI, </w:t>
      </w:r>
      <w:proofErr w:type="spellStart"/>
      <w:r>
        <w:t>Mirza</w:t>
      </w:r>
      <w:proofErr w:type="spellEnd"/>
      <w:r>
        <w:t xml:space="preserve"> Seabra. </w:t>
      </w:r>
      <w:r>
        <w:rPr>
          <w:b/>
        </w:rPr>
        <w:t>Educação Escolar</w:t>
      </w:r>
      <w:r>
        <w:t>: políticas,  estruturas e organização. 10. ed. São Paulo: Cortez, 2018.</w:t>
      </w:r>
    </w:p>
    <w:p w14:paraId="48F88C6C" w14:textId="77777777" w:rsidR="00E66596" w:rsidRDefault="00E66596" w:rsidP="00E66596">
      <w:pPr>
        <w:widowControl w:val="0"/>
        <w:spacing w:line="360" w:lineRule="auto"/>
        <w:ind w:right="159"/>
        <w:jc w:val="both"/>
      </w:pPr>
      <w:r>
        <w:t xml:space="preserve">LIBÂNEO, José Carlos. </w:t>
      </w:r>
      <w:r>
        <w:rPr>
          <w:b/>
        </w:rPr>
        <w:t>Organização e Gestão da Escola</w:t>
      </w:r>
      <w:r>
        <w:t xml:space="preserve">: Teoria e prática. 6. ed. São Paulo: </w:t>
      </w:r>
      <w:proofErr w:type="spellStart"/>
      <w:r>
        <w:t>Heccus</w:t>
      </w:r>
      <w:proofErr w:type="spellEnd"/>
      <w:r>
        <w:t xml:space="preserve"> Editora, 2021.</w:t>
      </w:r>
    </w:p>
    <w:p w14:paraId="022FDB30" w14:textId="77777777" w:rsidR="00E66596" w:rsidRDefault="00E66596" w:rsidP="00E66596">
      <w:pPr>
        <w:widowControl w:val="0"/>
        <w:spacing w:line="360" w:lineRule="auto"/>
        <w:ind w:right="223"/>
        <w:jc w:val="both"/>
      </w:pPr>
      <w:r>
        <w:t xml:space="preserve">MENDONÇA, Erasto Fortes. </w:t>
      </w:r>
      <w:r>
        <w:rPr>
          <w:b/>
        </w:rPr>
        <w:t>A Regra e o Jogo</w:t>
      </w:r>
      <w:r>
        <w:t>: democracia e patriotismo na educação  brasileira. Campinas: UNICAMP, 2000.</w:t>
      </w:r>
    </w:p>
    <w:p w14:paraId="00F86CA6" w14:textId="77777777" w:rsidR="00E66596" w:rsidRDefault="00E66596" w:rsidP="00E66596">
      <w:pPr>
        <w:widowControl w:val="0"/>
        <w:spacing w:line="360" w:lineRule="auto"/>
        <w:ind w:right="223"/>
        <w:jc w:val="both"/>
      </w:pPr>
      <w:r>
        <w:t xml:space="preserve">VEIGA, </w:t>
      </w:r>
      <w:proofErr w:type="spellStart"/>
      <w:r>
        <w:t>Ilma</w:t>
      </w:r>
      <w:proofErr w:type="spellEnd"/>
      <w:r>
        <w:t xml:space="preserve"> Passos Alencastro. Projeto Político-Pedagógico e gestão democrática Novos marcos para a educação de qualidade. </w:t>
      </w:r>
      <w:r>
        <w:rPr>
          <w:i/>
        </w:rPr>
        <w:t>Revista Retratos da Escola</w:t>
      </w:r>
      <w:r>
        <w:t>, Brasília, v. 3, n. 4, p. 163-171, jan./jun. 2009.</w:t>
      </w:r>
    </w:p>
    <w:p w14:paraId="556CD63A" w14:textId="77777777" w:rsidR="00E66596" w:rsidRDefault="00E66596" w:rsidP="00E66596">
      <w:pPr>
        <w:widowControl w:val="0"/>
        <w:spacing w:line="360" w:lineRule="auto"/>
        <w:ind w:right="223"/>
        <w:jc w:val="both"/>
      </w:pPr>
      <w:r>
        <w:t xml:space="preserve">VEIGA, </w:t>
      </w:r>
      <w:proofErr w:type="spellStart"/>
      <w:r>
        <w:t>Ilma</w:t>
      </w:r>
      <w:proofErr w:type="spellEnd"/>
      <w:r>
        <w:t xml:space="preserve"> Passos Alencastro (org.). </w:t>
      </w:r>
      <w:r>
        <w:rPr>
          <w:b/>
        </w:rPr>
        <w:t>Projeto Político-Pedagógico da Escola:</w:t>
      </w:r>
      <w:r>
        <w:t xml:space="preserve"> uma construção possível. Coleção Magistério: Formação e Trabalho Pedagógico. 7. </w:t>
      </w:r>
      <w:proofErr w:type="spellStart"/>
      <w:r>
        <w:t>reimp.Campinas:Papirus</w:t>
      </w:r>
      <w:proofErr w:type="spellEnd"/>
      <w:r>
        <w:t xml:space="preserve"> Editora, 2020.</w:t>
      </w:r>
    </w:p>
    <w:p w14:paraId="00000016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B337D8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5518" w14:textId="77777777" w:rsidR="0058429E" w:rsidRDefault="0058429E">
      <w:r>
        <w:separator/>
      </w:r>
    </w:p>
  </w:endnote>
  <w:endnote w:type="continuationSeparator" w:id="0">
    <w:p w14:paraId="3B7DA7EA" w14:textId="77777777" w:rsidR="0058429E" w:rsidRDefault="0058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D095" w14:textId="77777777" w:rsidR="0058429E" w:rsidRDefault="0058429E">
      <w:r>
        <w:separator/>
      </w:r>
    </w:p>
  </w:footnote>
  <w:footnote w:type="continuationSeparator" w:id="0">
    <w:p w14:paraId="03B76271" w14:textId="77777777" w:rsidR="0058429E" w:rsidRDefault="0058429E">
      <w:r>
        <w:continuationSeparator/>
      </w:r>
    </w:p>
  </w:footnote>
  <w:footnote w:id="1">
    <w:p w14:paraId="0000001B" w14:textId="0843C6CC" w:rsidR="00B337D8" w:rsidRDefault="00A204F8" w:rsidP="00CA6043">
      <w:pPr>
        <w:pStyle w:val="Textodenotaderodap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 w:rsidR="00CA6043" w:rsidRPr="008D4866">
        <w:rPr>
          <w:rFonts w:cs="Times New Roman"/>
        </w:rPr>
        <w:t xml:space="preserve">Pedagoga, Especialista em Gestão Escolar, Mestre em Educação e Doutoranda </w:t>
      </w:r>
      <w:r w:rsidR="00CA6043">
        <w:rPr>
          <w:rFonts w:cs="Times New Roman"/>
        </w:rPr>
        <w:t xml:space="preserve">do Programa de Pós-Graduação em Educação </w:t>
      </w:r>
      <w:r w:rsidR="00CA6043" w:rsidRPr="008D4866">
        <w:rPr>
          <w:rFonts w:cs="Times New Roman"/>
        </w:rPr>
        <w:t>na Amazônia.</w:t>
      </w:r>
      <w:r w:rsidR="00CA6043">
        <w:rPr>
          <w:rFonts w:cs="Times New Roman"/>
        </w:rPr>
        <w:t xml:space="preserve"> Polo Manaus. Universidade Federal do Amazonas.</w:t>
      </w:r>
      <w:r w:rsidR="00CA6043" w:rsidRPr="008D4866">
        <w:rPr>
          <w:rFonts w:cs="Times New Roman"/>
        </w:rPr>
        <w:t xml:space="preserve"> Atualmente é assessora pedagógica do Escritório de Gestão de Projetos – ESCPROJ/SEDUC/SEDE. E-mail: </w:t>
      </w:r>
      <w:hyperlink r:id="rId1" w:history="1">
        <w:r w:rsidR="00CA6043" w:rsidRPr="008D4866">
          <w:rPr>
            <w:rStyle w:val="Hyperlink"/>
            <w:rFonts w:cs="Times New Roman"/>
          </w:rPr>
          <w:t>ronilda.silva@seduc.net</w:t>
        </w:r>
      </w:hyperlink>
    </w:p>
  </w:footnote>
  <w:footnote w:id="2">
    <w:p w14:paraId="0000001C" w14:textId="1CECC504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A6043">
        <w:rPr>
          <w:sz w:val="20"/>
          <w:szCs w:val="20"/>
        </w:rPr>
        <w:t xml:space="preserve"> </w:t>
      </w:r>
      <w:r w:rsidR="008A6E67">
        <w:rPr>
          <w:sz w:val="20"/>
          <w:szCs w:val="20"/>
        </w:rPr>
        <w:t>Pedagoga, Mestre em Sociedade e Cultura na Amazônia- UFAM, Doutora em Educação pela Universidade do Minho – Portugal. Docente do Programa de Pós-Graduação em Educação-P</w:t>
      </w:r>
      <w:r w:rsidR="003A5CA0">
        <w:rPr>
          <w:sz w:val="20"/>
          <w:szCs w:val="20"/>
        </w:rPr>
        <w:t xml:space="preserve">PGE/UFAM. E-mail: </w:t>
      </w:r>
      <w:hyperlink r:id="rId2" w:history="1">
        <w:r w:rsidR="003A5CA0" w:rsidRPr="00C1645F">
          <w:rPr>
            <w:rStyle w:val="Hyperlink"/>
            <w:sz w:val="20"/>
            <w:szCs w:val="20"/>
          </w:rPr>
          <w:t>fgarcia@ufam.edu.br</w:t>
        </w:r>
      </w:hyperlink>
      <w:r w:rsidR="003A5CA0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340D8"/>
    <w:rsid w:val="000B6AD6"/>
    <w:rsid w:val="0018223C"/>
    <w:rsid w:val="00292CE4"/>
    <w:rsid w:val="003A5CA0"/>
    <w:rsid w:val="004741D4"/>
    <w:rsid w:val="0058429E"/>
    <w:rsid w:val="007F0BC6"/>
    <w:rsid w:val="007F7DD7"/>
    <w:rsid w:val="008A6E67"/>
    <w:rsid w:val="00A204F8"/>
    <w:rsid w:val="00B337D8"/>
    <w:rsid w:val="00CA6043"/>
    <w:rsid w:val="00E66596"/>
    <w:rsid w:val="00EF5313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7ED5"/>
  <w15:docId w15:val="{A2E72F82-08C0-4D40-B870-F9F08605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3A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fgarcia@ufam.edu.br" TargetMode="External"/><Relationship Id="rId1" Type="http://schemas.openxmlformats.org/officeDocument/2006/relationships/hyperlink" Target="mailto:ronilda.silva@seduc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1845</Words>
  <Characters>10886</Characters>
  <Application>Microsoft Office Word</Application>
  <DocSecurity>0</DocSecurity>
  <Lines>181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Oliveira</dc:creator>
  <cp:lastModifiedBy>Ronilda Rodrigues</cp:lastModifiedBy>
  <cp:revision>4</cp:revision>
  <dcterms:created xsi:type="dcterms:W3CDTF">2023-07-07T17:52:00Z</dcterms:created>
  <dcterms:modified xsi:type="dcterms:W3CDTF">2023-07-07T21:00:00Z</dcterms:modified>
</cp:coreProperties>
</file>