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C3399" w14:textId="77777777" w:rsidR="004B2BA6" w:rsidRDefault="000D6C03">
      <w:pPr>
        <w:pStyle w:val="Corpodetexto"/>
      </w:pPr>
      <w:r>
        <w:rPr>
          <w:noProof/>
          <w:lang w:val="pt-BR" w:eastAsia="pt-BR"/>
        </w:rPr>
        <w:drawing>
          <wp:anchor distT="0" distB="0" distL="0" distR="0" simplePos="0" relativeHeight="251814912" behindDoc="1" locked="0" layoutInCell="1" allowOverlap="1" wp14:anchorId="1D146733" wp14:editId="32C7E218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2647950" cy="2981325"/>
            <wp:effectExtent l="0" t="0" r="9525" b="952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42E21" w14:textId="77777777" w:rsidR="004B2BA6" w:rsidRDefault="004B2BA6">
      <w:pPr>
        <w:pStyle w:val="Corpodetexto"/>
        <w:spacing w:before="20"/>
      </w:pPr>
    </w:p>
    <w:p w14:paraId="2FCA6EA6" w14:textId="77777777" w:rsidR="004B2BA6" w:rsidRDefault="002F311B">
      <w:pPr>
        <w:pStyle w:val="Corpodetexto"/>
        <w:ind w:left="9157"/>
      </w:pPr>
      <w:r>
        <w:rPr>
          <w:noProof/>
          <w:lang w:val="pt-BR" w:eastAsia="pt-BR"/>
        </w:rPr>
        <w:drawing>
          <wp:inline distT="0" distB="0" distL="0" distR="0" wp14:anchorId="030C1D3B" wp14:editId="02CA11AA">
            <wp:extent cx="1457037" cy="144751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037" cy="144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394CD" w14:textId="0328EF41" w:rsidR="004B2BA6" w:rsidRDefault="00AD14E0">
      <w:pPr>
        <w:pStyle w:val="Corpodetexto"/>
        <w:rPr>
          <w:sz w:val="28"/>
        </w:rPr>
      </w:pPr>
      <w:r>
        <w:rPr>
          <w:noProof/>
          <w:lang w:val="pt-BR" w:eastAsia="pt-BR"/>
        </w:rPr>
        <w:drawing>
          <wp:anchor distT="0" distB="0" distL="0" distR="0" simplePos="0" relativeHeight="251807744" behindDoc="0" locked="0" layoutInCell="1" allowOverlap="1" wp14:anchorId="359FBD64" wp14:editId="7E3DE1B6">
            <wp:simplePos x="0" y="0"/>
            <wp:positionH relativeFrom="page">
              <wp:posOffset>95250</wp:posOffset>
            </wp:positionH>
            <wp:positionV relativeFrom="paragraph">
              <wp:posOffset>172085</wp:posOffset>
            </wp:positionV>
            <wp:extent cx="7381875" cy="227965"/>
            <wp:effectExtent l="0" t="0" r="9525" b="635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01C52" w14:textId="286699D9" w:rsidR="004B2BA6" w:rsidRDefault="004B2BA6">
      <w:pPr>
        <w:pStyle w:val="Corpodetexto"/>
        <w:spacing w:before="107"/>
        <w:rPr>
          <w:sz w:val="28"/>
        </w:rPr>
      </w:pPr>
    </w:p>
    <w:p w14:paraId="1FFB30D6" w14:textId="5225E259" w:rsidR="000D6C03" w:rsidRPr="000D6C03" w:rsidRDefault="000D6C03" w:rsidP="000D6C03">
      <w:pPr>
        <w:spacing w:line="276" w:lineRule="auto"/>
        <w:ind w:left="14" w:firstLine="14"/>
        <w:rPr>
          <w:b/>
          <w:sz w:val="20"/>
          <w:szCs w:val="20"/>
        </w:rPr>
      </w:pPr>
      <w:bookmarkStart w:id="0" w:name="Síntese_de_AuNPs_com_citrato,_glutationa"/>
      <w:bookmarkEnd w:id="0"/>
      <w:r w:rsidRPr="000D6C03">
        <w:rPr>
          <w:b/>
          <w:sz w:val="28"/>
          <w:szCs w:val="28"/>
        </w:rPr>
        <w:t>Efeito dos parâmetros da eletrodeposição de revestimentos a base de óxido de grafeno em uma liga superplástica de NiTi: Estudo das propriedades anticorrosivas</w:t>
      </w:r>
    </w:p>
    <w:p w14:paraId="028D3A51" w14:textId="24251CF5" w:rsidR="000D6C03" w:rsidRPr="000D6C03" w:rsidRDefault="00547A11" w:rsidP="000D6C03">
      <w:pPr>
        <w:suppressAutoHyphens/>
        <w:autoSpaceDE/>
        <w:autoSpaceDN/>
        <w:spacing w:line="276" w:lineRule="auto"/>
        <w:ind w:left="14" w:firstLine="14"/>
        <w:rPr>
          <w:b/>
          <w:sz w:val="20"/>
          <w:szCs w:val="20"/>
        </w:rPr>
      </w:pPr>
      <w:r>
        <w:rPr>
          <w:b/>
          <w:sz w:val="20"/>
          <w:szCs w:val="20"/>
        </w:rPr>
        <w:t>Elias Tadeu A. Junior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(G),Victor C. Campideli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>* (PG), Marcos D. V. Felisberto</w:t>
      </w:r>
      <w:r>
        <w:rPr>
          <w:b/>
          <w:sz w:val="20"/>
          <w:szCs w:val="20"/>
          <w:vertAlign w:val="superscript"/>
        </w:rPr>
        <w:t>2</w:t>
      </w:r>
      <w:r w:rsidR="000D6C03" w:rsidRPr="000D6C03">
        <w:rPr>
          <w:b/>
          <w:sz w:val="20"/>
          <w:szCs w:val="20"/>
        </w:rPr>
        <w:t xml:space="preserve">(PQ), </w:t>
      </w:r>
      <w:r>
        <w:rPr>
          <w:b/>
          <w:sz w:val="20"/>
          <w:szCs w:val="20"/>
        </w:rPr>
        <w:t>Leandro de A. Santos</w:t>
      </w:r>
      <w:r>
        <w:rPr>
          <w:b/>
          <w:sz w:val="20"/>
          <w:szCs w:val="20"/>
          <w:vertAlign w:val="superscript"/>
        </w:rPr>
        <w:t>3</w:t>
      </w:r>
      <w:r>
        <w:rPr>
          <w:b/>
          <w:sz w:val="20"/>
          <w:szCs w:val="20"/>
        </w:rPr>
        <w:t xml:space="preserve">(PQ), Dalila C </w:t>
      </w:r>
      <w:bookmarkStart w:id="1" w:name="_GoBack"/>
      <w:r>
        <w:rPr>
          <w:b/>
          <w:sz w:val="20"/>
          <w:szCs w:val="20"/>
        </w:rPr>
        <w:t>Sicupira</w:t>
      </w:r>
      <w:r>
        <w:rPr>
          <w:b/>
          <w:sz w:val="20"/>
          <w:szCs w:val="20"/>
          <w:vertAlign w:val="superscript"/>
        </w:rPr>
        <w:t>1</w:t>
      </w:r>
      <w:r w:rsidR="000D6C03" w:rsidRPr="000D6C03">
        <w:rPr>
          <w:b/>
          <w:sz w:val="20"/>
          <w:szCs w:val="20"/>
        </w:rPr>
        <w:t>(PQ)</w:t>
      </w:r>
    </w:p>
    <w:bookmarkEnd w:id="1"/>
    <w:p w14:paraId="7F02EE38" w14:textId="77777777" w:rsidR="000D6C03" w:rsidRPr="000D6C03" w:rsidRDefault="000D6C03" w:rsidP="000D6C03">
      <w:pPr>
        <w:suppressAutoHyphens/>
        <w:autoSpaceDE/>
        <w:autoSpaceDN/>
        <w:rPr>
          <w:b/>
          <w:sz w:val="20"/>
          <w:szCs w:val="20"/>
        </w:rPr>
      </w:pPr>
    </w:p>
    <w:p w14:paraId="2E79CE69" w14:textId="77777777" w:rsidR="000D6C03" w:rsidRPr="000D6C03" w:rsidRDefault="000D6C03" w:rsidP="000D6C03">
      <w:pPr>
        <w:suppressAutoHyphens/>
        <w:autoSpaceDE/>
        <w:autoSpaceDN/>
        <w:jc w:val="center"/>
        <w:rPr>
          <w:color w:val="000000"/>
          <w:sz w:val="20"/>
          <w:szCs w:val="20"/>
        </w:rPr>
      </w:pPr>
      <w:r w:rsidRPr="000D6C03">
        <w:rPr>
          <w:color w:val="000000"/>
          <w:sz w:val="20"/>
          <w:szCs w:val="20"/>
          <w:vertAlign w:val="superscript"/>
        </w:rPr>
        <w:t xml:space="preserve">1 </w:t>
      </w:r>
      <w:r w:rsidRPr="000D6C03">
        <w:rPr>
          <w:color w:val="000000"/>
          <w:sz w:val="20"/>
          <w:szCs w:val="20"/>
        </w:rPr>
        <w:t xml:space="preserve"> Universidade Federal de Ouro Preto (UFOP), Campus Morro do Cruzeiro, Ouro Preto, 35400-000, Brasil.</w:t>
      </w:r>
    </w:p>
    <w:p w14:paraId="11F06A7D" w14:textId="77777777" w:rsidR="000D6C03" w:rsidRPr="000D6C03" w:rsidRDefault="000D6C03" w:rsidP="000D6C03">
      <w:pPr>
        <w:suppressAutoHyphens/>
        <w:autoSpaceDE/>
        <w:autoSpaceDN/>
        <w:jc w:val="center"/>
        <w:rPr>
          <w:color w:val="000000"/>
          <w:sz w:val="20"/>
          <w:szCs w:val="20"/>
        </w:rPr>
      </w:pPr>
      <w:r w:rsidRPr="000D6C03">
        <w:rPr>
          <w:color w:val="000000"/>
          <w:sz w:val="20"/>
          <w:szCs w:val="20"/>
          <w:vertAlign w:val="superscript"/>
        </w:rPr>
        <w:t>2</w:t>
      </w:r>
      <w:r w:rsidRPr="000D6C03">
        <w:rPr>
          <w:color w:val="000000"/>
          <w:sz w:val="20"/>
          <w:szCs w:val="20"/>
        </w:rPr>
        <w:t xml:space="preserve"> Mackgraphe - Instituto Mackenzie de Pesquisa em Grafeno e Nanotecnologia. Instituto Presbiteriano Mackenzie, Higienópolis, São Paulo 01302-907, Brasil.</w:t>
      </w:r>
    </w:p>
    <w:p w14:paraId="4F31F6CE" w14:textId="77777777" w:rsidR="000D6C03" w:rsidRPr="000D6C03" w:rsidRDefault="000D6C03" w:rsidP="000D6C03">
      <w:pPr>
        <w:suppressAutoHyphens/>
        <w:autoSpaceDE/>
        <w:autoSpaceDN/>
        <w:jc w:val="center"/>
        <w:rPr>
          <w:color w:val="000000"/>
          <w:sz w:val="20"/>
          <w:szCs w:val="20"/>
        </w:rPr>
      </w:pPr>
      <w:r w:rsidRPr="000D6C03">
        <w:rPr>
          <w:color w:val="000000"/>
          <w:sz w:val="20"/>
          <w:szCs w:val="20"/>
          <w:vertAlign w:val="superscript"/>
        </w:rPr>
        <w:t>3</w:t>
      </w:r>
      <w:r w:rsidRPr="000D6C03">
        <w:rPr>
          <w:color w:val="000000"/>
          <w:sz w:val="20"/>
          <w:szCs w:val="20"/>
        </w:rPr>
        <w:t xml:space="preserve"> Universidade Federal de Minas Gerais (UFMG), Belo Horizonte, 31270-901, Brasil.</w:t>
      </w:r>
    </w:p>
    <w:p w14:paraId="4AD61BEB" w14:textId="77777777" w:rsidR="000D6C03" w:rsidRPr="000D6C03" w:rsidRDefault="000D6C03" w:rsidP="000D6C03">
      <w:pPr>
        <w:suppressAutoHyphens/>
        <w:autoSpaceDE/>
        <w:autoSpaceDN/>
        <w:spacing w:before="1" w:line="278" w:lineRule="auto"/>
        <w:jc w:val="center"/>
        <w:rPr>
          <w:color w:val="000000" w:themeColor="text1"/>
          <w:sz w:val="20"/>
          <w:shd w:val="clear" w:color="auto" w:fill="FFFFFF"/>
        </w:rPr>
      </w:pPr>
      <w:r>
        <w:rPr>
          <w:noProof/>
          <w:color w:val="000000"/>
          <w:sz w:val="12"/>
          <w:szCs w:val="12"/>
          <w:lang w:val="pt-BR" w:eastAsia="pt-BR"/>
        </w:rPr>
        <mc:AlternateContent>
          <mc:Choice Requires="wps">
            <w:drawing>
              <wp:anchor distT="0" distB="0" distL="0" distR="0" simplePos="0" relativeHeight="251826176" behindDoc="0" locked="0" layoutInCell="0" allowOverlap="1" wp14:anchorId="2422B4B2" wp14:editId="627AD73F">
                <wp:simplePos x="0" y="0"/>
                <wp:positionH relativeFrom="column">
                  <wp:posOffset>64135</wp:posOffset>
                </wp:positionH>
                <wp:positionV relativeFrom="paragraph">
                  <wp:posOffset>210185</wp:posOffset>
                </wp:positionV>
                <wp:extent cx="7207885" cy="241300"/>
                <wp:effectExtent l="0" t="0" r="0" b="0"/>
                <wp:wrapTopAndBottom/>
                <wp:docPr id="11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885" cy="241300"/>
                        </a:xfrm>
                        <a:prstGeom prst="rect">
                          <a:avLst/>
                        </a:prstGeom>
                        <a:solidFill>
                          <a:srgbClr val="4F2B1B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9176974" w14:textId="77777777" w:rsidR="002F311B" w:rsidRDefault="002F311B" w:rsidP="000D6C03">
                            <w:pPr>
                              <w:pStyle w:val="Contedodoquadro"/>
                              <w:spacing w:line="271" w:lineRule="auto"/>
                              <w:ind w:right="56"/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RESUMO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2B4B2" id="Retângulo 24" o:spid="_x0000_s1026" style="position:absolute;left:0;text-align:left;margin-left:5.05pt;margin-top:16.55pt;width:567.55pt;height:19pt;z-index:251826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" o:allowincell="f" fillcolor="#4f2b1b" stroked="f" strokeweight="0">
                <v:textbox inset="0,0,0,0">
                  <w:txbxContent>
                    <w:p w14:paraId="29176974" w14:textId="77777777" w:rsidR="002F311B" w:rsidRDefault="002F311B" w:rsidP="000D6C03">
                      <w:pPr>
                        <w:pStyle w:val="Contedodoquadro"/>
                        <w:spacing w:line="271" w:lineRule="auto"/>
                        <w:ind w:right="56"/>
                        <w:jc w:val="center"/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RESUMO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D6C03">
        <w:rPr>
          <w:color w:val="000000" w:themeColor="text1"/>
          <w:sz w:val="20"/>
          <w:shd w:val="clear" w:color="auto" w:fill="FFFFFF"/>
        </w:rPr>
        <w:t>E-mail:</w:t>
      </w:r>
      <w:r w:rsidRPr="000D6C03">
        <w:t xml:space="preserve"> </w:t>
      </w:r>
      <w:r w:rsidRPr="000D6C03">
        <w:rPr>
          <w:color w:val="000000" w:themeColor="text1"/>
          <w:sz w:val="20"/>
          <w:shd w:val="clear" w:color="auto" w:fill="FFFFFF"/>
        </w:rPr>
        <w:t>campidelivictor@gmail.com</w:t>
      </w:r>
    </w:p>
    <w:p w14:paraId="12F9F378" w14:textId="77777777" w:rsidR="000D6C03" w:rsidRPr="000D6C03" w:rsidRDefault="000D6C03" w:rsidP="000D6C03">
      <w:pPr>
        <w:suppressAutoHyphens/>
        <w:autoSpaceDE/>
        <w:autoSpaceDN/>
        <w:spacing w:before="153"/>
        <w:jc w:val="both"/>
        <w:rPr>
          <w:sz w:val="20"/>
          <w:szCs w:val="20"/>
        </w:rPr>
      </w:pPr>
      <w:r w:rsidRPr="000D6C03">
        <w:rPr>
          <w:sz w:val="20"/>
          <w:szCs w:val="20"/>
        </w:rPr>
        <w:t>As ligas de NiTi destacam-se na área biomédica por sua superelasticidade, biocompatibilidade e efeito memória de forma, mas estão sujeitas à corrosão, o que pode liberar íons níquel que são tóxicos. Revestimentos de óxido de grafeno (GO) vêm sendo estudados por suas propriedades anticorrosivas e compatibilidade biológica. Este trabalho investigou a eletrodeposição catódica de GO sobre NiTi, avaliando os efeitos da tensão (2–5V), tempo (15–60 min) e concentração de GO (0,1; 0,5; 1 g/L), usando solução com CaCl₂. Os revestimentos foram analisados por ensaios eletroquímicos em solução simulando fluido corporal humano. Os melhores resultados ocorreram com 0,5 g/L a 2V por 15 e 30 minutos. Concentrações maiores ou longos tempos reduziram a eficácia protetiva, enquanto 1 g/L teve melhor desempenho em tensões elevadas. A otimização dos parâmetros de deposição é fundamental para garantir eficiência anticorrosiva em ligas de NiTi.</w:t>
      </w:r>
    </w:p>
    <w:p w14:paraId="19FE080E" w14:textId="77777777" w:rsidR="004B2BA6" w:rsidRDefault="002F311B">
      <w:pPr>
        <w:pStyle w:val="Corpodetexto"/>
        <w:spacing w:before="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825152" behindDoc="1" locked="0" layoutInCell="1" allowOverlap="1" wp14:anchorId="1DA069C6" wp14:editId="2E069B43">
                <wp:simplePos x="0" y="0"/>
                <wp:positionH relativeFrom="page">
                  <wp:posOffset>179704</wp:posOffset>
                </wp:positionH>
                <wp:positionV relativeFrom="paragraph">
                  <wp:posOffset>223983</wp:posOffset>
                </wp:positionV>
                <wp:extent cx="71818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>
                              <a:moveTo>
                                <a:pt x="0" y="0"/>
                              </a:moveTo>
                              <a:lnTo>
                                <a:pt x="7181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33189" id="Graphic 5" o:spid="_x0000_s1026" style="position:absolute;margin-left:14.15pt;margin-top:17.65pt;width:565.5pt;height:.1pt;z-index:-25149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" path="m,l7181850,e" filled="f">
                <v:path arrowok="t"/>
                <w10:wrap type="topAndBottom" anchorx="page"/>
              </v:shape>
            </w:pict>
          </mc:Fallback>
        </mc:AlternateContent>
      </w:r>
    </w:p>
    <w:p w14:paraId="4187C32C" w14:textId="77777777" w:rsidR="004B2BA6" w:rsidRDefault="002F311B">
      <w:pPr>
        <w:spacing w:before="180"/>
        <w:ind w:left="156"/>
        <w:rPr>
          <w:i/>
          <w:sz w:val="20"/>
        </w:rPr>
      </w:pPr>
      <w:r>
        <w:rPr>
          <w:i/>
          <w:sz w:val="20"/>
        </w:rPr>
        <w:t>Palavras-chave:</w:t>
      </w:r>
      <w:r>
        <w:rPr>
          <w:i/>
          <w:spacing w:val="-7"/>
          <w:sz w:val="20"/>
        </w:rPr>
        <w:t xml:space="preserve"> </w:t>
      </w:r>
      <w:r w:rsidR="000D6C03">
        <w:rPr>
          <w:i/>
          <w:sz w:val="20"/>
          <w:szCs w:val="20"/>
        </w:rPr>
        <w:t>NiTi; Óxido de Grafeno; Revestimento; Eletrodeposição.</w:t>
      </w:r>
    </w:p>
    <w:p w14:paraId="105750C5" w14:textId="77777777" w:rsidR="004B2BA6" w:rsidRDefault="002F311B">
      <w:pPr>
        <w:pStyle w:val="Corpodetexto"/>
        <w:spacing w:before="1"/>
        <w:rPr>
          <w:i/>
          <w:sz w:val="18"/>
        </w:rPr>
      </w:pPr>
      <w:r>
        <w:rPr>
          <w:i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671955" wp14:editId="7D439F34">
                <wp:simplePos x="0" y="0"/>
                <wp:positionH relativeFrom="page">
                  <wp:posOffset>179704</wp:posOffset>
                </wp:positionH>
                <wp:positionV relativeFrom="paragraph">
                  <wp:posOffset>147637</wp:posOffset>
                </wp:positionV>
                <wp:extent cx="71818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8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1850">
                              <a:moveTo>
                                <a:pt x="0" y="0"/>
                              </a:moveTo>
                              <a:lnTo>
                                <a:pt x="71818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A904F" id="Graphic 6" o:spid="_x0000_s1026" style="position:absolute;margin-left:14.15pt;margin-top:11.6pt;width:565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8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" path="m,l7181850,e" filled="f">
                <v:path arrowok="t"/>
                <w10:wrap type="topAndBottom" anchorx="page"/>
              </v:shape>
            </w:pict>
          </mc:Fallback>
        </mc:AlternateContent>
      </w:r>
    </w:p>
    <w:p w14:paraId="00C24A9F" w14:textId="77777777" w:rsidR="004B2BA6" w:rsidRDefault="0095155E">
      <w:pPr>
        <w:pStyle w:val="Corpodetexto"/>
        <w:spacing w:before="7"/>
        <w:rPr>
          <w:i/>
          <w:sz w:val="8"/>
        </w:rPr>
      </w:pPr>
      <w:r>
        <w:rPr>
          <w:noProof/>
          <w:lang w:val="pt-BR" w:eastAsia="pt-BR"/>
        </w:rPr>
        <w:drawing>
          <wp:anchor distT="0" distB="0" distL="0" distR="0" simplePos="0" relativeHeight="251816960" behindDoc="1" locked="0" layoutInCell="1" allowOverlap="1" wp14:anchorId="74AEA67F" wp14:editId="6B36440E">
            <wp:simplePos x="0" y="0"/>
            <wp:positionH relativeFrom="page">
              <wp:posOffset>4923790</wp:posOffset>
            </wp:positionH>
            <wp:positionV relativeFrom="page">
              <wp:posOffset>7644176</wp:posOffset>
            </wp:positionV>
            <wp:extent cx="2645091" cy="304895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091" cy="304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559F4" w14:textId="77777777" w:rsidR="004B2BA6" w:rsidRDefault="004B2BA6">
      <w:pPr>
        <w:pStyle w:val="Corpodetexto"/>
        <w:rPr>
          <w:i/>
          <w:sz w:val="8"/>
        </w:rPr>
        <w:sectPr w:rsidR="004B2BA6" w:rsidSect="000D6C03">
          <w:type w:val="continuous"/>
          <w:pgSz w:w="11920" w:h="16840"/>
          <w:pgMar w:top="0" w:right="283" w:bottom="0" w:left="141" w:header="720" w:footer="720" w:gutter="0"/>
          <w:cols w:space="720"/>
        </w:sectPr>
      </w:pPr>
    </w:p>
    <w:p w14:paraId="2048B538" w14:textId="77777777" w:rsidR="004B2BA6" w:rsidRDefault="002F311B">
      <w:pPr>
        <w:pStyle w:val="Ttulo1"/>
        <w:spacing w:before="128"/>
      </w:pPr>
      <w:bookmarkStart w:id="2" w:name="Introdução_"/>
      <w:bookmarkEnd w:id="2"/>
      <w:r>
        <w:rPr>
          <w:spacing w:val="-2"/>
        </w:rPr>
        <w:lastRenderedPageBreak/>
        <w:t>Introdução</w:t>
      </w:r>
    </w:p>
    <w:p w14:paraId="205CE08A" w14:textId="73AE141A" w:rsidR="00F02753" w:rsidRPr="00F02753" w:rsidRDefault="00F02753" w:rsidP="0095155E">
      <w:pPr>
        <w:spacing w:before="3"/>
        <w:ind w:left="14" w:right="-13"/>
        <w:jc w:val="both"/>
        <w:rPr>
          <w:sz w:val="20"/>
          <w:szCs w:val="20"/>
        </w:rPr>
      </w:pPr>
      <w:r w:rsidRPr="00F02753">
        <w:rPr>
          <w:sz w:val="20"/>
          <w:szCs w:val="20"/>
        </w:rPr>
        <w:t xml:space="preserve"> Ligas com memória de forma, como a de níquel-titânio (NiTi), destacam-se por propriedades como superelasticidade, efeito memória de forma e biocompatibilidade, sendo amplamente aplicadas em dispositivos biomédicos minimamente invasivos (1-3). No entanto, a presença de níquel pode comprometer a biocompatibilidade do material, devido à possível liberação de íons com efeitos tóxicos ao organismo (4). Como alternativa, revestimentos com óxido de grafeno (GO) têm sido investigados por sua estabilidade química, resistência mecânica, estrutura impermeável e potencial biocompatível (5-7). Ainda assim, falhas no recobrimento podem favorecer a formação de pares galvânicos e ac</w:t>
      </w:r>
      <w:r w:rsidR="00AD14E0">
        <w:rPr>
          <w:sz w:val="20"/>
          <w:szCs w:val="20"/>
        </w:rPr>
        <w:t>elerar a corrosão localizada</w:t>
      </w:r>
      <w:r w:rsidRPr="00F02753">
        <w:rPr>
          <w:sz w:val="20"/>
          <w:szCs w:val="20"/>
        </w:rPr>
        <w:t>. A deposição eletroforética (EPD) é uma técnica promissora por permitir controle morfológico e boa adesão do revestimento, mostrando-se ser promissora para NiTi, embora ainda pouco explorada (8). Este trabalho investiga o efeito da voltagem, tempo e concentração de GO na proteção anticorrosiva de ligas NiTi recobertas por EPD catódica. Adicionalmente, os revestimentos foram caracterizados por espectroscopia Raman, e seu desempenho anticorrosivo avaliado por ensaios eletroquímicos em solução simulando fluido corporal humano. A análise estatística por correlação de Spearman foi aplicada para explorar relações entre os parâmetros de deposição e os resultados obtidos.</w:t>
      </w:r>
    </w:p>
    <w:p w14:paraId="261ED4A4" w14:textId="77777777" w:rsidR="004B2BA6" w:rsidRPr="00F02753" w:rsidRDefault="002F311B" w:rsidP="00F02753">
      <w:pPr>
        <w:pStyle w:val="Ttulo1"/>
        <w:ind w:left="0"/>
      </w:pPr>
      <w:bookmarkStart w:id="3" w:name="Experimental_"/>
      <w:bookmarkEnd w:id="3"/>
      <w:r>
        <w:rPr>
          <w:spacing w:val="-2"/>
        </w:rPr>
        <w:t>Experimental</w:t>
      </w:r>
    </w:p>
    <w:p w14:paraId="07D06E80" w14:textId="77777777" w:rsidR="00BB0E53" w:rsidRDefault="00F02753" w:rsidP="00F02753">
      <w:pPr>
        <w:spacing w:before="40" w:line="278" w:lineRule="auto"/>
        <w:jc w:val="both"/>
        <w:rPr>
          <w:sz w:val="20"/>
          <w:szCs w:val="20"/>
        </w:rPr>
      </w:pPr>
      <w:r>
        <w:t xml:space="preserve"> </w:t>
      </w:r>
      <w:r w:rsidRPr="0058359F">
        <w:rPr>
          <w:sz w:val="20"/>
          <w:szCs w:val="20"/>
        </w:rPr>
        <w:t xml:space="preserve">Fitas de NiTi superelásticas foram utilizadas como substrato, sendo primeiramente decapadas em H₃PO₄ (50%) e H₂O₂ (30%) a 80°C por 20 min para remover óxidos. O óxido de grafeno (GO) foi obtido pelo </w:t>
      </w:r>
    </w:p>
    <w:p w14:paraId="622BCC96" w14:textId="77777777" w:rsidR="00F02753" w:rsidRDefault="00F02753" w:rsidP="00F02753">
      <w:pPr>
        <w:spacing w:before="40" w:line="278" w:lineRule="auto"/>
        <w:jc w:val="both"/>
        <w:rPr>
          <w:color w:val="000000"/>
          <w:sz w:val="20"/>
          <w:szCs w:val="20"/>
        </w:rPr>
      </w:pPr>
      <w:r w:rsidRPr="0058359F">
        <w:rPr>
          <w:sz w:val="20"/>
          <w:szCs w:val="20"/>
        </w:rPr>
        <w:t xml:space="preserve">método de Hummers modificado e disperso com CaCl₂ (1:1) via ultrassom por 30 min. A deposição eletroforética catódica foi realizada </w:t>
      </w:r>
      <w:r w:rsidRPr="0058359F">
        <w:rPr>
          <w:sz w:val="20"/>
          <w:szCs w:val="20"/>
        </w:rPr>
        <w:lastRenderedPageBreak/>
        <w:t>em célula de dois eletrodos (NiTi como cátodo e aço inox como ânodo), sob tensão de 2–5 V, com tempos de 15 a 60 min e concentração de GO de 0,1 a 1 g/L, enquanto o banho era agitado a 100 rpm à temperatura ambiente. Após o processo, as amostras foram lavadas, secadas ao ar e a caracterização foi feita por espectroscopia Raman. Os ensaios eletroquímicos de polarização potenciodinâmica (PP) foram conduzidos em SBF (pH 7,4; 37 ± 2°C) depois de 1 h de OCP, varrendo de -250 mVocp a +250 mVocp a 1 mV/s. A densidade de corrosão (icorr) e o potencial de corrosão (Ecorr) foram determinados pelo método de extrapolação de Tafel.</w:t>
      </w:r>
      <w:r>
        <w:rPr>
          <w:sz w:val="20"/>
          <w:szCs w:val="20"/>
        </w:rPr>
        <w:t xml:space="preserve"> </w:t>
      </w:r>
    </w:p>
    <w:p w14:paraId="45547726" w14:textId="77777777" w:rsidR="004B2BA6" w:rsidRDefault="002F311B" w:rsidP="0095155E">
      <w:pPr>
        <w:pStyle w:val="Ttulo1"/>
        <w:spacing w:before="88"/>
        <w:ind w:left="0"/>
      </w:pPr>
      <w:bookmarkStart w:id="4" w:name="Resultados_e_Discussão_"/>
      <w:bookmarkEnd w:id="4"/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Discussão</w:t>
      </w:r>
    </w:p>
    <w:p w14:paraId="546BD2C8" w14:textId="77777777" w:rsidR="004B2BA6" w:rsidRDefault="00BB0E53" w:rsidP="0095155E">
      <w:pPr>
        <w:jc w:val="both"/>
        <w:rPr>
          <w:sz w:val="20"/>
          <w:szCs w:val="20"/>
        </w:rPr>
      </w:pPr>
      <w:r>
        <w:rPr>
          <w:noProof/>
          <w:color w:val="000000"/>
          <w:sz w:val="20"/>
          <w:szCs w:val="20"/>
          <w:lang w:val="pt-BR" w:eastAsia="pt-BR"/>
        </w:rPr>
        <w:drawing>
          <wp:anchor distT="0" distB="0" distL="114300" distR="114300" simplePos="0" relativeHeight="251830272" behindDoc="0" locked="0" layoutInCell="0" allowOverlap="1" wp14:anchorId="0BF5E10F" wp14:editId="72C7C3C7">
            <wp:simplePos x="0" y="0"/>
            <wp:positionH relativeFrom="column">
              <wp:posOffset>805815</wp:posOffset>
            </wp:positionH>
            <wp:positionV relativeFrom="paragraph">
              <wp:posOffset>635635</wp:posOffset>
            </wp:positionV>
            <wp:extent cx="1981200" cy="1586230"/>
            <wp:effectExtent l="0" t="0" r="0" b="0"/>
            <wp:wrapTopAndBottom/>
            <wp:docPr id="12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5E" w:rsidRPr="0095155E">
        <w:t xml:space="preserve"> </w:t>
      </w:r>
      <w:r w:rsidR="0095155E" w:rsidRPr="0095155E">
        <w:rPr>
          <w:sz w:val="20"/>
          <w:szCs w:val="20"/>
        </w:rPr>
        <w:t>Os espectros Raman confirmaram a presença do revestimento de GO sobre o NiTi, evidenciado pelos picos D (~1350 cm⁻¹) e G (~1580 cm⁻¹), característicos da estrutura do grafeno, ausentes no substrato sem recobrimento, conforme ilustrado na Figura 1.</w:t>
      </w:r>
    </w:p>
    <w:p w14:paraId="478224AA" w14:textId="77777777" w:rsidR="00BB0E53" w:rsidRDefault="00BB0E53" w:rsidP="0095155E">
      <w:pPr>
        <w:jc w:val="both"/>
        <w:rPr>
          <w:sz w:val="20"/>
          <w:szCs w:val="20"/>
        </w:rPr>
      </w:pPr>
    </w:p>
    <w:p w14:paraId="66C557B6" w14:textId="77777777" w:rsidR="00BB0E53" w:rsidRPr="0095155E" w:rsidRDefault="00BB0E53" w:rsidP="00BB0E53">
      <w:pPr>
        <w:ind w:left="426" w:hanging="284"/>
        <w:jc w:val="center"/>
        <w:rPr>
          <w:sz w:val="20"/>
          <w:szCs w:val="20"/>
        </w:rPr>
        <w:sectPr w:rsidR="00BB0E53" w:rsidRPr="0095155E" w:rsidSect="00BB0E53">
          <w:type w:val="continuous"/>
          <w:pgSz w:w="11920" w:h="16840"/>
          <w:pgMar w:top="0" w:right="863" w:bottom="0" w:left="141" w:header="720" w:footer="720" w:gutter="0"/>
          <w:cols w:num="2" w:space="720" w:equalWidth="0">
            <w:col w:w="5657" w:space="208"/>
            <w:col w:w="5631"/>
          </w:cols>
        </w:sectPr>
      </w:pPr>
      <w:r>
        <w:rPr>
          <w:color w:val="000000"/>
          <w:sz w:val="20"/>
          <w:szCs w:val="20"/>
        </w:rPr>
        <w:t>F</w:t>
      </w:r>
      <w:r>
        <w:rPr>
          <w:b/>
          <w:color w:val="000000"/>
          <w:sz w:val="20"/>
          <w:szCs w:val="20"/>
        </w:rPr>
        <w:t xml:space="preserve">igura 1. </w:t>
      </w:r>
      <w:r>
        <w:rPr>
          <w:color w:val="000000"/>
          <w:sz w:val="20"/>
          <w:szCs w:val="20"/>
        </w:rPr>
        <w:t>Espectros Raman do revestimento de GO obtido a 2 V por 30 s e do NiTi sem revestimento</w:t>
      </w:r>
    </w:p>
    <w:p w14:paraId="3BC2C5AC" w14:textId="77777777" w:rsidR="004B2BA6" w:rsidRDefault="002F311B">
      <w:pPr>
        <w:pStyle w:val="Corpodetexto"/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828224" behindDoc="0" locked="0" layoutInCell="1" allowOverlap="1" wp14:anchorId="224F9767" wp14:editId="626FFE7E">
            <wp:simplePos x="0" y="0"/>
            <wp:positionH relativeFrom="column">
              <wp:posOffset>5943600</wp:posOffset>
            </wp:positionH>
            <wp:positionV relativeFrom="paragraph">
              <wp:posOffset>155275</wp:posOffset>
            </wp:positionV>
            <wp:extent cx="1456686" cy="1447165"/>
            <wp:effectExtent l="0" t="0" r="0" b="635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027" cy="1470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5E">
        <w:rPr>
          <w:noProof/>
          <w:lang w:val="pt-BR" w:eastAsia="pt-BR"/>
        </w:rPr>
        <w:drawing>
          <wp:anchor distT="0" distB="0" distL="0" distR="0" simplePos="0" relativeHeight="251823104" behindDoc="1" locked="0" layoutInCell="1" allowOverlap="1" wp14:anchorId="56DA939E" wp14:editId="1A5DFA14">
            <wp:simplePos x="0" y="0"/>
            <wp:positionH relativeFrom="page">
              <wp:posOffset>0</wp:posOffset>
            </wp:positionH>
            <wp:positionV relativeFrom="paragraph">
              <wp:posOffset>-86132</wp:posOffset>
            </wp:positionV>
            <wp:extent cx="2790190" cy="3215640"/>
            <wp:effectExtent l="0" t="0" r="0" b="381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282F" w14:textId="77777777" w:rsidR="004B2BA6" w:rsidRDefault="004B2BA6">
      <w:pPr>
        <w:pStyle w:val="Corpodetexto"/>
        <w:spacing w:before="20"/>
      </w:pPr>
    </w:p>
    <w:p w14:paraId="64E05E9A" w14:textId="77777777" w:rsidR="004B2BA6" w:rsidRDefault="004B2BA6">
      <w:pPr>
        <w:pStyle w:val="Corpodetexto"/>
        <w:sectPr w:rsidR="004B2BA6" w:rsidSect="00F02753">
          <w:pgSz w:w="11920" w:h="16840"/>
          <w:pgMar w:top="0" w:right="283" w:bottom="0" w:left="0" w:header="720" w:footer="720" w:gutter="0"/>
          <w:cols w:space="720"/>
        </w:sectPr>
      </w:pPr>
    </w:p>
    <w:p w14:paraId="0E9A1762" w14:textId="77777777" w:rsidR="00C02BB7" w:rsidRDefault="00C02BB7" w:rsidP="00F02753">
      <w:pPr>
        <w:pStyle w:val="Corpodetexto"/>
        <w:spacing w:before="150" w:line="280" w:lineRule="auto"/>
        <w:ind w:right="38"/>
        <w:jc w:val="both"/>
      </w:pPr>
    </w:p>
    <w:p w14:paraId="487FD17C" w14:textId="77777777" w:rsidR="004B2BA6" w:rsidRDefault="00C02BB7" w:rsidP="00F02753">
      <w:pPr>
        <w:pStyle w:val="Corpodetexto"/>
        <w:spacing w:before="150" w:line="280" w:lineRule="auto"/>
        <w:ind w:right="38"/>
        <w:jc w:val="both"/>
      </w:pPr>
      <w:r>
        <w:rPr>
          <w:noProof/>
          <w:lang w:val="pt-BR" w:eastAsia="pt-BR"/>
        </w:rPr>
        <w:drawing>
          <wp:anchor distT="0" distB="0" distL="114300" distR="114300" simplePos="0" relativeHeight="251831296" behindDoc="0" locked="0" layoutInCell="0" allowOverlap="1" wp14:anchorId="54A929F2" wp14:editId="78BB1B54">
            <wp:simplePos x="0" y="0"/>
            <wp:positionH relativeFrom="margin">
              <wp:posOffset>205740</wp:posOffset>
            </wp:positionH>
            <wp:positionV relativeFrom="paragraph">
              <wp:posOffset>923290</wp:posOffset>
            </wp:positionV>
            <wp:extent cx="3183255" cy="2247900"/>
            <wp:effectExtent l="0" t="0" r="9525" b="0"/>
            <wp:wrapTopAndBottom/>
            <wp:docPr id="13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Os ensaios de polarização potenciodinâmica em SBF (pH 7,4; 37 °C), observou-se que todos os revestimentos deslocaram o potencial de corrosão (Ecorr) para valores mais nobres em relação à amostra sem recobrimento, sugerindo a formação de uma barreira difusional contra íons agressivos, como mostra a Figura 2.</w:t>
      </w:r>
    </w:p>
    <w:p w14:paraId="6A945571" w14:textId="77777777" w:rsidR="00C02BB7" w:rsidRPr="00C02BB7" w:rsidRDefault="00C02BB7" w:rsidP="00C02BB7">
      <w:pPr>
        <w:suppressAutoHyphens/>
        <w:autoSpaceDE/>
        <w:autoSpaceDN/>
        <w:spacing w:line="278" w:lineRule="auto"/>
        <w:ind w:right="125"/>
        <w:jc w:val="center"/>
        <w:rPr>
          <w:sz w:val="20"/>
          <w:szCs w:val="20"/>
        </w:rPr>
      </w:pPr>
      <w:r w:rsidRPr="00C02BB7">
        <w:rPr>
          <w:b/>
          <w:color w:val="000000"/>
          <w:sz w:val="20"/>
          <w:szCs w:val="20"/>
        </w:rPr>
        <w:t>Figura 2.</w:t>
      </w:r>
      <w:r w:rsidRPr="00C02BB7">
        <w:t xml:space="preserve"> </w:t>
      </w:r>
      <w:r w:rsidRPr="00C02BB7">
        <w:rPr>
          <w:sz w:val="20"/>
          <w:szCs w:val="20"/>
        </w:rPr>
        <w:t>Curvas de polarização potenciodinâmica dos revestimentos em solução SBF.</w:t>
      </w:r>
    </w:p>
    <w:p w14:paraId="579EB042" w14:textId="77777777" w:rsidR="00506943" w:rsidRDefault="00506943" w:rsidP="00506943">
      <w:pPr>
        <w:suppressAutoHyphens/>
        <w:autoSpaceDE/>
        <w:autoSpaceDN/>
        <w:spacing w:line="278" w:lineRule="auto"/>
        <w:jc w:val="both"/>
        <w:rPr>
          <w:sz w:val="20"/>
          <w:szCs w:val="20"/>
        </w:rPr>
      </w:pPr>
    </w:p>
    <w:p w14:paraId="7DDCB681" w14:textId="77777777" w:rsidR="00506943" w:rsidRPr="00506943" w:rsidRDefault="00506943" w:rsidP="00506943">
      <w:pPr>
        <w:suppressAutoHyphens/>
        <w:autoSpaceDE/>
        <w:autoSpaceDN/>
        <w:spacing w:line="278" w:lineRule="auto"/>
        <w:jc w:val="both"/>
        <w:rPr>
          <w:sz w:val="20"/>
          <w:szCs w:val="20"/>
        </w:rPr>
      </w:pPr>
      <w:r w:rsidRPr="00506943">
        <w:rPr>
          <w:sz w:val="20"/>
          <w:szCs w:val="20"/>
        </w:rPr>
        <w:t>Os valores de Ecorr e jcorr obtidos por extrapolação de Tafel  mostram melhor desempenho para as amostras 215-05 e 230-05. Já tempos maiores (260-05) ou concentrações elevadas sem ajuste de tensão (260-01) reduziram a eficiência, evidenciando o efeito combinado dos parâmetros figura 3.</w:t>
      </w:r>
    </w:p>
    <w:p w14:paraId="17526D99" w14:textId="77777777" w:rsidR="004B2BA6" w:rsidRDefault="004B2BA6">
      <w:pPr>
        <w:pStyle w:val="Corpodetexto"/>
        <w:rPr>
          <w:sz w:val="18"/>
        </w:rPr>
      </w:pPr>
    </w:p>
    <w:p w14:paraId="50434E70" w14:textId="77777777" w:rsidR="004B2BA6" w:rsidRDefault="00DB7376">
      <w:pPr>
        <w:pStyle w:val="Corpodetexto"/>
        <w:spacing w:before="95"/>
        <w:rPr>
          <w:sz w:val="18"/>
        </w:rPr>
      </w:pPr>
      <w:r>
        <w:rPr>
          <w:noProof/>
          <w:lang w:val="pt-BR" w:eastAsia="pt-BR"/>
        </w:rPr>
        <w:drawing>
          <wp:anchor distT="0" distB="0" distL="0" distR="114300" simplePos="0" relativeHeight="251833344" behindDoc="0" locked="0" layoutInCell="0" allowOverlap="1" wp14:anchorId="259CAF27" wp14:editId="06F8350D">
            <wp:simplePos x="0" y="0"/>
            <wp:positionH relativeFrom="margin">
              <wp:posOffset>-3810</wp:posOffset>
            </wp:positionH>
            <wp:positionV relativeFrom="paragraph">
              <wp:posOffset>214630</wp:posOffset>
            </wp:positionV>
            <wp:extent cx="3657600" cy="1727200"/>
            <wp:effectExtent l="0" t="0" r="0" b="6350"/>
            <wp:wrapSquare wrapText="bothSides"/>
            <wp:docPr id="14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m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24FFF2" w14:textId="77777777" w:rsidR="00506943" w:rsidRPr="00506943" w:rsidRDefault="00506943" w:rsidP="00506943">
      <w:pPr>
        <w:suppressAutoHyphens/>
        <w:autoSpaceDE/>
        <w:autoSpaceDN/>
        <w:spacing w:line="278" w:lineRule="auto"/>
        <w:jc w:val="center"/>
        <w:rPr>
          <w:sz w:val="20"/>
          <w:szCs w:val="20"/>
        </w:rPr>
      </w:pPr>
      <w:r w:rsidRPr="00506943">
        <w:rPr>
          <w:b/>
          <w:color w:val="000000"/>
          <w:sz w:val="20"/>
          <w:szCs w:val="20"/>
        </w:rPr>
        <w:t>Figura 3.</w:t>
      </w:r>
      <w:r w:rsidRPr="00506943">
        <w:rPr>
          <w:sz w:val="20"/>
          <w:szCs w:val="20"/>
        </w:rPr>
        <w:t xml:space="preserve"> a) Potencial de corrosão (Ecorr); b) Densidade decorrente de corrosão (jcorr) para as diferentes amostras.</w:t>
      </w:r>
    </w:p>
    <w:p w14:paraId="437BB7E9" w14:textId="77777777" w:rsidR="00506943" w:rsidRDefault="00506943">
      <w:pPr>
        <w:pStyle w:val="Corpodetexto"/>
        <w:spacing w:before="95"/>
        <w:rPr>
          <w:sz w:val="18"/>
        </w:rPr>
      </w:pPr>
    </w:p>
    <w:p w14:paraId="7C4B4D0B" w14:textId="77777777" w:rsidR="00506943" w:rsidRDefault="00506943">
      <w:pPr>
        <w:pStyle w:val="Corpodetexto"/>
        <w:spacing w:before="95"/>
        <w:rPr>
          <w:sz w:val="18"/>
        </w:rPr>
      </w:pPr>
    </w:p>
    <w:p w14:paraId="6FD7924F" w14:textId="77777777" w:rsidR="00506943" w:rsidRDefault="00506943">
      <w:pPr>
        <w:pStyle w:val="Corpodetexto"/>
        <w:spacing w:before="95"/>
        <w:rPr>
          <w:sz w:val="18"/>
        </w:rPr>
      </w:pPr>
    </w:p>
    <w:p w14:paraId="3C14CF85" w14:textId="77777777" w:rsidR="00506943" w:rsidRDefault="00506943">
      <w:pPr>
        <w:pStyle w:val="Corpodetexto"/>
        <w:spacing w:before="95"/>
        <w:rPr>
          <w:sz w:val="18"/>
        </w:rPr>
      </w:pPr>
    </w:p>
    <w:p w14:paraId="0569EDAC" w14:textId="77777777" w:rsidR="00506943" w:rsidRDefault="00506943">
      <w:pPr>
        <w:pStyle w:val="Corpodetexto"/>
        <w:spacing w:before="95"/>
        <w:rPr>
          <w:sz w:val="18"/>
        </w:rPr>
      </w:pPr>
    </w:p>
    <w:p w14:paraId="4BCF967B" w14:textId="77777777" w:rsidR="00506943" w:rsidRDefault="00506943">
      <w:pPr>
        <w:pStyle w:val="Corpodetexto"/>
        <w:spacing w:before="95"/>
        <w:rPr>
          <w:sz w:val="18"/>
        </w:rPr>
      </w:pPr>
    </w:p>
    <w:p w14:paraId="75CCD2F5" w14:textId="77777777" w:rsidR="00506943" w:rsidRDefault="00506943">
      <w:pPr>
        <w:pStyle w:val="Corpodetexto"/>
        <w:spacing w:before="95"/>
        <w:rPr>
          <w:sz w:val="18"/>
        </w:rPr>
      </w:pPr>
    </w:p>
    <w:p w14:paraId="4DC5FEE2" w14:textId="77777777" w:rsidR="00DB7376" w:rsidRDefault="00DB7376">
      <w:pPr>
        <w:pStyle w:val="Ttulo1"/>
        <w:ind w:left="120"/>
        <w:rPr>
          <w:spacing w:val="-2"/>
        </w:rPr>
      </w:pPr>
      <w:bookmarkStart w:id="5" w:name="Conclusões_"/>
      <w:bookmarkEnd w:id="5"/>
    </w:p>
    <w:p w14:paraId="3FD003EF" w14:textId="77777777" w:rsidR="004B2BA6" w:rsidRDefault="002F311B">
      <w:pPr>
        <w:pStyle w:val="Ttulo1"/>
        <w:ind w:left="120"/>
      </w:pPr>
      <w:r>
        <w:rPr>
          <w:spacing w:val="-2"/>
        </w:rPr>
        <w:lastRenderedPageBreak/>
        <w:t>Conclusões</w:t>
      </w:r>
    </w:p>
    <w:p w14:paraId="2A33CDE1" w14:textId="77777777" w:rsidR="00506943" w:rsidRPr="00506943" w:rsidRDefault="00506943" w:rsidP="00506943">
      <w:pPr>
        <w:suppressAutoHyphens/>
        <w:autoSpaceDE/>
        <w:autoSpaceDN/>
        <w:spacing w:before="65"/>
        <w:jc w:val="both"/>
        <w:rPr>
          <w:sz w:val="20"/>
          <w:szCs w:val="20"/>
        </w:rPr>
      </w:pPr>
      <w:r w:rsidRPr="00506943">
        <w:rPr>
          <w:sz w:val="20"/>
          <w:szCs w:val="20"/>
        </w:rPr>
        <w:t>Os revestimentos de óxido de grafeno obtidos por EPD catódica demonstraram eficácia na mitigação da corrosão em ligas de NiTi, sendo o tempo de deposição o parâmetro mais influente. As condições de 2 V, 0,5 g/L e 15–30 minutos resultaram em maior resistência à corrosão em solução simulando fluido corporal. Concentrações elevadas e tempos prolongados comprometeram o desempenho, enquanto maior tensão foi benéfica para 1 g/L. Estudos complementares são recomendados para validar os resultados e esclarecer os efeitos da tensão e concentração.</w:t>
      </w:r>
    </w:p>
    <w:p w14:paraId="206DF35A" w14:textId="77777777" w:rsidR="004B2BA6" w:rsidRDefault="004B2BA6">
      <w:pPr>
        <w:pStyle w:val="Corpodetexto"/>
        <w:spacing w:before="83"/>
        <w:ind w:left="120"/>
        <w:jc w:val="center"/>
      </w:pPr>
    </w:p>
    <w:p w14:paraId="351D8988" w14:textId="77777777" w:rsidR="004B2BA6" w:rsidRDefault="002F311B" w:rsidP="002F311B">
      <w:pPr>
        <w:pStyle w:val="Ttulo1"/>
        <w:ind w:left="0"/>
      </w:pPr>
      <w:bookmarkStart w:id="6" w:name="Agradecimentos_"/>
      <w:bookmarkEnd w:id="6"/>
      <w:r>
        <w:rPr>
          <w:spacing w:val="-2"/>
        </w:rPr>
        <w:t>Agradecimentos</w:t>
      </w:r>
    </w:p>
    <w:p w14:paraId="4931E4F9" w14:textId="77777777" w:rsidR="002F311B" w:rsidRPr="002F311B" w:rsidRDefault="002F311B" w:rsidP="002F311B">
      <w:pPr>
        <w:suppressAutoHyphens/>
        <w:autoSpaceDE/>
        <w:autoSpaceDN/>
        <w:spacing w:before="39"/>
        <w:ind w:right="7"/>
        <w:jc w:val="both"/>
        <w:rPr>
          <w:b/>
          <w:color w:val="000000"/>
          <w:sz w:val="28"/>
          <w:szCs w:val="28"/>
        </w:rPr>
      </w:pPr>
      <w:r w:rsidRPr="002F311B">
        <w:rPr>
          <w:sz w:val="20"/>
          <w:szCs w:val="20"/>
        </w:rPr>
        <w:t>Os autores agradecem à CAPES, ao CNPq e à FAPEMIG pelo apoio financeiro, bem como à Universidade Federal de Ouro Preto (UFOP) pela oportunidade de realização deste trabalho. Agradecem, ainda, aos colaboradores da Universidade Federal de Minas Gerais (UFMG) e do Centro de Tecnologia em Nanotecnologia e Grafeno (CTNano) pela valiosa contribuição.</w:t>
      </w:r>
    </w:p>
    <w:p w14:paraId="1A29F1A3" w14:textId="77777777" w:rsidR="004B2BA6" w:rsidRDefault="002F311B" w:rsidP="002F311B">
      <w:pPr>
        <w:pStyle w:val="Ttulo1"/>
        <w:spacing w:before="88"/>
        <w:ind w:left="0"/>
      </w:pPr>
      <w:bookmarkStart w:id="7" w:name="Referências_"/>
      <w:bookmarkEnd w:id="7"/>
      <w:r>
        <w:rPr>
          <w:spacing w:val="-2"/>
        </w:rPr>
        <w:t>Referências</w:t>
      </w:r>
    </w:p>
    <w:p w14:paraId="5627B123" w14:textId="77777777" w:rsidR="002F311B" w:rsidRPr="002F311B" w:rsidRDefault="002F311B" w:rsidP="002F311B">
      <w:pPr>
        <w:spacing w:before="62" w:line="278" w:lineRule="auto"/>
        <w:jc w:val="both"/>
        <w:rPr>
          <w:sz w:val="20"/>
          <w:szCs w:val="20"/>
        </w:rPr>
      </w:pPr>
      <w:r>
        <w:t xml:space="preserve"> </w:t>
      </w:r>
      <w:r w:rsidRPr="002F311B">
        <w:rPr>
          <w:sz w:val="20"/>
          <w:szCs w:val="20"/>
        </w:rPr>
        <w:t xml:space="preserve">1. QADER, I. N. et al. A review of smart materials: researches and applications. El-Cezeri, v. 6, n. 3, p. 755–788, 2019. </w:t>
      </w:r>
    </w:p>
    <w:p w14:paraId="4BC36B06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 w:rsidRPr="002F311B">
        <w:rPr>
          <w:sz w:val="20"/>
          <w:szCs w:val="20"/>
        </w:rPr>
        <w:t xml:space="preserve">2. AMADI, A. et al. Advancing engineering frontiers with NiTi shape memory alloys: A multifaceted review of properties, fabrication, and application potentials. Journal of Alloys and Compounds, v. 976, p. 173227, 2024. </w:t>
      </w:r>
    </w:p>
    <w:p w14:paraId="22EDA0D2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 w:rsidRPr="002F311B">
        <w:rPr>
          <w:sz w:val="20"/>
          <w:szCs w:val="20"/>
        </w:rPr>
        <w:t xml:space="preserve">3. BUEHLER, W. J.; GILFRICH, J. V.; WILEY, R. C. Effect of low-temperature phase changes on the mechanical properties of alloys near composition TiNi. Journal of Applied Physics, v. 34, n. 5, p. 1475–1477, 1963. </w:t>
      </w:r>
    </w:p>
    <w:p w14:paraId="113F5163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 w:rsidRPr="002F311B">
        <w:rPr>
          <w:sz w:val="20"/>
          <w:szCs w:val="20"/>
        </w:rPr>
        <w:t xml:space="preserve">4. PARVIZI, S.; HASHEMI, S. M.; MOEIN, S. Niti shape memory alloys: properties. In: Nickel-Titanium Smart Hybrid Materials. Elsevier, 2022. p. 399–426. </w:t>
      </w:r>
    </w:p>
    <w:p w14:paraId="4522062D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812864" behindDoc="1" locked="0" layoutInCell="1" allowOverlap="1" wp14:anchorId="7D830AD3" wp14:editId="34C3EB65">
            <wp:simplePos x="0" y="0"/>
            <wp:positionH relativeFrom="page">
              <wp:posOffset>4886325</wp:posOffset>
            </wp:positionH>
            <wp:positionV relativeFrom="page">
              <wp:posOffset>7629525</wp:posOffset>
            </wp:positionV>
            <wp:extent cx="2645091" cy="3048951"/>
            <wp:effectExtent l="0" t="0" r="3175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5091" cy="304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311B">
        <w:rPr>
          <w:sz w:val="20"/>
          <w:szCs w:val="20"/>
        </w:rPr>
        <w:t xml:space="preserve">5. MORGAN, N. Medical shape memory alloy applications—the market and its products. Materials Science and Engineering: A, v. 378, n. 1–2, p. 16–23, 2004. </w:t>
      </w:r>
    </w:p>
    <w:p w14:paraId="4553C390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 w:rsidRPr="002F311B">
        <w:rPr>
          <w:sz w:val="20"/>
          <w:szCs w:val="20"/>
        </w:rPr>
        <w:t xml:space="preserve">6. SONG, C. History and current situation of shape memory alloys devices for minimally invasive surgery. Open Medical Devices Journal, v. 2, n. 1, p. 24–31, 2010. </w:t>
      </w:r>
    </w:p>
    <w:p w14:paraId="398255A3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sz w:val="20"/>
          <w:szCs w:val="20"/>
        </w:rPr>
      </w:pPr>
      <w:r w:rsidRPr="002F311B">
        <w:rPr>
          <w:sz w:val="20"/>
          <w:szCs w:val="20"/>
        </w:rPr>
        <w:t xml:space="preserve">7.SAFAVI, M. S. et al. Surface modified NiTi smart biomaterials: Surface engineering and biological compatibility. Current Opinion in Biomedical Engineering, v. 25, p. 100429, 2023. </w:t>
      </w:r>
    </w:p>
    <w:p w14:paraId="581C1E63" w14:textId="77777777" w:rsidR="002F311B" w:rsidRPr="002F311B" w:rsidRDefault="002F311B" w:rsidP="002F311B">
      <w:pPr>
        <w:suppressAutoHyphens/>
        <w:autoSpaceDE/>
        <w:autoSpaceDN/>
        <w:spacing w:before="62" w:line="278" w:lineRule="auto"/>
        <w:jc w:val="both"/>
        <w:rPr>
          <w:color w:val="000000"/>
          <w:sz w:val="20"/>
          <w:szCs w:val="20"/>
        </w:rPr>
      </w:pPr>
      <w:r w:rsidRPr="002F311B">
        <w:rPr>
          <w:color w:val="000000"/>
          <w:sz w:val="20"/>
          <w:szCs w:val="20"/>
        </w:rPr>
        <w:t>8.SUN, W. et al. Review on the corrosion-promotion activity of graphene and its inhibition. Journal of Materials Science &amp; Technology, v. 91, p. 278–306, 2021.</w:t>
      </w:r>
    </w:p>
    <w:p w14:paraId="101A89B8" w14:textId="77777777" w:rsidR="004B2BA6" w:rsidRPr="002F311B" w:rsidRDefault="004B2BA6" w:rsidP="002F311B">
      <w:pPr>
        <w:pStyle w:val="Corpodetexto"/>
        <w:spacing w:before="83" w:line="280" w:lineRule="auto"/>
        <w:ind w:right="65"/>
      </w:pPr>
    </w:p>
    <w:sectPr w:rsidR="004B2BA6" w:rsidRPr="002F311B">
      <w:type w:val="continuous"/>
      <w:pgSz w:w="11920" w:h="16840"/>
      <w:pgMar w:top="0" w:right="283" w:bottom="0" w:left="141" w:header="720" w:footer="720" w:gutter="0"/>
      <w:cols w:num="2" w:space="720" w:equalWidth="0">
        <w:col w:w="5654" w:space="226"/>
        <w:col w:w="56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2FC6"/>
    <w:multiLevelType w:val="hybridMultilevel"/>
    <w:tmpl w:val="13C83F0A"/>
    <w:lvl w:ilvl="0" w:tplc="BD4C864C">
      <w:start w:val="1"/>
      <w:numFmt w:val="decimal"/>
      <w:lvlText w:val="%1."/>
      <w:lvlJc w:val="left"/>
      <w:pPr>
        <w:ind w:left="35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AC28EB86">
      <w:numFmt w:val="bullet"/>
      <w:lvlText w:val="•"/>
      <w:lvlJc w:val="left"/>
      <w:pPr>
        <w:ind w:left="887" w:hanging="195"/>
      </w:pPr>
      <w:rPr>
        <w:rFonts w:hint="default"/>
        <w:lang w:val="pt-PT" w:eastAsia="en-US" w:bidi="ar-SA"/>
      </w:rPr>
    </w:lvl>
    <w:lvl w:ilvl="2" w:tplc="3332726A">
      <w:numFmt w:val="bullet"/>
      <w:lvlText w:val="•"/>
      <w:lvlJc w:val="left"/>
      <w:pPr>
        <w:ind w:left="1414" w:hanging="195"/>
      </w:pPr>
      <w:rPr>
        <w:rFonts w:hint="default"/>
        <w:lang w:val="pt-PT" w:eastAsia="en-US" w:bidi="ar-SA"/>
      </w:rPr>
    </w:lvl>
    <w:lvl w:ilvl="3" w:tplc="DFDC8E2A">
      <w:numFmt w:val="bullet"/>
      <w:lvlText w:val="•"/>
      <w:lvlJc w:val="left"/>
      <w:pPr>
        <w:ind w:left="1941" w:hanging="195"/>
      </w:pPr>
      <w:rPr>
        <w:rFonts w:hint="default"/>
        <w:lang w:val="pt-PT" w:eastAsia="en-US" w:bidi="ar-SA"/>
      </w:rPr>
    </w:lvl>
    <w:lvl w:ilvl="4" w:tplc="708ABDB8">
      <w:numFmt w:val="bullet"/>
      <w:lvlText w:val="•"/>
      <w:lvlJc w:val="left"/>
      <w:pPr>
        <w:ind w:left="2468" w:hanging="195"/>
      </w:pPr>
      <w:rPr>
        <w:rFonts w:hint="default"/>
        <w:lang w:val="pt-PT" w:eastAsia="en-US" w:bidi="ar-SA"/>
      </w:rPr>
    </w:lvl>
    <w:lvl w:ilvl="5" w:tplc="CD78EF42">
      <w:numFmt w:val="bullet"/>
      <w:lvlText w:val="•"/>
      <w:lvlJc w:val="left"/>
      <w:pPr>
        <w:ind w:left="2995" w:hanging="195"/>
      </w:pPr>
      <w:rPr>
        <w:rFonts w:hint="default"/>
        <w:lang w:val="pt-PT" w:eastAsia="en-US" w:bidi="ar-SA"/>
      </w:rPr>
    </w:lvl>
    <w:lvl w:ilvl="6" w:tplc="62DC01D2">
      <w:numFmt w:val="bullet"/>
      <w:lvlText w:val="•"/>
      <w:lvlJc w:val="left"/>
      <w:pPr>
        <w:ind w:left="3522" w:hanging="195"/>
      </w:pPr>
      <w:rPr>
        <w:rFonts w:hint="default"/>
        <w:lang w:val="pt-PT" w:eastAsia="en-US" w:bidi="ar-SA"/>
      </w:rPr>
    </w:lvl>
    <w:lvl w:ilvl="7" w:tplc="2E7E007E">
      <w:numFmt w:val="bullet"/>
      <w:lvlText w:val="•"/>
      <w:lvlJc w:val="left"/>
      <w:pPr>
        <w:ind w:left="4049" w:hanging="195"/>
      </w:pPr>
      <w:rPr>
        <w:rFonts w:hint="default"/>
        <w:lang w:val="pt-PT" w:eastAsia="en-US" w:bidi="ar-SA"/>
      </w:rPr>
    </w:lvl>
    <w:lvl w:ilvl="8" w:tplc="60ECB080">
      <w:numFmt w:val="bullet"/>
      <w:lvlText w:val="•"/>
      <w:lvlJc w:val="left"/>
      <w:pPr>
        <w:ind w:left="4576" w:hanging="195"/>
      </w:pPr>
      <w:rPr>
        <w:rFonts w:hint="default"/>
        <w:lang w:val="pt-PT" w:eastAsia="en-US" w:bidi="ar-SA"/>
      </w:rPr>
    </w:lvl>
  </w:abstractNum>
  <w:abstractNum w:abstractNumId="1" w15:restartNumberingAfterBreak="0">
    <w:nsid w:val="628A229C"/>
    <w:multiLevelType w:val="hybridMultilevel"/>
    <w:tmpl w:val="F25418FE"/>
    <w:lvl w:ilvl="0" w:tplc="16E0DEB4">
      <w:start w:val="1"/>
      <w:numFmt w:val="decimal"/>
      <w:lvlText w:val="%1."/>
      <w:lvlJc w:val="left"/>
      <w:pPr>
        <w:ind w:left="35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616ABD46">
      <w:numFmt w:val="bullet"/>
      <w:lvlText w:val="•"/>
      <w:lvlJc w:val="left"/>
      <w:pPr>
        <w:ind w:left="885" w:hanging="195"/>
      </w:pPr>
      <w:rPr>
        <w:rFonts w:hint="default"/>
        <w:lang w:val="pt-PT" w:eastAsia="en-US" w:bidi="ar-SA"/>
      </w:rPr>
    </w:lvl>
    <w:lvl w:ilvl="2" w:tplc="A5CADE3E">
      <w:numFmt w:val="bullet"/>
      <w:lvlText w:val="•"/>
      <w:lvlJc w:val="left"/>
      <w:pPr>
        <w:ind w:left="1411" w:hanging="195"/>
      </w:pPr>
      <w:rPr>
        <w:rFonts w:hint="default"/>
        <w:lang w:val="pt-PT" w:eastAsia="en-US" w:bidi="ar-SA"/>
      </w:rPr>
    </w:lvl>
    <w:lvl w:ilvl="3" w:tplc="AE765B5C">
      <w:numFmt w:val="bullet"/>
      <w:lvlText w:val="•"/>
      <w:lvlJc w:val="left"/>
      <w:pPr>
        <w:ind w:left="1936" w:hanging="195"/>
      </w:pPr>
      <w:rPr>
        <w:rFonts w:hint="default"/>
        <w:lang w:val="pt-PT" w:eastAsia="en-US" w:bidi="ar-SA"/>
      </w:rPr>
    </w:lvl>
    <w:lvl w:ilvl="4" w:tplc="2DEE4CF6">
      <w:numFmt w:val="bullet"/>
      <w:lvlText w:val="•"/>
      <w:lvlJc w:val="left"/>
      <w:pPr>
        <w:ind w:left="2462" w:hanging="195"/>
      </w:pPr>
      <w:rPr>
        <w:rFonts w:hint="default"/>
        <w:lang w:val="pt-PT" w:eastAsia="en-US" w:bidi="ar-SA"/>
      </w:rPr>
    </w:lvl>
    <w:lvl w:ilvl="5" w:tplc="1338A5B2">
      <w:numFmt w:val="bullet"/>
      <w:lvlText w:val="•"/>
      <w:lvlJc w:val="left"/>
      <w:pPr>
        <w:ind w:left="2988" w:hanging="195"/>
      </w:pPr>
      <w:rPr>
        <w:rFonts w:hint="default"/>
        <w:lang w:val="pt-PT" w:eastAsia="en-US" w:bidi="ar-SA"/>
      </w:rPr>
    </w:lvl>
    <w:lvl w:ilvl="6" w:tplc="06B811AC">
      <w:numFmt w:val="bullet"/>
      <w:lvlText w:val="•"/>
      <w:lvlJc w:val="left"/>
      <w:pPr>
        <w:ind w:left="3513" w:hanging="195"/>
      </w:pPr>
      <w:rPr>
        <w:rFonts w:hint="default"/>
        <w:lang w:val="pt-PT" w:eastAsia="en-US" w:bidi="ar-SA"/>
      </w:rPr>
    </w:lvl>
    <w:lvl w:ilvl="7" w:tplc="388E1A6E">
      <w:numFmt w:val="bullet"/>
      <w:lvlText w:val="•"/>
      <w:lvlJc w:val="left"/>
      <w:pPr>
        <w:ind w:left="4039" w:hanging="195"/>
      </w:pPr>
      <w:rPr>
        <w:rFonts w:hint="default"/>
        <w:lang w:val="pt-PT" w:eastAsia="en-US" w:bidi="ar-SA"/>
      </w:rPr>
    </w:lvl>
    <w:lvl w:ilvl="8" w:tplc="6BBED858">
      <w:numFmt w:val="bullet"/>
      <w:lvlText w:val="•"/>
      <w:lvlJc w:val="left"/>
      <w:pPr>
        <w:ind w:left="4564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68CC3AD2"/>
    <w:multiLevelType w:val="hybridMultilevel"/>
    <w:tmpl w:val="94DC5D02"/>
    <w:lvl w:ilvl="0" w:tplc="A290DE78">
      <w:start w:val="1"/>
      <w:numFmt w:val="decimal"/>
      <w:lvlText w:val="%1"/>
      <w:lvlJc w:val="left"/>
      <w:pPr>
        <w:ind w:left="964" w:hanging="1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BF23E48">
      <w:numFmt w:val="bullet"/>
      <w:lvlText w:val="•"/>
      <w:lvlJc w:val="left"/>
      <w:pPr>
        <w:ind w:left="2013" w:hanging="150"/>
      </w:pPr>
      <w:rPr>
        <w:rFonts w:hint="default"/>
        <w:lang w:val="pt-PT" w:eastAsia="en-US" w:bidi="ar-SA"/>
      </w:rPr>
    </w:lvl>
    <w:lvl w:ilvl="2" w:tplc="AA8C689C">
      <w:numFmt w:val="bullet"/>
      <w:lvlText w:val="•"/>
      <w:lvlJc w:val="left"/>
      <w:pPr>
        <w:ind w:left="3067" w:hanging="150"/>
      </w:pPr>
      <w:rPr>
        <w:rFonts w:hint="default"/>
        <w:lang w:val="pt-PT" w:eastAsia="en-US" w:bidi="ar-SA"/>
      </w:rPr>
    </w:lvl>
    <w:lvl w:ilvl="3" w:tplc="8C44822A">
      <w:numFmt w:val="bullet"/>
      <w:lvlText w:val="•"/>
      <w:lvlJc w:val="left"/>
      <w:pPr>
        <w:ind w:left="4120" w:hanging="150"/>
      </w:pPr>
      <w:rPr>
        <w:rFonts w:hint="default"/>
        <w:lang w:val="pt-PT" w:eastAsia="en-US" w:bidi="ar-SA"/>
      </w:rPr>
    </w:lvl>
    <w:lvl w:ilvl="4" w:tplc="224C04FC">
      <w:numFmt w:val="bullet"/>
      <w:lvlText w:val="•"/>
      <w:lvlJc w:val="left"/>
      <w:pPr>
        <w:ind w:left="5174" w:hanging="150"/>
      </w:pPr>
      <w:rPr>
        <w:rFonts w:hint="default"/>
        <w:lang w:val="pt-PT" w:eastAsia="en-US" w:bidi="ar-SA"/>
      </w:rPr>
    </w:lvl>
    <w:lvl w:ilvl="5" w:tplc="B18850AE">
      <w:numFmt w:val="bullet"/>
      <w:lvlText w:val="•"/>
      <w:lvlJc w:val="left"/>
      <w:pPr>
        <w:ind w:left="6228" w:hanging="150"/>
      </w:pPr>
      <w:rPr>
        <w:rFonts w:hint="default"/>
        <w:lang w:val="pt-PT" w:eastAsia="en-US" w:bidi="ar-SA"/>
      </w:rPr>
    </w:lvl>
    <w:lvl w:ilvl="6" w:tplc="B016B4CC">
      <w:numFmt w:val="bullet"/>
      <w:lvlText w:val="•"/>
      <w:lvlJc w:val="left"/>
      <w:pPr>
        <w:ind w:left="7281" w:hanging="150"/>
      </w:pPr>
      <w:rPr>
        <w:rFonts w:hint="default"/>
        <w:lang w:val="pt-PT" w:eastAsia="en-US" w:bidi="ar-SA"/>
      </w:rPr>
    </w:lvl>
    <w:lvl w:ilvl="7" w:tplc="77927814">
      <w:numFmt w:val="bullet"/>
      <w:lvlText w:val="•"/>
      <w:lvlJc w:val="left"/>
      <w:pPr>
        <w:ind w:left="8335" w:hanging="150"/>
      </w:pPr>
      <w:rPr>
        <w:rFonts w:hint="default"/>
        <w:lang w:val="pt-PT" w:eastAsia="en-US" w:bidi="ar-SA"/>
      </w:rPr>
    </w:lvl>
    <w:lvl w:ilvl="8" w:tplc="1E945B56">
      <w:numFmt w:val="bullet"/>
      <w:lvlText w:val="•"/>
      <w:lvlJc w:val="left"/>
      <w:pPr>
        <w:ind w:left="9388" w:hanging="1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D6C03"/>
    <w:rsid w:val="002F311B"/>
    <w:rsid w:val="004B2BA6"/>
    <w:rsid w:val="00506943"/>
    <w:rsid w:val="00547A11"/>
    <w:rsid w:val="0095155E"/>
    <w:rsid w:val="009F5EE5"/>
    <w:rsid w:val="00AD14E0"/>
    <w:rsid w:val="00B66F95"/>
    <w:rsid w:val="00BB0E53"/>
    <w:rsid w:val="00C02BB7"/>
    <w:rsid w:val="00DB7376"/>
    <w:rsid w:val="00F0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374DD"/>
  <w15:docId w15:val="{FAA1BC4D-3B68-4086-8C90-05F97CE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7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6" w:hanging="19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  <w:rsid w:val="000D6C03"/>
    <w:pPr>
      <w:suppressAutoHyphens/>
      <w:autoSpaceDE/>
      <w:autoSpaceDN/>
    </w:p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F0275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4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4E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1178</Words>
  <Characters>6364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LUA RESUMO ERSBQ 2025.docx</vt:lpstr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 RESUMO ERSBQ 2025.docx</dc:title>
  <dc:creator>Elias Junior</dc:creator>
  <cp:lastModifiedBy>Elias Junior</cp:lastModifiedBy>
  <cp:revision>5</cp:revision>
  <dcterms:created xsi:type="dcterms:W3CDTF">2025-06-24T23:17:00Z</dcterms:created>
  <dcterms:modified xsi:type="dcterms:W3CDTF">2025-06-27T02:48:00Z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2025-06-24T00:00:00Z</vt:filetime>
  </property>
</Properties>
</file>