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1C55" w14:textId="3BC410F1" w:rsidR="00831610" w:rsidRPr="00831610" w:rsidRDefault="006949C4" w:rsidP="00831610">
      <w:pPr>
        <w:spacing w:after="0" w:line="240" w:lineRule="auto"/>
        <w:rPr>
          <w:rFonts w:ascii="Helvetica Neue" w:eastAsia="Times New Roman" w:hAnsi="Helvetica Neue" w:cs="Times New Roman"/>
          <w:color w:val="141827"/>
          <w:spacing w:val="2"/>
          <w:szCs w:val="24"/>
          <w:lang w:eastAsia="pt-BR"/>
        </w:rPr>
      </w:pPr>
      <w:r w:rsidRPr="0093608A">
        <w:rPr>
          <w:rFonts w:cs="Arial"/>
          <w:b/>
          <w:bCs/>
          <w:szCs w:val="24"/>
        </w:rPr>
        <w:t>ÁREA TEMÁTICA:</w:t>
      </w:r>
      <w:r w:rsidRPr="0093608A">
        <w:rPr>
          <w:rFonts w:cs="Arial"/>
          <w:szCs w:val="24"/>
        </w:rPr>
        <w:t xml:space="preserve"> </w:t>
      </w:r>
      <w:r w:rsidR="00831610">
        <w:rPr>
          <w:rFonts w:cs="Arial"/>
          <w:szCs w:val="24"/>
        </w:rPr>
        <w:t>[</w:t>
      </w:r>
      <w:r w:rsidR="00831610" w:rsidRPr="00831610">
        <w:rPr>
          <w:rFonts w:ascii="Helvetica Neue" w:eastAsia="Times New Roman" w:hAnsi="Helvetica Neue" w:cs="Times New Roman"/>
          <w:color w:val="141827"/>
          <w:spacing w:val="2"/>
          <w:szCs w:val="24"/>
          <w:lang w:eastAsia="pt-BR"/>
        </w:rPr>
        <w:t>Estratégia Organizacional e Inovação</w:t>
      </w:r>
      <w:r w:rsidR="00831610">
        <w:rPr>
          <w:rFonts w:ascii="Helvetica Neue" w:eastAsia="Times New Roman" w:hAnsi="Helvetica Neue" w:cs="Times New Roman"/>
          <w:color w:val="141827"/>
          <w:spacing w:val="2"/>
          <w:szCs w:val="24"/>
          <w:lang w:eastAsia="pt-BR"/>
        </w:rPr>
        <w:t>]</w:t>
      </w:r>
    </w:p>
    <w:p w14:paraId="30B1141D" w14:textId="77777777" w:rsidR="00854A3C" w:rsidRPr="0093608A" w:rsidRDefault="00854A3C" w:rsidP="00831610">
      <w:pPr>
        <w:spacing w:after="0" w:line="240" w:lineRule="auto"/>
        <w:jc w:val="both"/>
        <w:rPr>
          <w:rFonts w:cs="Arial"/>
          <w:szCs w:val="24"/>
        </w:rPr>
      </w:pPr>
    </w:p>
    <w:p w14:paraId="4EBB9C93" w14:textId="77777777" w:rsidR="0093608A" w:rsidRPr="0093608A" w:rsidRDefault="0093608A" w:rsidP="00831610">
      <w:pPr>
        <w:spacing w:after="0" w:line="240" w:lineRule="auto"/>
        <w:jc w:val="center"/>
        <w:rPr>
          <w:rFonts w:cs="Arial"/>
          <w:b/>
          <w:bCs/>
          <w:szCs w:val="24"/>
        </w:rPr>
      </w:pPr>
      <w:r w:rsidRPr="0093608A">
        <w:rPr>
          <w:rFonts w:cs="Arial"/>
          <w:b/>
          <w:bCs/>
          <w:szCs w:val="24"/>
        </w:rPr>
        <w:t>EPISTEMOLOGIA DA ESTRATÉGIA ORGANIZACIONAL E DA INOVAÇÃO: CAPACIDADES DINÂMICAS, SUSTENTABILIDADE COMPETITIVA E MODELOS DE NEGÓCIO NA ERA DA TRANSFORMAÇÃO DIGITAL</w:t>
      </w:r>
    </w:p>
    <w:p w14:paraId="19990013" w14:textId="77777777" w:rsidR="00831610" w:rsidRDefault="00831610" w:rsidP="00831610">
      <w:pPr>
        <w:spacing w:after="0" w:line="240" w:lineRule="auto"/>
        <w:jc w:val="center"/>
        <w:rPr>
          <w:rFonts w:cs="Arial"/>
          <w:i/>
          <w:iCs/>
          <w:szCs w:val="24"/>
          <w:lang w:val="en-US"/>
        </w:rPr>
      </w:pPr>
    </w:p>
    <w:p w14:paraId="0E728C58" w14:textId="45E26712" w:rsidR="0093608A" w:rsidRPr="0093608A" w:rsidRDefault="0093608A" w:rsidP="00831610">
      <w:pPr>
        <w:spacing w:after="0" w:line="240" w:lineRule="auto"/>
        <w:jc w:val="center"/>
        <w:rPr>
          <w:rFonts w:cs="Arial"/>
          <w:i/>
          <w:iCs/>
          <w:szCs w:val="24"/>
          <w:lang w:val="en-US"/>
        </w:rPr>
      </w:pPr>
      <w:r w:rsidRPr="0093608A">
        <w:rPr>
          <w:rFonts w:cs="Arial"/>
          <w:i/>
          <w:iCs/>
          <w:szCs w:val="24"/>
          <w:lang w:val="en-US"/>
        </w:rPr>
        <w:t>EPISTEMOLOGY OF ORGANIZATIONAL STRATEGY AND INNOVATION: DYNAMIC CAPABILITIES, COMPETITIVE SUSTAINABILITY AND BUSINESS MODELS IN THE ERA OF DIGITAL TRANSFORMATION</w:t>
      </w:r>
    </w:p>
    <w:p w14:paraId="727277B3" w14:textId="77777777" w:rsidR="0093608A" w:rsidRPr="00E20A79" w:rsidRDefault="0093608A" w:rsidP="00831610">
      <w:pPr>
        <w:spacing w:after="0" w:line="240" w:lineRule="auto"/>
        <w:jc w:val="right"/>
        <w:rPr>
          <w:rFonts w:cs="Arial"/>
          <w:szCs w:val="24"/>
          <w:lang w:val="en-US"/>
        </w:rPr>
      </w:pPr>
    </w:p>
    <w:p w14:paraId="4748AB61" w14:textId="77777777" w:rsidR="0093608A" w:rsidRDefault="0093608A" w:rsidP="00831610">
      <w:pPr>
        <w:spacing w:after="0" w:line="240" w:lineRule="auto"/>
        <w:jc w:val="both"/>
        <w:rPr>
          <w:rFonts w:cs="Arial"/>
          <w:b/>
          <w:bCs/>
        </w:rPr>
      </w:pPr>
    </w:p>
    <w:p w14:paraId="77F80455" w14:textId="77777777" w:rsidR="0093608A" w:rsidRPr="0093608A" w:rsidRDefault="0093608A" w:rsidP="00831610">
      <w:pPr>
        <w:spacing w:after="0" w:line="240" w:lineRule="auto"/>
        <w:jc w:val="both"/>
        <w:rPr>
          <w:rFonts w:cs="Arial"/>
          <w:b/>
          <w:bCs/>
        </w:rPr>
      </w:pPr>
    </w:p>
    <w:p w14:paraId="49E377E3" w14:textId="77777777" w:rsidR="0093608A" w:rsidRPr="0093608A" w:rsidRDefault="0093608A" w:rsidP="00831610">
      <w:pPr>
        <w:spacing w:after="0" w:line="240" w:lineRule="auto"/>
        <w:jc w:val="center"/>
        <w:rPr>
          <w:rFonts w:cs="Arial"/>
          <w:b/>
          <w:bCs/>
          <w:szCs w:val="24"/>
        </w:rPr>
      </w:pPr>
      <w:r w:rsidRPr="0093608A">
        <w:rPr>
          <w:rFonts w:cs="Arial"/>
          <w:b/>
          <w:bCs/>
          <w:szCs w:val="24"/>
        </w:rPr>
        <w:t>RESUMO</w:t>
      </w:r>
    </w:p>
    <w:p w14:paraId="2C023173" w14:textId="61716705" w:rsidR="0093608A" w:rsidRPr="0093608A" w:rsidRDefault="0093608A" w:rsidP="0093608A">
      <w:pPr>
        <w:spacing w:after="0" w:line="240" w:lineRule="auto"/>
        <w:jc w:val="both"/>
        <w:rPr>
          <w:rFonts w:cs="Arial"/>
          <w:szCs w:val="24"/>
        </w:rPr>
      </w:pPr>
      <w:r w:rsidRPr="0093608A">
        <w:rPr>
          <w:rFonts w:cs="Arial"/>
          <w:szCs w:val="24"/>
        </w:rPr>
        <w:t>Este artigo tem como foco realizar uma revisão epistemológica sobre o tema estratégia organizacional e inovação, ressaltando as intersecções entre capacidades dinâmicas, sustentabilidade competitiva e modelos de negócios adaptativos na era da transformação digital. O objetivo desta pesquisa é sistematizar os fundamentos conceituais e apontar suas contribuições para a compreensão da complexidade dos modelos de negócio, por isso, adotou-se, como metodologia, a análise qualitativa e exploratória de produções científicas relevantes no período de 1990 a 2024. Como resultados do estudo, observou-se que as capacidades dinâmicas de uma organização são cruciais para a adaptação contínua e para a sustentabilidade do negócio, tornando-se um eixo estratégico fundamental, dado que os modelos de negócios exigem flexibilidade em ecossistemas digitais. Conclui</w:t>
      </w:r>
      <w:r w:rsidR="00D6431A">
        <w:rPr>
          <w:rFonts w:cs="Arial"/>
          <w:szCs w:val="24"/>
        </w:rPr>
        <w:t>u</w:t>
      </w:r>
      <w:r w:rsidRPr="0093608A">
        <w:rPr>
          <w:rFonts w:cs="Arial"/>
          <w:szCs w:val="24"/>
        </w:rPr>
        <w:t xml:space="preserve">-se, portanto, que a inovação </w:t>
      </w:r>
      <w:r w:rsidR="00CF1272">
        <w:rPr>
          <w:rFonts w:cs="Arial"/>
          <w:szCs w:val="24"/>
        </w:rPr>
        <w:t xml:space="preserve">representa </w:t>
      </w:r>
      <w:r w:rsidRPr="0093608A">
        <w:rPr>
          <w:rFonts w:cs="Arial"/>
          <w:szCs w:val="24"/>
        </w:rPr>
        <w:t>a própria essência da estratégia organizacional no século XXI, pois</w:t>
      </w:r>
      <w:r w:rsidR="00CF1272">
        <w:rPr>
          <w:rFonts w:cs="Arial"/>
          <w:szCs w:val="24"/>
        </w:rPr>
        <w:t>,</w:t>
      </w:r>
      <w:r w:rsidRPr="0093608A">
        <w:rPr>
          <w:rFonts w:cs="Arial"/>
          <w:szCs w:val="24"/>
        </w:rPr>
        <w:t xml:space="preserve"> ela integra </w:t>
      </w:r>
      <w:r w:rsidR="00D6431A">
        <w:rPr>
          <w:rFonts w:cs="Arial"/>
          <w:szCs w:val="24"/>
        </w:rPr>
        <w:t xml:space="preserve">os </w:t>
      </w:r>
      <w:r w:rsidRPr="0093608A">
        <w:rPr>
          <w:rFonts w:cs="Arial"/>
          <w:szCs w:val="24"/>
        </w:rPr>
        <w:t xml:space="preserve">constructos </w:t>
      </w:r>
      <w:r w:rsidR="00CF1272">
        <w:rPr>
          <w:rFonts w:cs="Arial"/>
          <w:szCs w:val="24"/>
        </w:rPr>
        <w:t xml:space="preserve">necessário </w:t>
      </w:r>
      <w:r w:rsidRPr="0093608A">
        <w:rPr>
          <w:rFonts w:cs="Arial"/>
          <w:szCs w:val="24"/>
        </w:rPr>
        <w:t>para a sobrevivência da organização em ambientes complexos</w:t>
      </w:r>
      <w:r w:rsidR="00CF1272">
        <w:rPr>
          <w:rFonts w:cs="Arial"/>
          <w:szCs w:val="24"/>
        </w:rPr>
        <w:t>, dinâmicos</w:t>
      </w:r>
      <w:r w:rsidRPr="0093608A">
        <w:rPr>
          <w:rFonts w:cs="Arial"/>
          <w:szCs w:val="24"/>
        </w:rPr>
        <w:t xml:space="preserve"> e incertos. </w:t>
      </w:r>
    </w:p>
    <w:p w14:paraId="6B2FCA6A" w14:textId="77777777" w:rsidR="0093608A" w:rsidRPr="0093608A" w:rsidRDefault="0093608A" w:rsidP="0093608A">
      <w:pPr>
        <w:spacing w:after="0" w:line="240" w:lineRule="auto"/>
        <w:jc w:val="both"/>
        <w:rPr>
          <w:rFonts w:cs="Arial"/>
          <w:szCs w:val="24"/>
        </w:rPr>
      </w:pPr>
      <w:r w:rsidRPr="0093608A">
        <w:rPr>
          <w:rFonts w:cs="Arial"/>
          <w:b/>
          <w:bCs/>
          <w:szCs w:val="24"/>
        </w:rPr>
        <w:t xml:space="preserve">Palavras-chave: </w:t>
      </w:r>
      <w:r w:rsidRPr="0093608A">
        <w:rPr>
          <w:rFonts w:cs="Arial"/>
          <w:szCs w:val="24"/>
        </w:rPr>
        <w:t>estratégia organizacional, inovação, capacidades dinâmicas</w:t>
      </w:r>
    </w:p>
    <w:p w14:paraId="237522D8" w14:textId="77777777" w:rsidR="0093608A" w:rsidRPr="0093608A" w:rsidRDefault="0093608A" w:rsidP="0093608A">
      <w:pPr>
        <w:spacing w:after="0" w:line="240" w:lineRule="auto"/>
        <w:jc w:val="both"/>
        <w:rPr>
          <w:rFonts w:cs="Arial"/>
          <w:b/>
          <w:bCs/>
        </w:rPr>
      </w:pPr>
    </w:p>
    <w:p w14:paraId="5FC68651" w14:textId="77777777" w:rsidR="0093608A" w:rsidRPr="0093608A" w:rsidRDefault="0093608A" w:rsidP="00E20A79">
      <w:pPr>
        <w:spacing w:after="0" w:line="240" w:lineRule="auto"/>
        <w:jc w:val="center"/>
        <w:rPr>
          <w:rFonts w:cs="Arial"/>
          <w:b/>
          <w:bCs/>
          <w:szCs w:val="24"/>
          <w:lang w:val="en-US"/>
        </w:rPr>
      </w:pPr>
      <w:r w:rsidRPr="0093608A">
        <w:rPr>
          <w:rFonts w:cs="Arial"/>
          <w:b/>
          <w:bCs/>
          <w:szCs w:val="24"/>
          <w:lang w:val="en-US"/>
        </w:rPr>
        <w:t>ABSTRACT</w:t>
      </w:r>
    </w:p>
    <w:p w14:paraId="1356296D" w14:textId="77777777" w:rsidR="00CF1272" w:rsidRDefault="00CF1272" w:rsidP="00CF1272">
      <w:pPr>
        <w:spacing w:after="0" w:line="240" w:lineRule="auto"/>
        <w:jc w:val="both"/>
        <w:rPr>
          <w:rFonts w:cs="Arial"/>
          <w:szCs w:val="24"/>
          <w:lang w:val="en-US"/>
        </w:rPr>
      </w:pPr>
      <w:r w:rsidRPr="00CF1272">
        <w:rPr>
          <w:rFonts w:cs="Arial"/>
          <w:szCs w:val="24"/>
          <w:lang w:val="en-US"/>
        </w:rPr>
        <w:t>This article focuses on conducting an epistemological review of the topic of organizational strategy and innovation, highlighting the intersections between dynamic capabilities, competitive sustainability, and adaptive business models in the era of digital transformation. The objective of this research is to systematize the conceptual foundations and identify their contributions to understanding the complexity of business models. Therefore, the methodology adopted was a qualitative and exploratory analysis of relevant scientific literature from 1990 to 2024. The study found that an organization's dynamic capabilities are crucial for continuous adaptation and business sustainability, becoming a fundamental strategic axis, given that business models require flexibility in digital ecosystems. Therefore, it was concluded that innovation represents the very essence of organizational strategy in the 21st century, as it integrates the constructs necessary for an organization's survival in complex, dynamic, and uncertain environments.</w:t>
      </w:r>
    </w:p>
    <w:p w14:paraId="12C6AEB4" w14:textId="40518B34" w:rsidR="0093608A" w:rsidRPr="0093608A" w:rsidRDefault="0093608A" w:rsidP="00CF1272">
      <w:pPr>
        <w:spacing w:after="0" w:line="240" w:lineRule="auto"/>
        <w:jc w:val="both"/>
        <w:rPr>
          <w:rFonts w:cs="Arial"/>
          <w:szCs w:val="24"/>
          <w:lang w:val="en-US"/>
        </w:rPr>
      </w:pPr>
      <w:r w:rsidRPr="0093608A">
        <w:rPr>
          <w:rFonts w:cs="Arial"/>
          <w:b/>
          <w:bCs/>
          <w:szCs w:val="24"/>
          <w:lang w:val="en-US"/>
        </w:rPr>
        <w:t>Keywords:</w:t>
      </w:r>
      <w:r w:rsidRPr="0093608A">
        <w:rPr>
          <w:rFonts w:cs="Arial"/>
          <w:szCs w:val="24"/>
          <w:lang w:val="en-US"/>
        </w:rPr>
        <w:t xml:space="preserve"> organizational strategy, innovation, dynamic capabilities</w:t>
      </w:r>
    </w:p>
    <w:p w14:paraId="6B28EF27" w14:textId="77777777" w:rsidR="0093608A" w:rsidRPr="0093608A" w:rsidRDefault="0093608A" w:rsidP="0093608A">
      <w:pPr>
        <w:spacing w:after="0" w:line="240" w:lineRule="auto"/>
        <w:jc w:val="both"/>
        <w:rPr>
          <w:rFonts w:cs="Arial"/>
          <w:b/>
          <w:bCs/>
          <w:lang w:val="en-US"/>
        </w:rPr>
      </w:pPr>
    </w:p>
    <w:p w14:paraId="1C6B9B1D" w14:textId="4A5194BD" w:rsidR="0093608A" w:rsidRPr="0093608A" w:rsidRDefault="0093608A" w:rsidP="00E20A79">
      <w:pPr>
        <w:spacing w:after="0" w:line="240" w:lineRule="auto"/>
        <w:jc w:val="both"/>
        <w:rPr>
          <w:rFonts w:cs="Arial"/>
          <w:b/>
          <w:bCs/>
          <w:szCs w:val="24"/>
        </w:rPr>
      </w:pPr>
      <w:r w:rsidRPr="0093608A">
        <w:rPr>
          <w:rFonts w:cs="Arial"/>
          <w:b/>
          <w:bCs/>
          <w:szCs w:val="24"/>
        </w:rPr>
        <w:t>1. INTRODUÇÃO</w:t>
      </w:r>
    </w:p>
    <w:p w14:paraId="672A6965" w14:textId="77777777" w:rsidR="0093608A" w:rsidRPr="0093608A" w:rsidRDefault="0093608A" w:rsidP="00E20A79">
      <w:pPr>
        <w:spacing w:after="0" w:line="240" w:lineRule="auto"/>
        <w:jc w:val="both"/>
        <w:rPr>
          <w:rFonts w:cs="Arial"/>
          <w:b/>
          <w:bCs/>
          <w:szCs w:val="24"/>
        </w:rPr>
      </w:pPr>
    </w:p>
    <w:p w14:paraId="611A3AEE" w14:textId="32F1D49E" w:rsidR="0093608A" w:rsidRPr="0093608A" w:rsidRDefault="0093608A" w:rsidP="00E20A79">
      <w:pPr>
        <w:spacing w:after="0" w:line="240" w:lineRule="auto"/>
        <w:ind w:firstLine="709"/>
        <w:jc w:val="both"/>
        <w:rPr>
          <w:rFonts w:cs="Arial"/>
          <w:szCs w:val="24"/>
        </w:rPr>
      </w:pPr>
      <w:r w:rsidRPr="0093608A">
        <w:rPr>
          <w:rFonts w:cs="Arial"/>
          <w:szCs w:val="24"/>
        </w:rPr>
        <w:t xml:space="preserve">A estratégia organizacional, ao longo das últimas décadas, consolidou-se como um dos pilares no campo da administração contemporânea, sendo compreendida não apenas como um conjunto de planos formais, mas, como um processo dinâmico, </w:t>
      </w:r>
      <w:r w:rsidRPr="0093608A">
        <w:rPr>
          <w:rFonts w:cs="Arial"/>
          <w:szCs w:val="24"/>
        </w:rPr>
        <w:lastRenderedPageBreak/>
        <w:t xml:space="preserve">interativo e dependente de múltiplas variáveis ambientais (políticas e legais, econômicas, sociais e culturais, tecnológicas, ecológicas, globais, além das forças competitivas setoriais). Nesse contexto, a </w:t>
      </w:r>
      <w:r w:rsidRPr="00E20A79">
        <w:rPr>
          <w:rFonts w:cs="Arial"/>
          <w:szCs w:val="24"/>
        </w:rPr>
        <w:t xml:space="preserve">inovação surge como elemento indissociável da estratégia organizacional, </w:t>
      </w:r>
      <w:r w:rsidRPr="0093608A">
        <w:rPr>
          <w:rFonts w:cs="Arial"/>
          <w:szCs w:val="24"/>
        </w:rPr>
        <w:t xml:space="preserve">configurando-se tanto como motor de competitividade quanto como um fenômeno que redefine estruturas, práticas e formas de criação de valor nas organizações empresariais. </w:t>
      </w:r>
      <w:r w:rsidR="00702865">
        <w:rPr>
          <w:rFonts w:cs="Arial"/>
          <w:szCs w:val="24"/>
        </w:rPr>
        <w:t xml:space="preserve">Sendo assim, </w:t>
      </w:r>
      <w:r w:rsidRPr="0093608A">
        <w:rPr>
          <w:rFonts w:cs="Arial"/>
          <w:szCs w:val="24"/>
        </w:rPr>
        <w:t xml:space="preserve">a interseção entre estratégia e inovação tem sido alvo de debates teóricos e empíricos, demonstrando que a capacidade das organizações em adaptar-se continuamente é </w:t>
      </w:r>
      <w:r w:rsidR="00702865">
        <w:rPr>
          <w:rFonts w:cs="Arial"/>
          <w:szCs w:val="24"/>
        </w:rPr>
        <w:t xml:space="preserve">fator </w:t>
      </w:r>
      <w:r w:rsidRPr="0093608A">
        <w:rPr>
          <w:rFonts w:cs="Arial"/>
          <w:szCs w:val="24"/>
        </w:rPr>
        <w:t>decisiv</w:t>
      </w:r>
      <w:r w:rsidR="00702865">
        <w:rPr>
          <w:rFonts w:cs="Arial"/>
          <w:szCs w:val="24"/>
        </w:rPr>
        <w:t>o</w:t>
      </w:r>
      <w:r w:rsidRPr="0093608A">
        <w:rPr>
          <w:rFonts w:cs="Arial"/>
          <w:szCs w:val="24"/>
        </w:rPr>
        <w:t xml:space="preserve"> para sua sobrevivência e expansão em ambientes complexos</w:t>
      </w:r>
      <w:r w:rsidR="00590E16">
        <w:rPr>
          <w:rFonts w:cs="Arial"/>
          <w:szCs w:val="24"/>
        </w:rPr>
        <w:t>, dinâmicos</w:t>
      </w:r>
      <w:r w:rsidRPr="0093608A">
        <w:rPr>
          <w:rFonts w:cs="Arial"/>
          <w:szCs w:val="24"/>
        </w:rPr>
        <w:t xml:space="preserve"> e incertos.</w:t>
      </w:r>
    </w:p>
    <w:p w14:paraId="4653A43D" w14:textId="4CA89B06" w:rsidR="0093608A" w:rsidRPr="0093608A" w:rsidRDefault="0093608A" w:rsidP="00E20A79">
      <w:pPr>
        <w:spacing w:after="0" w:line="240" w:lineRule="auto"/>
        <w:ind w:firstLine="709"/>
        <w:jc w:val="both"/>
        <w:rPr>
          <w:rFonts w:cs="Arial"/>
          <w:szCs w:val="24"/>
        </w:rPr>
      </w:pPr>
      <w:r w:rsidRPr="0093608A">
        <w:rPr>
          <w:rFonts w:cs="Arial"/>
          <w:szCs w:val="24"/>
        </w:rPr>
        <w:t xml:space="preserve">Entre os </w:t>
      </w:r>
      <w:r w:rsidR="008A7CA5">
        <w:rPr>
          <w:rFonts w:cs="Arial"/>
          <w:szCs w:val="24"/>
        </w:rPr>
        <w:t>aspectos</w:t>
      </w:r>
      <w:r w:rsidRPr="0093608A">
        <w:rPr>
          <w:rFonts w:cs="Arial"/>
          <w:szCs w:val="24"/>
        </w:rPr>
        <w:t xml:space="preserve"> mais relevantes para compreender tal interseção destaca-se a perspectiva das capacidades dinâmicas, conceito que ganhou proeminência a partir dos trabalhos de </w:t>
      </w:r>
      <w:proofErr w:type="spellStart"/>
      <w:r w:rsidRPr="0093608A">
        <w:rPr>
          <w:rFonts w:cs="Arial"/>
          <w:szCs w:val="24"/>
        </w:rPr>
        <w:t>Teece</w:t>
      </w:r>
      <w:proofErr w:type="spellEnd"/>
      <w:r w:rsidRPr="0093608A">
        <w:rPr>
          <w:rFonts w:cs="Arial"/>
          <w:szCs w:val="24"/>
        </w:rPr>
        <w:t xml:space="preserve">, </w:t>
      </w:r>
      <w:proofErr w:type="spellStart"/>
      <w:r w:rsidRPr="0093608A">
        <w:rPr>
          <w:rFonts w:cs="Arial"/>
          <w:szCs w:val="24"/>
        </w:rPr>
        <w:t>Pisano</w:t>
      </w:r>
      <w:proofErr w:type="spellEnd"/>
      <w:r w:rsidRPr="0093608A">
        <w:rPr>
          <w:rFonts w:cs="Arial"/>
          <w:szCs w:val="24"/>
        </w:rPr>
        <w:t xml:space="preserve"> e </w:t>
      </w:r>
      <w:proofErr w:type="spellStart"/>
      <w:r w:rsidRPr="0093608A">
        <w:rPr>
          <w:rFonts w:cs="Arial"/>
          <w:szCs w:val="24"/>
        </w:rPr>
        <w:t>Shuen</w:t>
      </w:r>
      <w:proofErr w:type="spellEnd"/>
      <w:r w:rsidRPr="0093608A">
        <w:rPr>
          <w:rFonts w:cs="Arial"/>
          <w:szCs w:val="24"/>
        </w:rPr>
        <w:t xml:space="preserve"> (1997), ao propor que as organizações não apenas acumulam recursos, mas devem </w:t>
      </w:r>
      <w:r w:rsidR="008A7CA5">
        <w:rPr>
          <w:rFonts w:cs="Arial"/>
          <w:szCs w:val="24"/>
        </w:rPr>
        <w:t>reorganizá</w:t>
      </w:r>
      <w:r w:rsidRPr="0093608A">
        <w:rPr>
          <w:rFonts w:cs="Arial"/>
          <w:szCs w:val="24"/>
        </w:rPr>
        <w:t>-los e transformá-los em consonância com as mudanças do ambiente</w:t>
      </w:r>
      <w:r w:rsidR="008A7CA5">
        <w:rPr>
          <w:rFonts w:cs="Arial"/>
          <w:szCs w:val="24"/>
        </w:rPr>
        <w:t xml:space="preserve"> competitivo</w:t>
      </w:r>
      <w:r w:rsidRPr="0093608A">
        <w:rPr>
          <w:rFonts w:cs="Arial"/>
          <w:szCs w:val="24"/>
        </w:rPr>
        <w:t xml:space="preserve">. Tal abordagem desloca a ênfase da análise estática de recursos para uma compreensão processual, orientada pela aprendizagem organizacional, pela inovação estratégica e pela plasticidade das </w:t>
      </w:r>
      <w:r w:rsidRPr="00300162">
        <w:rPr>
          <w:rFonts w:cs="Arial"/>
          <w:szCs w:val="24"/>
        </w:rPr>
        <w:t>estruturas de gestão</w:t>
      </w:r>
      <w:r w:rsidR="008A7CA5" w:rsidRPr="00300162">
        <w:rPr>
          <w:rFonts w:cs="Arial"/>
          <w:szCs w:val="24"/>
        </w:rPr>
        <w:t xml:space="preserve"> organizacional</w:t>
      </w:r>
      <w:r w:rsidRPr="00300162">
        <w:rPr>
          <w:rFonts w:cs="Arial"/>
          <w:szCs w:val="24"/>
        </w:rPr>
        <w:t xml:space="preserve">. </w:t>
      </w:r>
      <w:r w:rsidR="008A7CA5" w:rsidRPr="00300162">
        <w:rPr>
          <w:rFonts w:cs="Arial"/>
          <w:szCs w:val="24"/>
        </w:rPr>
        <w:t xml:space="preserve">Partindo da visão de </w:t>
      </w:r>
      <w:r w:rsidR="008A7CA5" w:rsidRPr="00AC0B5D">
        <w:rPr>
          <w:rFonts w:cs="Arial"/>
          <w:szCs w:val="24"/>
          <w:highlight w:val="yellow"/>
        </w:rPr>
        <w:t>Porter (</w:t>
      </w:r>
      <w:r w:rsidR="00300162" w:rsidRPr="00AC0B5D">
        <w:rPr>
          <w:rFonts w:cs="Arial"/>
          <w:szCs w:val="24"/>
          <w:highlight w:val="yellow"/>
        </w:rPr>
        <w:t xml:space="preserve">1980, </w:t>
      </w:r>
      <w:r w:rsidR="008A7CA5" w:rsidRPr="00AC0B5D">
        <w:rPr>
          <w:rFonts w:cs="Arial"/>
          <w:szCs w:val="24"/>
          <w:highlight w:val="yellow"/>
        </w:rPr>
        <w:t>1989</w:t>
      </w:r>
      <w:r w:rsidR="00300162" w:rsidRPr="00AC0B5D">
        <w:rPr>
          <w:rFonts w:cs="Arial"/>
          <w:szCs w:val="24"/>
          <w:highlight w:val="yellow"/>
        </w:rPr>
        <w:t xml:space="preserve"> e 2003</w:t>
      </w:r>
      <w:r w:rsidR="008A7CA5" w:rsidRPr="00300162">
        <w:rPr>
          <w:rFonts w:cs="Arial"/>
          <w:szCs w:val="24"/>
        </w:rPr>
        <w:t>) sobre</w:t>
      </w:r>
      <w:r w:rsidR="00C92DE0" w:rsidRPr="00300162">
        <w:rPr>
          <w:rFonts w:cs="Arial"/>
          <w:szCs w:val="24"/>
        </w:rPr>
        <w:t xml:space="preserve"> as formas de estabelecer</w:t>
      </w:r>
      <w:r w:rsidR="008A7CA5" w:rsidRPr="00300162">
        <w:rPr>
          <w:rFonts w:cs="Arial"/>
          <w:szCs w:val="24"/>
        </w:rPr>
        <w:t xml:space="preserve"> vantagem competitiva, </w:t>
      </w:r>
      <w:r w:rsidR="008A7CA5" w:rsidRPr="00AC0B5D">
        <w:rPr>
          <w:rFonts w:cs="Arial"/>
          <w:szCs w:val="24"/>
          <w:highlight w:val="yellow"/>
        </w:rPr>
        <w:t>Vasconcelos e Cyrino (2000</w:t>
      </w:r>
      <w:r w:rsidR="008A7CA5" w:rsidRPr="00300162">
        <w:rPr>
          <w:rFonts w:cs="Arial"/>
          <w:szCs w:val="24"/>
        </w:rPr>
        <w:t>)</w:t>
      </w:r>
      <w:r w:rsidR="008A7CA5">
        <w:rPr>
          <w:rFonts w:cs="Arial"/>
          <w:szCs w:val="24"/>
        </w:rPr>
        <w:t xml:space="preserve"> discutem a importância dos modelos teóricos aplicados a gestão das organizações e sua convergência entre estratégia e teorias organizacionais,</w:t>
      </w:r>
      <w:r w:rsidR="00C92DE0">
        <w:rPr>
          <w:rFonts w:cs="Arial"/>
          <w:szCs w:val="24"/>
        </w:rPr>
        <w:t xml:space="preserve"> assim</w:t>
      </w:r>
      <w:r w:rsidR="008A7CA5">
        <w:rPr>
          <w:rFonts w:cs="Arial"/>
          <w:szCs w:val="24"/>
        </w:rPr>
        <w:t xml:space="preserve"> </w:t>
      </w:r>
      <w:r w:rsidRPr="0093608A">
        <w:rPr>
          <w:rFonts w:cs="Arial"/>
          <w:szCs w:val="24"/>
        </w:rPr>
        <w:t>a epistemologia das capacidades dinâmicas tornou-se fundamental</w:t>
      </w:r>
      <w:r w:rsidR="00C92DE0">
        <w:rPr>
          <w:rFonts w:cs="Arial"/>
          <w:szCs w:val="24"/>
        </w:rPr>
        <w:t xml:space="preserve"> ao processo de compreensão e </w:t>
      </w:r>
      <w:r w:rsidRPr="0093608A">
        <w:rPr>
          <w:rFonts w:cs="Arial"/>
          <w:szCs w:val="24"/>
        </w:rPr>
        <w:t>explica</w:t>
      </w:r>
      <w:r w:rsidR="00C92DE0">
        <w:rPr>
          <w:rFonts w:cs="Arial"/>
          <w:szCs w:val="24"/>
        </w:rPr>
        <w:t>ção d</w:t>
      </w:r>
      <w:r w:rsidRPr="0093608A">
        <w:rPr>
          <w:rFonts w:cs="Arial"/>
          <w:szCs w:val="24"/>
        </w:rPr>
        <w:t xml:space="preserve">a vantagem competitiva em cenários de transformação contínua, </w:t>
      </w:r>
      <w:r w:rsidR="008A7CA5">
        <w:rPr>
          <w:rFonts w:cs="Arial"/>
          <w:szCs w:val="24"/>
        </w:rPr>
        <w:t xml:space="preserve">de forte </w:t>
      </w:r>
      <w:r w:rsidRPr="0093608A">
        <w:rPr>
          <w:rFonts w:cs="Arial"/>
          <w:szCs w:val="24"/>
        </w:rPr>
        <w:t>digitalização e globalização.</w:t>
      </w:r>
    </w:p>
    <w:p w14:paraId="11D08198" w14:textId="1F94694B" w:rsidR="0093608A" w:rsidRPr="0093608A" w:rsidRDefault="00300162" w:rsidP="00E20A79">
      <w:pPr>
        <w:spacing w:after="0" w:line="240" w:lineRule="auto"/>
        <w:ind w:firstLine="709"/>
        <w:jc w:val="both"/>
        <w:rPr>
          <w:rFonts w:cs="Arial"/>
          <w:szCs w:val="24"/>
        </w:rPr>
      </w:pPr>
      <w:r>
        <w:rPr>
          <w:rFonts w:cs="Arial"/>
          <w:szCs w:val="24"/>
        </w:rPr>
        <w:t>O</w:t>
      </w:r>
      <w:r w:rsidR="0093608A" w:rsidRPr="0093608A">
        <w:rPr>
          <w:rFonts w:cs="Arial"/>
          <w:szCs w:val="24"/>
        </w:rPr>
        <w:t xml:space="preserve">utro </w:t>
      </w:r>
      <w:r>
        <w:rPr>
          <w:rFonts w:cs="Arial"/>
          <w:szCs w:val="24"/>
        </w:rPr>
        <w:t>fator</w:t>
      </w:r>
      <w:r w:rsidR="0093608A" w:rsidRPr="0093608A">
        <w:rPr>
          <w:rFonts w:cs="Arial"/>
          <w:szCs w:val="24"/>
        </w:rPr>
        <w:t xml:space="preserve"> determinante da discussão é a sustentabilidade competitiva, entendida como a capacidade das organizações de gerar valor de maneira duradoura, equilibrando dimensões econômicas, sociais e ambientais. Diferente da noção de vantagem competitiva tradicional, pautada em ganhos de curto prazo, a sustentabilidade amplia o horizonte temporal e introduz a necessidade de práticas inovadoras que transcendam a mera eficiência operacional. A literatura contemporânea</w:t>
      </w:r>
      <w:r>
        <w:rPr>
          <w:rFonts w:cs="Arial"/>
          <w:szCs w:val="24"/>
        </w:rPr>
        <w:t xml:space="preserve"> tem discutidos práticas eficientes para sustentação e criação de empresas visionárias, como exemplo </w:t>
      </w:r>
      <w:r w:rsidRPr="00AC0B5D">
        <w:rPr>
          <w:rFonts w:cs="Arial"/>
          <w:szCs w:val="24"/>
          <w:highlight w:val="yellow"/>
        </w:rPr>
        <w:t>Collins e Porras (2020</w:t>
      </w:r>
      <w:r>
        <w:rPr>
          <w:rFonts w:cs="Arial"/>
          <w:szCs w:val="24"/>
        </w:rPr>
        <w:t xml:space="preserve">), nesse sentido, as pesquisas </w:t>
      </w:r>
      <w:r w:rsidR="00AC0B5D" w:rsidRPr="0093608A">
        <w:rPr>
          <w:rFonts w:cs="Arial"/>
          <w:szCs w:val="24"/>
        </w:rPr>
        <w:t>têm</w:t>
      </w:r>
      <w:r w:rsidR="0093608A" w:rsidRPr="0093608A">
        <w:rPr>
          <w:rFonts w:cs="Arial"/>
          <w:szCs w:val="24"/>
        </w:rPr>
        <w:t xml:space="preserve"> destacado a relevância de integrar inovação e sustentabilidade como estratégias complementares e indispensáveis diante das exigências regulatórias, sociais e de mercado.</w:t>
      </w:r>
    </w:p>
    <w:p w14:paraId="070857FF" w14:textId="28BFED20" w:rsidR="0093608A" w:rsidRPr="0093608A" w:rsidRDefault="00AC0B5D" w:rsidP="00E20A79">
      <w:pPr>
        <w:spacing w:after="0" w:line="240" w:lineRule="auto"/>
        <w:ind w:firstLine="709"/>
        <w:jc w:val="both"/>
        <w:rPr>
          <w:rFonts w:cs="Arial"/>
          <w:szCs w:val="24"/>
        </w:rPr>
      </w:pPr>
      <w:r>
        <w:rPr>
          <w:rFonts w:cs="Arial"/>
          <w:szCs w:val="24"/>
        </w:rPr>
        <w:t>O</w:t>
      </w:r>
      <w:r w:rsidR="0093608A" w:rsidRPr="0093608A">
        <w:rPr>
          <w:rFonts w:cs="Arial"/>
          <w:szCs w:val="24"/>
        </w:rPr>
        <w:t xml:space="preserve"> debate sobre a complexidade dos modelos de negócio emergiu como um campo de investigação crític</w:t>
      </w:r>
      <w:r>
        <w:rPr>
          <w:rFonts w:cs="Arial"/>
          <w:szCs w:val="24"/>
        </w:rPr>
        <w:t>a aplicada a gestão organizacional</w:t>
      </w:r>
      <w:r w:rsidR="0093608A" w:rsidRPr="0093608A">
        <w:rPr>
          <w:rFonts w:cs="Arial"/>
          <w:szCs w:val="24"/>
        </w:rPr>
        <w:t>. A globalização, a intensificação das redes de valor e a transformação digital remodelaram profundamente as formas de captura e geração de valor, impondo às organizações novos arranjos estratégicos.</w:t>
      </w:r>
      <w:r w:rsidR="00BB1709">
        <w:rPr>
          <w:rFonts w:cs="Arial"/>
          <w:szCs w:val="24"/>
        </w:rPr>
        <w:t xml:space="preserve"> </w:t>
      </w:r>
      <w:r w:rsidR="0093608A" w:rsidRPr="0093608A">
        <w:rPr>
          <w:rFonts w:cs="Arial"/>
          <w:szCs w:val="24"/>
        </w:rPr>
        <w:t>Nesse sentido, modelos de negócio inovadores e adaptativos não podem mais ser compreendidos de maneira linear ou reducionista, mas sim como sistemas abertos, dinâmicos e interdependentes, permeados por incertezas e disrupções constantes.</w:t>
      </w:r>
    </w:p>
    <w:p w14:paraId="662498D1" w14:textId="482C2CC5" w:rsidR="0093608A" w:rsidRPr="0093608A" w:rsidRDefault="0093608A" w:rsidP="00E20A79">
      <w:pPr>
        <w:spacing w:after="0" w:line="240" w:lineRule="auto"/>
        <w:ind w:firstLine="709"/>
        <w:jc w:val="both"/>
        <w:rPr>
          <w:rFonts w:cs="Arial"/>
          <w:szCs w:val="24"/>
        </w:rPr>
      </w:pPr>
      <w:r w:rsidRPr="00177DCC">
        <w:rPr>
          <w:rFonts w:cs="Arial"/>
          <w:szCs w:val="24"/>
        </w:rPr>
        <w:t xml:space="preserve">Diante desse cenário, este artigo tem como objetivo </w:t>
      </w:r>
      <w:r w:rsidR="00BB1709" w:rsidRPr="00177DCC">
        <w:rPr>
          <w:rFonts w:cs="Arial"/>
          <w:szCs w:val="24"/>
        </w:rPr>
        <w:t xml:space="preserve">geral </w:t>
      </w:r>
      <w:r w:rsidRPr="00177DCC">
        <w:rPr>
          <w:rFonts w:cs="Arial"/>
          <w:szCs w:val="24"/>
        </w:rPr>
        <w:t>realizar uma revisão</w:t>
      </w:r>
      <w:r w:rsidRPr="0093608A">
        <w:rPr>
          <w:rFonts w:cs="Arial"/>
          <w:szCs w:val="24"/>
        </w:rPr>
        <w:t xml:space="preserve"> epistemológica da literatura que articula capacidades dinâmicas, inovação estratégica e sustentabilidade competitiva, sistematizando os principais fundamentos conceituais </w:t>
      </w:r>
      <w:r w:rsidRPr="00177DCC">
        <w:rPr>
          <w:rFonts w:cs="Arial"/>
          <w:szCs w:val="24"/>
        </w:rPr>
        <w:t xml:space="preserve">e apontando suas contribuições para a compreensão da complexidade dos modelos de negócio em ambientes contemporâneos de globalização e transformação digital. Para alcançar tal objetivo, definem-se os seguintes objetivos específicos: (i) sistematizar as bases epistemológicas das capacidades dinâmicas, evidenciando sua evolução conceitual e relevância para o campo da estratégia organizacional e da </w:t>
      </w:r>
      <w:r w:rsidRPr="00177DCC">
        <w:rPr>
          <w:rFonts w:cs="Arial"/>
          <w:szCs w:val="24"/>
        </w:rPr>
        <w:lastRenderedPageBreak/>
        <w:t>inovação;</w:t>
      </w:r>
      <w:r w:rsidR="00FF2DE0" w:rsidRPr="00177DCC">
        <w:rPr>
          <w:rFonts w:cs="Arial"/>
          <w:szCs w:val="24"/>
        </w:rPr>
        <w:t xml:space="preserve"> (</w:t>
      </w:r>
      <w:proofErr w:type="spellStart"/>
      <w:r w:rsidRPr="00177DCC">
        <w:rPr>
          <w:rFonts w:cs="Arial"/>
          <w:szCs w:val="24"/>
        </w:rPr>
        <w:t>ii</w:t>
      </w:r>
      <w:proofErr w:type="spellEnd"/>
      <w:r w:rsidRPr="00177DCC">
        <w:rPr>
          <w:rFonts w:cs="Arial"/>
          <w:szCs w:val="24"/>
        </w:rPr>
        <w:t>)</w:t>
      </w:r>
      <w:r w:rsidR="00FF2DE0" w:rsidRPr="00177DCC">
        <w:rPr>
          <w:rFonts w:cs="Arial"/>
          <w:szCs w:val="24"/>
        </w:rPr>
        <w:t xml:space="preserve"> </w:t>
      </w:r>
      <w:r w:rsidRPr="00177DCC">
        <w:rPr>
          <w:rFonts w:cs="Arial"/>
          <w:szCs w:val="24"/>
        </w:rPr>
        <w:t>analisar a literatura sobre sustentabilidade competitiva como eixo fundamental da estratégia organizacional, destacando suas dimensões teóricas e aplicabilidades; (</w:t>
      </w:r>
      <w:proofErr w:type="spellStart"/>
      <w:r w:rsidRPr="00177DCC">
        <w:rPr>
          <w:rFonts w:cs="Arial"/>
          <w:szCs w:val="24"/>
        </w:rPr>
        <w:t>iii</w:t>
      </w:r>
      <w:proofErr w:type="spellEnd"/>
      <w:r w:rsidRPr="00177DCC">
        <w:rPr>
          <w:rFonts w:cs="Arial"/>
          <w:szCs w:val="24"/>
        </w:rPr>
        <w:t>)</w:t>
      </w:r>
      <w:r w:rsidR="00FF2DE0" w:rsidRPr="00177DCC">
        <w:rPr>
          <w:rFonts w:cs="Arial"/>
          <w:szCs w:val="24"/>
        </w:rPr>
        <w:t xml:space="preserve"> </w:t>
      </w:r>
      <w:r w:rsidRPr="00177DCC">
        <w:rPr>
          <w:rFonts w:cs="Arial"/>
          <w:szCs w:val="24"/>
        </w:rPr>
        <w:t>explorar a complexidade conceitual dos modelos de negócio adaptativos, situando-os no debate sobre globalização, digitalização e transformação</w:t>
      </w:r>
      <w:r w:rsidRPr="0093608A">
        <w:rPr>
          <w:rFonts w:cs="Arial"/>
          <w:szCs w:val="24"/>
        </w:rPr>
        <w:t xml:space="preserve"> organizacional; e (</w:t>
      </w:r>
      <w:proofErr w:type="spellStart"/>
      <w:r w:rsidRPr="0093608A">
        <w:rPr>
          <w:rFonts w:cs="Arial"/>
          <w:szCs w:val="24"/>
        </w:rPr>
        <w:t>iv</w:t>
      </w:r>
      <w:proofErr w:type="spellEnd"/>
      <w:r w:rsidRPr="0093608A">
        <w:rPr>
          <w:rFonts w:cs="Arial"/>
          <w:szCs w:val="24"/>
        </w:rPr>
        <w:t>) identificar perspectivas emergentes na literatura capazes de orientar novas interpretações e aprofundamentos sobre as inter</w:t>
      </w:r>
      <w:r w:rsidR="00FF2DE0">
        <w:rPr>
          <w:rFonts w:cs="Arial"/>
          <w:szCs w:val="24"/>
        </w:rPr>
        <w:t>r</w:t>
      </w:r>
      <w:r w:rsidRPr="0093608A">
        <w:rPr>
          <w:rFonts w:cs="Arial"/>
          <w:szCs w:val="24"/>
        </w:rPr>
        <w:t>elações entre estratégia organizacional, inovação e sustentabilidade.</w:t>
      </w:r>
    </w:p>
    <w:p w14:paraId="25077932" w14:textId="525D55C1" w:rsidR="0093608A" w:rsidRPr="0093608A" w:rsidRDefault="0093608A" w:rsidP="00E20A79">
      <w:pPr>
        <w:spacing w:after="0" w:line="240" w:lineRule="auto"/>
        <w:ind w:firstLine="709"/>
        <w:jc w:val="both"/>
        <w:rPr>
          <w:rFonts w:cs="Arial"/>
          <w:szCs w:val="24"/>
        </w:rPr>
      </w:pPr>
      <w:r w:rsidRPr="0093608A">
        <w:rPr>
          <w:rFonts w:cs="Arial"/>
          <w:szCs w:val="24"/>
        </w:rPr>
        <w:t>Metodologicamente, trata-se de um artigo de revisão epistemológica de literatura, de natureza qualitativa e exploratória, que busca identificar, selecionar, organizar e interpretar produções científicas relevantes</w:t>
      </w:r>
      <w:r w:rsidR="00FF2DE0">
        <w:rPr>
          <w:rFonts w:cs="Arial"/>
          <w:szCs w:val="24"/>
        </w:rPr>
        <w:t>,</w:t>
      </w:r>
      <w:r w:rsidRPr="0093608A">
        <w:rPr>
          <w:rFonts w:cs="Arial"/>
          <w:szCs w:val="24"/>
        </w:rPr>
        <w:t xml:space="preserve"> </w:t>
      </w:r>
      <w:r w:rsidR="00FF2DE0">
        <w:rPr>
          <w:rFonts w:cs="Arial"/>
          <w:szCs w:val="24"/>
        </w:rPr>
        <w:t xml:space="preserve">especialmente </w:t>
      </w:r>
      <w:r w:rsidRPr="0093608A">
        <w:rPr>
          <w:rFonts w:cs="Arial"/>
          <w:szCs w:val="24"/>
        </w:rPr>
        <w:t>publicadas em periódicos nacionais e internacionais de alto impacto. Foram considerados como critérios de inclusão os estudos que abordam a interseção entre estratégia, inovação, sustentabilidade e modelos de negócio, privilegiando obras de referência clássicas e produções recentes que contribuem para o avanço teórico do campo. O enfoque adotado não se limita à descrição, mas visa a oferecer uma sistematização abrangente e articulada do conhecimento acumulado, possibilitando a identificação de perspectivas emergentes e a proposição de novas agendas de pesquisa.</w:t>
      </w:r>
    </w:p>
    <w:p w14:paraId="2AC142E4" w14:textId="77777777" w:rsidR="0093608A" w:rsidRDefault="0093608A" w:rsidP="00E20A79">
      <w:pPr>
        <w:spacing w:after="0" w:line="240" w:lineRule="auto"/>
        <w:jc w:val="both"/>
        <w:rPr>
          <w:rFonts w:cs="Arial"/>
          <w:szCs w:val="24"/>
        </w:rPr>
      </w:pPr>
      <w:r w:rsidRPr="0093608A">
        <w:rPr>
          <w:rFonts w:cs="Arial"/>
          <w:szCs w:val="24"/>
        </w:rPr>
        <w:tab/>
        <w:t xml:space="preserve">A estratégia de busca bibliográfica foi realizada em bases de dados nacionais e internacionais de reconhecida relevância acadêmica, a saber: Web </w:t>
      </w:r>
      <w:proofErr w:type="spellStart"/>
      <w:r w:rsidRPr="0093608A">
        <w:rPr>
          <w:rFonts w:cs="Arial"/>
          <w:szCs w:val="24"/>
        </w:rPr>
        <w:t>of</w:t>
      </w:r>
      <w:proofErr w:type="spellEnd"/>
      <w:r w:rsidRPr="0093608A">
        <w:rPr>
          <w:rFonts w:cs="Arial"/>
          <w:szCs w:val="24"/>
        </w:rPr>
        <w:t xml:space="preserve"> Science (</w:t>
      </w:r>
      <w:proofErr w:type="spellStart"/>
      <w:r w:rsidRPr="0093608A">
        <w:rPr>
          <w:rFonts w:cs="Arial"/>
          <w:szCs w:val="24"/>
        </w:rPr>
        <w:t>WoS</w:t>
      </w:r>
      <w:proofErr w:type="spellEnd"/>
      <w:r w:rsidRPr="0093608A">
        <w:rPr>
          <w:rFonts w:cs="Arial"/>
          <w:szCs w:val="24"/>
        </w:rPr>
        <w:t xml:space="preserve">), Scopus (Elsevier), </w:t>
      </w:r>
      <w:proofErr w:type="spellStart"/>
      <w:r w:rsidRPr="0093608A">
        <w:rPr>
          <w:rFonts w:cs="Arial"/>
          <w:szCs w:val="24"/>
        </w:rPr>
        <w:t>ScienceDirect</w:t>
      </w:r>
      <w:proofErr w:type="spellEnd"/>
      <w:r w:rsidRPr="0093608A">
        <w:rPr>
          <w:rFonts w:cs="Arial"/>
          <w:szCs w:val="24"/>
        </w:rPr>
        <w:t xml:space="preserve">, </w:t>
      </w:r>
      <w:proofErr w:type="spellStart"/>
      <w:r w:rsidRPr="0093608A">
        <w:rPr>
          <w:rFonts w:cs="Arial"/>
          <w:szCs w:val="24"/>
        </w:rPr>
        <w:t>Emerald</w:t>
      </w:r>
      <w:proofErr w:type="spellEnd"/>
      <w:r w:rsidRPr="0093608A">
        <w:rPr>
          <w:rFonts w:cs="Arial"/>
          <w:szCs w:val="24"/>
        </w:rPr>
        <w:t xml:space="preserve"> Insight, </w:t>
      </w:r>
      <w:proofErr w:type="spellStart"/>
      <w:r w:rsidRPr="0093608A">
        <w:rPr>
          <w:rFonts w:cs="Arial"/>
          <w:szCs w:val="24"/>
        </w:rPr>
        <w:t>SpringerLink</w:t>
      </w:r>
      <w:proofErr w:type="spellEnd"/>
      <w:r w:rsidRPr="0093608A">
        <w:rPr>
          <w:rFonts w:cs="Arial"/>
          <w:szCs w:val="24"/>
        </w:rPr>
        <w:t xml:space="preserve">, </w:t>
      </w:r>
      <w:proofErr w:type="spellStart"/>
      <w:r w:rsidRPr="0093608A">
        <w:rPr>
          <w:rFonts w:cs="Arial"/>
          <w:szCs w:val="24"/>
        </w:rPr>
        <w:t>Wiley</w:t>
      </w:r>
      <w:proofErr w:type="spellEnd"/>
      <w:r w:rsidRPr="0093608A">
        <w:rPr>
          <w:rFonts w:cs="Arial"/>
          <w:szCs w:val="24"/>
        </w:rPr>
        <w:t xml:space="preserve"> Online Library, SciELO e Google Scholar. Essas bases foram selecionadas por sua abrangência em publicações nas áreas de Administração, Economia, Inovação, Sustentabilidade e Ciências Sociais Aplicadas. Desta forma, foram empregados descritores controlados e não controlados, combinados por operadores booleanos (</w:t>
      </w:r>
      <w:r w:rsidRPr="0093608A">
        <w:rPr>
          <w:rFonts w:cs="Arial"/>
          <w:i/>
          <w:iCs/>
          <w:szCs w:val="24"/>
        </w:rPr>
        <w:t>AND</w:t>
      </w:r>
      <w:r w:rsidRPr="0093608A">
        <w:rPr>
          <w:rFonts w:cs="Arial"/>
          <w:szCs w:val="24"/>
        </w:rPr>
        <w:t xml:space="preserve">, </w:t>
      </w:r>
      <w:r w:rsidRPr="0093608A">
        <w:rPr>
          <w:rFonts w:cs="Arial"/>
          <w:i/>
          <w:iCs/>
          <w:szCs w:val="24"/>
        </w:rPr>
        <w:t>OR</w:t>
      </w:r>
      <w:r w:rsidRPr="0093608A">
        <w:rPr>
          <w:rFonts w:cs="Arial"/>
          <w:szCs w:val="24"/>
        </w:rPr>
        <w:t>), em português e inglês, garantindo maior amplitude da busca.</w:t>
      </w:r>
    </w:p>
    <w:p w14:paraId="2A3E1532" w14:textId="77777777" w:rsidR="00E20A79" w:rsidRPr="0093608A" w:rsidRDefault="00E20A79" w:rsidP="00E20A79">
      <w:pPr>
        <w:spacing w:after="0" w:line="240" w:lineRule="auto"/>
        <w:jc w:val="both"/>
        <w:rPr>
          <w:rFonts w:cs="Arial"/>
          <w:szCs w:val="24"/>
        </w:rPr>
      </w:pPr>
    </w:p>
    <w:p w14:paraId="532FE27E" w14:textId="77777777" w:rsidR="0093608A" w:rsidRPr="0093608A" w:rsidRDefault="0093608A" w:rsidP="00E20A79">
      <w:pPr>
        <w:spacing w:after="0" w:line="240" w:lineRule="auto"/>
        <w:jc w:val="both"/>
        <w:rPr>
          <w:rFonts w:cs="Arial"/>
          <w:b/>
          <w:bCs/>
          <w:szCs w:val="24"/>
        </w:rPr>
      </w:pPr>
      <w:r w:rsidRPr="0093608A">
        <w:rPr>
          <w:rFonts w:cs="Arial"/>
          <w:b/>
          <w:bCs/>
          <w:szCs w:val="24"/>
        </w:rPr>
        <w:tab/>
        <w:t>Os critérios de inclusão e exclusão foram empregados da seguinte forma:</w:t>
      </w:r>
    </w:p>
    <w:p w14:paraId="6F10E86B" w14:textId="77777777" w:rsidR="0093608A" w:rsidRPr="0093608A" w:rsidRDefault="0093608A" w:rsidP="00E20A79">
      <w:pPr>
        <w:pStyle w:val="PargrafodaLista"/>
        <w:numPr>
          <w:ilvl w:val="0"/>
          <w:numId w:val="20"/>
        </w:numPr>
        <w:spacing w:after="0" w:line="240" w:lineRule="auto"/>
        <w:jc w:val="both"/>
        <w:rPr>
          <w:rFonts w:cs="Arial"/>
          <w:szCs w:val="24"/>
        </w:rPr>
      </w:pPr>
      <w:r w:rsidRPr="0093608A">
        <w:rPr>
          <w:rFonts w:cs="Arial"/>
          <w:szCs w:val="24"/>
        </w:rPr>
        <w:t>Artigos publicados em periódicos revisados por pares, livros e capítulos de livros reconhecidos academicamente.</w:t>
      </w:r>
    </w:p>
    <w:p w14:paraId="76B1393E" w14:textId="77777777" w:rsidR="0093608A" w:rsidRPr="0093608A" w:rsidRDefault="0093608A" w:rsidP="00FF2DE0">
      <w:pPr>
        <w:pStyle w:val="PargrafodaLista"/>
        <w:numPr>
          <w:ilvl w:val="0"/>
          <w:numId w:val="20"/>
        </w:numPr>
        <w:spacing w:after="0" w:line="240" w:lineRule="auto"/>
        <w:jc w:val="both"/>
        <w:rPr>
          <w:rFonts w:cs="Arial"/>
          <w:szCs w:val="24"/>
        </w:rPr>
      </w:pPr>
      <w:r w:rsidRPr="0093608A">
        <w:rPr>
          <w:rFonts w:cs="Arial"/>
          <w:szCs w:val="24"/>
        </w:rPr>
        <w:t>Publicações que abordem, de forma direta, pelo menos um dos eixos centrais: estratégia organizacional, inovação, capacidades dinâmicas, sustentabilidade ou modelos de negócio.</w:t>
      </w:r>
    </w:p>
    <w:p w14:paraId="07EE00C7" w14:textId="77777777" w:rsidR="0093608A" w:rsidRPr="0093608A" w:rsidRDefault="0093608A" w:rsidP="00FF2DE0">
      <w:pPr>
        <w:pStyle w:val="PargrafodaLista"/>
        <w:numPr>
          <w:ilvl w:val="0"/>
          <w:numId w:val="20"/>
        </w:numPr>
        <w:spacing w:after="0" w:line="240" w:lineRule="auto"/>
        <w:jc w:val="both"/>
        <w:rPr>
          <w:rFonts w:cs="Arial"/>
          <w:szCs w:val="24"/>
        </w:rPr>
      </w:pPr>
      <w:r w:rsidRPr="0093608A">
        <w:rPr>
          <w:rFonts w:cs="Arial"/>
          <w:szCs w:val="24"/>
        </w:rPr>
        <w:t>Produções publicadas entre 1990 e 2024, considerando a emergência do conceito de capacidades dinâmicas nos anos 1990 e a evolução até os debates atuais sobre digitalização.</w:t>
      </w:r>
    </w:p>
    <w:p w14:paraId="50A09281" w14:textId="77777777" w:rsidR="0093608A" w:rsidRPr="0093608A" w:rsidRDefault="0093608A" w:rsidP="00FF2DE0">
      <w:pPr>
        <w:pStyle w:val="PargrafodaLista"/>
        <w:numPr>
          <w:ilvl w:val="0"/>
          <w:numId w:val="20"/>
        </w:numPr>
        <w:spacing w:after="0" w:line="240" w:lineRule="auto"/>
        <w:jc w:val="both"/>
        <w:rPr>
          <w:rFonts w:cs="Arial"/>
          <w:szCs w:val="24"/>
        </w:rPr>
      </w:pPr>
      <w:r w:rsidRPr="0093608A">
        <w:rPr>
          <w:rFonts w:cs="Arial"/>
          <w:szCs w:val="24"/>
        </w:rPr>
        <w:t>Textos disponíveis em inglês, português ou espanhol.</w:t>
      </w:r>
    </w:p>
    <w:p w14:paraId="3B215241" w14:textId="77777777" w:rsidR="0093608A" w:rsidRPr="0093608A" w:rsidRDefault="0093608A" w:rsidP="00FF2DE0">
      <w:pPr>
        <w:spacing w:after="0" w:line="240" w:lineRule="auto"/>
        <w:jc w:val="both"/>
        <w:rPr>
          <w:rFonts w:cs="Arial"/>
          <w:szCs w:val="24"/>
        </w:rPr>
      </w:pPr>
    </w:p>
    <w:p w14:paraId="085D56F7" w14:textId="77777777" w:rsidR="0093608A" w:rsidRPr="0093608A" w:rsidRDefault="0093608A" w:rsidP="00FF2DE0">
      <w:pPr>
        <w:spacing w:after="0" w:line="240" w:lineRule="auto"/>
        <w:ind w:firstLine="720"/>
        <w:jc w:val="both"/>
        <w:rPr>
          <w:rFonts w:cs="Arial"/>
          <w:b/>
          <w:bCs/>
          <w:szCs w:val="24"/>
        </w:rPr>
      </w:pPr>
      <w:r w:rsidRPr="0093608A">
        <w:rPr>
          <w:rFonts w:cs="Arial"/>
          <w:b/>
          <w:bCs/>
          <w:szCs w:val="24"/>
        </w:rPr>
        <w:t>Os critérios de exclusão compreenderam:</w:t>
      </w:r>
    </w:p>
    <w:p w14:paraId="7FDE02EA" w14:textId="77777777" w:rsidR="0093608A" w:rsidRPr="0093608A" w:rsidRDefault="0093608A" w:rsidP="00FF2DE0">
      <w:pPr>
        <w:pStyle w:val="PargrafodaLista"/>
        <w:numPr>
          <w:ilvl w:val="0"/>
          <w:numId w:val="21"/>
        </w:numPr>
        <w:spacing w:after="0" w:line="240" w:lineRule="auto"/>
        <w:jc w:val="both"/>
        <w:rPr>
          <w:rFonts w:cs="Arial"/>
          <w:szCs w:val="24"/>
        </w:rPr>
      </w:pPr>
      <w:r w:rsidRPr="0093608A">
        <w:rPr>
          <w:rFonts w:cs="Arial"/>
          <w:szCs w:val="24"/>
        </w:rPr>
        <w:t>Trabalhos duplicados entre bases de dados.</w:t>
      </w:r>
    </w:p>
    <w:p w14:paraId="0322CC43" w14:textId="77777777" w:rsidR="0093608A" w:rsidRPr="0093608A" w:rsidRDefault="0093608A" w:rsidP="00FF2DE0">
      <w:pPr>
        <w:pStyle w:val="PargrafodaLista"/>
        <w:numPr>
          <w:ilvl w:val="0"/>
          <w:numId w:val="21"/>
        </w:numPr>
        <w:spacing w:after="0" w:line="240" w:lineRule="auto"/>
        <w:jc w:val="both"/>
        <w:rPr>
          <w:rFonts w:cs="Arial"/>
          <w:szCs w:val="24"/>
        </w:rPr>
      </w:pPr>
      <w:r w:rsidRPr="0093608A">
        <w:rPr>
          <w:rFonts w:cs="Arial"/>
          <w:szCs w:val="24"/>
        </w:rPr>
        <w:t>Artigos de caráter exclusivamente técnico, sem fundamentação teórica relevante.</w:t>
      </w:r>
    </w:p>
    <w:p w14:paraId="6902E68D" w14:textId="77777777" w:rsidR="0093608A" w:rsidRPr="0093608A" w:rsidRDefault="0093608A" w:rsidP="00FF2DE0">
      <w:pPr>
        <w:pStyle w:val="PargrafodaLista"/>
        <w:numPr>
          <w:ilvl w:val="0"/>
          <w:numId w:val="21"/>
        </w:numPr>
        <w:spacing w:after="0" w:line="240" w:lineRule="auto"/>
        <w:jc w:val="both"/>
        <w:rPr>
          <w:rFonts w:cs="Arial"/>
          <w:szCs w:val="24"/>
        </w:rPr>
      </w:pPr>
      <w:r w:rsidRPr="0093608A">
        <w:rPr>
          <w:rFonts w:cs="Arial"/>
          <w:szCs w:val="24"/>
        </w:rPr>
        <w:t>Estudos com foco restrito a setores específicos, sem contribuição conceitual ou epistemológica para o campo da estratégia.</w:t>
      </w:r>
    </w:p>
    <w:p w14:paraId="2F53A29E" w14:textId="77777777" w:rsidR="0093608A" w:rsidRPr="0093608A" w:rsidRDefault="0093608A" w:rsidP="00FF2DE0">
      <w:pPr>
        <w:spacing w:after="0" w:line="240" w:lineRule="auto"/>
        <w:jc w:val="both"/>
        <w:rPr>
          <w:rFonts w:cs="Arial"/>
          <w:szCs w:val="24"/>
        </w:rPr>
      </w:pPr>
    </w:p>
    <w:p w14:paraId="36924763" w14:textId="77777777" w:rsidR="0093608A" w:rsidRPr="0093608A" w:rsidRDefault="0093608A" w:rsidP="00E20A79">
      <w:pPr>
        <w:spacing w:after="0" w:line="240" w:lineRule="auto"/>
        <w:rPr>
          <w:rFonts w:cs="Arial"/>
          <w:szCs w:val="24"/>
        </w:rPr>
      </w:pPr>
    </w:p>
    <w:p w14:paraId="30DA21EB" w14:textId="3A5A6AB3" w:rsidR="0093608A" w:rsidRPr="0093608A" w:rsidRDefault="0093608A" w:rsidP="00E20A79">
      <w:pPr>
        <w:spacing w:after="0" w:line="240" w:lineRule="auto"/>
        <w:rPr>
          <w:rFonts w:cs="Arial"/>
          <w:szCs w:val="24"/>
        </w:rPr>
      </w:pPr>
      <w:r w:rsidRPr="0093608A">
        <w:rPr>
          <w:rFonts w:cs="Arial"/>
          <w:b/>
          <w:bCs/>
          <w:szCs w:val="24"/>
        </w:rPr>
        <w:t>Fluxograma 1.</w:t>
      </w:r>
      <w:r w:rsidRPr="0093608A">
        <w:rPr>
          <w:rFonts w:cs="Arial"/>
          <w:szCs w:val="24"/>
        </w:rPr>
        <w:t xml:space="preserve"> Procedimento de seleção d</w:t>
      </w:r>
      <w:r w:rsidR="00C32781">
        <w:rPr>
          <w:rFonts w:cs="Arial"/>
          <w:szCs w:val="24"/>
        </w:rPr>
        <w:t>as referências bibliográficas</w:t>
      </w:r>
      <w:r w:rsidRPr="0093608A">
        <w:rPr>
          <w:rFonts w:cs="Arial"/>
          <w:szCs w:val="24"/>
        </w:rPr>
        <w:t>, dividindo-se em três etapas, sendo elas:</w:t>
      </w:r>
    </w:p>
    <w:p w14:paraId="3B53EFF1" w14:textId="77777777" w:rsidR="0093608A" w:rsidRPr="0093608A" w:rsidRDefault="0093608A" w:rsidP="00E20A79">
      <w:pPr>
        <w:spacing w:after="0" w:line="240" w:lineRule="auto"/>
        <w:rPr>
          <w:rFonts w:cs="Arial"/>
          <w:szCs w:val="24"/>
        </w:rPr>
      </w:pPr>
    </w:p>
    <w:p w14:paraId="1E28B38A" w14:textId="77777777" w:rsidR="0093608A" w:rsidRPr="0093608A" w:rsidRDefault="0093608A" w:rsidP="007D1619">
      <w:pPr>
        <w:spacing w:after="0" w:line="240" w:lineRule="auto"/>
        <w:rPr>
          <w:rFonts w:cs="Arial"/>
          <w:szCs w:val="24"/>
        </w:rPr>
      </w:pPr>
      <w:r w:rsidRPr="0093608A">
        <w:rPr>
          <w:rFonts w:cs="Arial"/>
          <w:noProof/>
          <w:szCs w:val="24"/>
        </w:rPr>
        <w:lastRenderedPageBreak/>
        <w:drawing>
          <wp:inline distT="0" distB="0" distL="0" distR="0" wp14:anchorId="79EBD9D5" wp14:editId="5481270E">
            <wp:extent cx="5739569" cy="2508885"/>
            <wp:effectExtent l="0" t="0" r="1270" b="5715"/>
            <wp:docPr id="1030088561"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88561" name="Imagem 1" descr="Diagrama&#10;&#10;O conteúdo gerado por IA pode estar incorreto."/>
                    <pic:cNvPicPr/>
                  </pic:nvPicPr>
                  <pic:blipFill>
                    <a:blip r:embed="rId8">
                      <a:extLst>
                        <a:ext uri="{28A0092B-C50C-407E-A947-70E740481C1C}">
                          <a14:useLocalDpi xmlns:a14="http://schemas.microsoft.com/office/drawing/2010/main" val="0"/>
                        </a:ext>
                      </a:extLst>
                    </a:blip>
                    <a:stretch>
                      <a:fillRect/>
                    </a:stretch>
                  </pic:blipFill>
                  <pic:spPr>
                    <a:xfrm>
                      <a:off x="0" y="0"/>
                      <a:ext cx="5788976" cy="2530482"/>
                    </a:xfrm>
                    <a:prstGeom prst="rect">
                      <a:avLst/>
                    </a:prstGeom>
                  </pic:spPr>
                </pic:pic>
              </a:graphicData>
            </a:graphic>
          </wp:inline>
        </w:drawing>
      </w:r>
    </w:p>
    <w:p w14:paraId="1A7C7772" w14:textId="77777777" w:rsidR="0093608A" w:rsidRPr="00E20A79" w:rsidRDefault="0093608A" w:rsidP="00E20A79">
      <w:pPr>
        <w:spacing w:after="0" w:line="240" w:lineRule="auto"/>
        <w:rPr>
          <w:rFonts w:cs="Arial"/>
          <w:sz w:val="20"/>
          <w:szCs w:val="20"/>
        </w:rPr>
      </w:pPr>
      <w:r w:rsidRPr="00E20A79">
        <w:rPr>
          <w:rFonts w:cs="Arial"/>
          <w:b/>
          <w:bCs/>
          <w:sz w:val="20"/>
          <w:szCs w:val="20"/>
        </w:rPr>
        <w:t>Fonte:</w:t>
      </w:r>
      <w:r w:rsidRPr="00E20A79">
        <w:rPr>
          <w:rFonts w:cs="Arial"/>
          <w:sz w:val="20"/>
          <w:szCs w:val="20"/>
        </w:rPr>
        <w:t xml:space="preserve"> Elaborado pelos autores.</w:t>
      </w:r>
    </w:p>
    <w:p w14:paraId="33FF20BD" w14:textId="77777777" w:rsidR="0093608A" w:rsidRPr="0093608A" w:rsidRDefault="0093608A" w:rsidP="00E20A79">
      <w:pPr>
        <w:spacing w:after="0" w:line="240" w:lineRule="auto"/>
        <w:rPr>
          <w:rFonts w:cs="Arial"/>
          <w:b/>
          <w:bCs/>
          <w:szCs w:val="24"/>
        </w:rPr>
      </w:pPr>
    </w:p>
    <w:p w14:paraId="5D97C1B5" w14:textId="77777777" w:rsidR="0093608A" w:rsidRPr="0093608A" w:rsidRDefault="0093608A" w:rsidP="00E20A79">
      <w:pPr>
        <w:spacing w:after="0" w:line="240" w:lineRule="auto"/>
        <w:rPr>
          <w:rFonts w:cs="Arial"/>
          <w:b/>
          <w:bCs/>
          <w:szCs w:val="24"/>
        </w:rPr>
      </w:pPr>
      <w:r w:rsidRPr="0093608A">
        <w:rPr>
          <w:rFonts w:cs="Arial"/>
          <w:b/>
          <w:bCs/>
          <w:szCs w:val="24"/>
        </w:rPr>
        <w:t>2. CAPACIDADES DINÂMICAS: FUNDAMENTOS EPISTEMOLÓGICOS E EVOLUÇÃO CONCEITUAL</w:t>
      </w:r>
    </w:p>
    <w:p w14:paraId="21EF2ECC" w14:textId="77777777" w:rsidR="0093608A" w:rsidRPr="0093608A" w:rsidRDefault="0093608A" w:rsidP="00E20A79">
      <w:pPr>
        <w:spacing w:after="0" w:line="240" w:lineRule="auto"/>
        <w:jc w:val="both"/>
        <w:rPr>
          <w:rFonts w:cs="Arial"/>
          <w:szCs w:val="24"/>
        </w:rPr>
      </w:pPr>
    </w:p>
    <w:p w14:paraId="6FE30D1E" w14:textId="77777777" w:rsidR="0093608A" w:rsidRPr="0093608A" w:rsidRDefault="0093608A" w:rsidP="00E20A79">
      <w:pPr>
        <w:spacing w:after="0" w:line="240" w:lineRule="auto"/>
        <w:ind w:firstLine="709"/>
        <w:jc w:val="both"/>
        <w:rPr>
          <w:rFonts w:cs="Arial"/>
          <w:szCs w:val="24"/>
        </w:rPr>
      </w:pPr>
      <w:r w:rsidRPr="0093608A">
        <w:rPr>
          <w:rFonts w:cs="Arial"/>
          <w:szCs w:val="24"/>
        </w:rPr>
        <w:t xml:space="preserve">O conceito de capacidades dinâmicas emergiu na década de 1990 como uma resposta às limitações da </w:t>
      </w:r>
      <w:proofErr w:type="spellStart"/>
      <w:r w:rsidRPr="0093608A">
        <w:rPr>
          <w:rFonts w:cs="Arial"/>
          <w:i/>
          <w:iCs/>
          <w:szCs w:val="24"/>
        </w:rPr>
        <w:t>Resource-Based</w:t>
      </w:r>
      <w:proofErr w:type="spellEnd"/>
      <w:r w:rsidRPr="0093608A">
        <w:rPr>
          <w:rFonts w:cs="Arial"/>
          <w:i/>
          <w:iCs/>
          <w:szCs w:val="24"/>
        </w:rPr>
        <w:t xml:space="preserve"> </w:t>
      </w:r>
      <w:proofErr w:type="spellStart"/>
      <w:r w:rsidRPr="0093608A">
        <w:rPr>
          <w:rFonts w:cs="Arial"/>
          <w:i/>
          <w:iCs/>
          <w:szCs w:val="24"/>
        </w:rPr>
        <w:t>View</w:t>
      </w:r>
      <w:proofErr w:type="spellEnd"/>
      <w:r w:rsidRPr="0093608A">
        <w:rPr>
          <w:rFonts w:cs="Arial"/>
          <w:szCs w:val="24"/>
        </w:rPr>
        <w:t xml:space="preserve"> (RBV), que, embora relevante para compreender a vantagem competitiva, enfatizava recursos estáticos e não considerava a adaptabilidade em ambientes turbulentos. O trabalho seminal de </w:t>
      </w:r>
      <w:proofErr w:type="spellStart"/>
      <w:r w:rsidRPr="0093608A">
        <w:rPr>
          <w:rFonts w:cs="Arial"/>
          <w:szCs w:val="24"/>
        </w:rPr>
        <w:t>Teece</w:t>
      </w:r>
      <w:proofErr w:type="spellEnd"/>
      <w:r w:rsidRPr="0093608A">
        <w:rPr>
          <w:rFonts w:cs="Arial"/>
          <w:szCs w:val="24"/>
        </w:rPr>
        <w:t xml:space="preserve">, </w:t>
      </w:r>
      <w:proofErr w:type="spellStart"/>
      <w:r w:rsidRPr="0093608A">
        <w:rPr>
          <w:rFonts w:cs="Arial"/>
          <w:szCs w:val="24"/>
        </w:rPr>
        <w:t>Pisano</w:t>
      </w:r>
      <w:proofErr w:type="spellEnd"/>
      <w:r w:rsidRPr="0093608A">
        <w:rPr>
          <w:rFonts w:cs="Arial"/>
          <w:szCs w:val="24"/>
        </w:rPr>
        <w:t xml:space="preserve"> e </w:t>
      </w:r>
      <w:proofErr w:type="spellStart"/>
      <w:r w:rsidRPr="0093608A">
        <w:rPr>
          <w:rFonts w:cs="Arial"/>
          <w:szCs w:val="24"/>
        </w:rPr>
        <w:t>Shuen</w:t>
      </w:r>
      <w:proofErr w:type="spellEnd"/>
      <w:r w:rsidRPr="0093608A">
        <w:rPr>
          <w:rFonts w:cs="Arial"/>
          <w:szCs w:val="24"/>
        </w:rPr>
        <w:t xml:space="preserve"> (1997) introduziu a noção de que organizações precisam desenvolver competências internas para integrar, reconfigurar e transformar recursos de forma contínua, a fim de responder às mudanças rápidas do mercado.</w:t>
      </w:r>
    </w:p>
    <w:p w14:paraId="747B1CE6" w14:textId="77777777" w:rsidR="0093608A" w:rsidRPr="0093608A" w:rsidRDefault="0093608A" w:rsidP="00E20A79">
      <w:pPr>
        <w:spacing w:after="0" w:line="240" w:lineRule="auto"/>
        <w:ind w:firstLine="709"/>
        <w:jc w:val="both"/>
        <w:rPr>
          <w:rFonts w:cs="Arial"/>
          <w:szCs w:val="24"/>
        </w:rPr>
      </w:pPr>
      <w:r w:rsidRPr="0093608A">
        <w:rPr>
          <w:rFonts w:cs="Arial"/>
          <w:szCs w:val="24"/>
        </w:rPr>
        <w:t>Do ponto de vista epistemológico, a teoria das capacidades dinâmicas aproxima-se de uma abordagem processual e relacional, na medida em que reconhece a interdependência entre organização, ambiente e inovação. Diferente de perspectivas essencialistas, que tratam recursos como dados fixos, a epistemologia subjacente a este construto enfatiza a aprendizagem organizacional, a criação de rotinas inovadoras e a capacidade de antecipar transformações.</w:t>
      </w:r>
    </w:p>
    <w:p w14:paraId="32109E10" w14:textId="23B4F56D" w:rsidR="0093608A" w:rsidRPr="0093608A" w:rsidRDefault="0093608A" w:rsidP="00E20A79">
      <w:pPr>
        <w:spacing w:after="0" w:line="240" w:lineRule="auto"/>
        <w:ind w:firstLine="709"/>
        <w:jc w:val="both"/>
        <w:rPr>
          <w:rFonts w:cs="Arial"/>
          <w:szCs w:val="24"/>
        </w:rPr>
      </w:pPr>
      <w:r w:rsidRPr="0093608A">
        <w:rPr>
          <w:rFonts w:cs="Arial"/>
          <w:szCs w:val="24"/>
        </w:rPr>
        <w:t xml:space="preserve">A literatura subsequente expandiu esse entendimento, propondo classificações como </w:t>
      </w:r>
      <w:proofErr w:type="spellStart"/>
      <w:r w:rsidRPr="0093608A">
        <w:rPr>
          <w:rFonts w:cs="Arial"/>
          <w:i/>
          <w:iCs/>
          <w:szCs w:val="24"/>
        </w:rPr>
        <w:t>sensing</w:t>
      </w:r>
      <w:proofErr w:type="spellEnd"/>
      <w:r w:rsidRPr="0093608A">
        <w:rPr>
          <w:rFonts w:cs="Arial"/>
          <w:i/>
          <w:iCs/>
          <w:szCs w:val="24"/>
        </w:rPr>
        <w:t xml:space="preserve">, </w:t>
      </w:r>
      <w:proofErr w:type="spellStart"/>
      <w:r w:rsidRPr="0093608A">
        <w:rPr>
          <w:rFonts w:cs="Arial"/>
          <w:i/>
          <w:iCs/>
          <w:szCs w:val="24"/>
        </w:rPr>
        <w:t>seizing</w:t>
      </w:r>
      <w:proofErr w:type="spellEnd"/>
      <w:r w:rsidRPr="0093608A">
        <w:rPr>
          <w:rFonts w:cs="Arial"/>
          <w:szCs w:val="24"/>
        </w:rPr>
        <w:t xml:space="preserve"> e </w:t>
      </w:r>
      <w:proofErr w:type="spellStart"/>
      <w:r w:rsidRPr="0093608A">
        <w:rPr>
          <w:rFonts w:cs="Arial"/>
          <w:i/>
          <w:iCs/>
          <w:szCs w:val="24"/>
        </w:rPr>
        <w:t>transforming</w:t>
      </w:r>
      <w:proofErr w:type="spellEnd"/>
      <w:r w:rsidRPr="0093608A">
        <w:rPr>
          <w:rFonts w:cs="Arial"/>
          <w:szCs w:val="24"/>
        </w:rPr>
        <w:t xml:space="preserve"> (</w:t>
      </w:r>
      <w:proofErr w:type="spellStart"/>
      <w:r w:rsidRPr="0093608A">
        <w:rPr>
          <w:rFonts w:cs="Arial"/>
          <w:szCs w:val="24"/>
        </w:rPr>
        <w:t>Teece</w:t>
      </w:r>
      <w:proofErr w:type="spellEnd"/>
      <w:r w:rsidRPr="0093608A">
        <w:rPr>
          <w:rFonts w:cs="Arial"/>
          <w:szCs w:val="24"/>
        </w:rPr>
        <w:t>, 2007), que descrevem as fases da inovação organizacional: identificar oportunidades, mobilizar recursos e reconfigurar estruturas.</w:t>
      </w:r>
      <w:r w:rsidR="0097416A">
        <w:rPr>
          <w:rFonts w:cs="Arial"/>
          <w:szCs w:val="24"/>
        </w:rPr>
        <w:t xml:space="preserve"> </w:t>
      </w:r>
      <w:r w:rsidRPr="0093608A">
        <w:rPr>
          <w:rFonts w:cs="Arial"/>
          <w:szCs w:val="24"/>
        </w:rPr>
        <w:t>Ness</w:t>
      </w:r>
      <w:r w:rsidR="0097416A">
        <w:rPr>
          <w:rFonts w:cs="Arial"/>
          <w:szCs w:val="24"/>
        </w:rPr>
        <w:t xml:space="preserve">e </w:t>
      </w:r>
      <w:r w:rsidRPr="0093608A">
        <w:rPr>
          <w:rFonts w:cs="Arial"/>
          <w:szCs w:val="24"/>
        </w:rPr>
        <w:t>sentido, as capacidades dinâmicas constituem um quadro interpretativo essencial para compreender como empresas inovam, criam resiliência e se reposicionam estrategicamente em ecossistemas de alta complexidade.</w:t>
      </w:r>
    </w:p>
    <w:p w14:paraId="428CA50D" w14:textId="77777777" w:rsidR="0093608A" w:rsidRPr="0093608A" w:rsidRDefault="0093608A" w:rsidP="00E20A79">
      <w:pPr>
        <w:spacing w:after="0" w:line="240" w:lineRule="auto"/>
        <w:ind w:firstLine="709"/>
        <w:jc w:val="both"/>
        <w:rPr>
          <w:rFonts w:cs="Arial"/>
          <w:szCs w:val="24"/>
        </w:rPr>
      </w:pPr>
    </w:p>
    <w:p w14:paraId="28A4CA60" w14:textId="77777777" w:rsidR="0093608A" w:rsidRPr="0093608A" w:rsidRDefault="0093608A" w:rsidP="0097416A">
      <w:pPr>
        <w:spacing w:after="0" w:line="240" w:lineRule="auto"/>
        <w:jc w:val="both"/>
        <w:rPr>
          <w:rFonts w:cs="Arial"/>
          <w:b/>
          <w:bCs/>
          <w:szCs w:val="24"/>
        </w:rPr>
      </w:pPr>
      <w:r w:rsidRPr="0093608A">
        <w:rPr>
          <w:rFonts w:cs="Arial"/>
          <w:b/>
          <w:bCs/>
          <w:szCs w:val="24"/>
        </w:rPr>
        <w:t>3. SUSTENTABILIDADE COMPETITIVA COMO EIXO DA ESTRATÉGIA ORGANIZACIONAL</w:t>
      </w:r>
    </w:p>
    <w:p w14:paraId="54F498DE" w14:textId="77777777" w:rsidR="0093608A" w:rsidRPr="0093608A" w:rsidRDefault="0093608A" w:rsidP="00E20A79">
      <w:pPr>
        <w:spacing w:after="0" w:line="240" w:lineRule="auto"/>
        <w:rPr>
          <w:rFonts w:cs="Arial"/>
          <w:szCs w:val="24"/>
        </w:rPr>
      </w:pPr>
    </w:p>
    <w:p w14:paraId="46996E3D" w14:textId="77777777" w:rsidR="0093608A" w:rsidRPr="0093608A" w:rsidRDefault="0093608A" w:rsidP="00E20A79">
      <w:pPr>
        <w:spacing w:after="0" w:line="240" w:lineRule="auto"/>
        <w:ind w:firstLine="709"/>
        <w:jc w:val="both"/>
        <w:rPr>
          <w:rFonts w:cs="Arial"/>
          <w:szCs w:val="24"/>
        </w:rPr>
      </w:pPr>
      <w:r w:rsidRPr="0093608A">
        <w:rPr>
          <w:rFonts w:cs="Arial"/>
          <w:szCs w:val="24"/>
        </w:rPr>
        <w:t xml:space="preserve">A discussão sobre sustentabilidade competitiva ganhou amplitude a partir da introdução do conceito de </w:t>
      </w:r>
      <w:r w:rsidRPr="0093608A">
        <w:rPr>
          <w:rFonts w:cs="Arial"/>
          <w:i/>
          <w:iCs/>
          <w:szCs w:val="24"/>
        </w:rPr>
        <w:t xml:space="preserve">triple </w:t>
      </w:r>
      <w:proofErr w:type="spellStart"/>
      <w:r w:rsidRPr="0093608A">
        <w:rPr>
          <w:rFonts w:cs="Arial"/>
          <w:i/>
          <w:iCs/>
          <w:szCs w:val="24"/>
        </w:rPr>
        <w:t>bottom</w:t>
      </w:r>
      <w:proofErr w:type="spellEnd"/>
      <w:r w:rsidRPr="0093608A">
        <w:rPr>
          <w:rFonts w:cs="Arial"/>
          <w:i/>
          <w:iCs/>
          <w:szCs w:val="24"/>
        </w:rPr>
        <w:t xml:space="preserve"> </w:t>
      </w:r>
      <w:proofErr w:type="spellStart"/>
      <w:r w:rsidRPr="0093608A">
        <w:rPr>
          <w:rFonts w:cs="Arial"/>
          <w:i/>
          <w:iCs/>
          <w:szCs w:val="24"/>
        </w:rPr>
        <w:t>line</w:t>
      </w:r>
      <w:proofErr w:type="spellEnd"/>
      <w:r w:rsidRPr="0093608A">
        <w:rPr>
          <w:rFonts w:cs="Arial"/>
          <w:szCs w:val="24"/>
        </w:rPr>
        <w:t xml:space="preserve"> por </w:t>
      </w:r>
      <w:proofErr w:type="spellStart"/>
      <w:r w:rsidRPr="0093608A">
        <w:rPr>
          <w:rFonts w:cs="Arial"/>
          <w:szCs w:val="24"/>
        </w:rPr>
        <w:t>Elkington</w:t>
      </w:r>
      <w:proofErr w:type="spellEnd"/>
      <w:r w:rsidRPr="0093608A">
        <w:rPr>
          <w:rFonts w:cs="Arial"/>
          <w:szCs w:val="24"/>
        </w:rPr>
        <w:t xml:space="preserve"> (1998), que propôs uma abordagem integrada das dimensões econômica, social e ambiental no desempenho organizacional. Essa perspectiva transformou a compreensão da estratégia, deslocando-a de uma lógica exclusivamente econômica para uma visão holística de valor.</w:t>
      </w:r>
    </w:p>
    <w:p w14:paraId="07270217" w14:textId="703817A2" w:rsidR="0093608A" w:rsidRPr="0093608A" w:rsidRDefault="0093608A" w:rsidP="00E20A79">
      <w:pPr>
        <w:spacing w:after="0" w:line="240" w:lineRule="auto"/>
        <w:ind w:firstLine="709"/>
        <w:jc w:val="both"/>
        <w:rPr>
          <w:rFonts w:cs="Arial"/>
          <w:szCs w:val="24"/>
        </w:rPr>
      </w:pPr>
      <w:r w:rsidRPr="0093608A">
        <w:rPr>
          <w:rFonts w:cs="Arial"/>
          <w:szCs w:val="24"/>
        </w:rPr>
        <w:t xml:space="preserve">Porter e Kramer (2006) trouxeram a noção de </w:t>
      </w:r>
      <w:r w:rsidRPr="0093608A">
        <w:rPr>
          <w:rFonts w:cs="Arial"/>
          <w:i/>
          <w:iCs/>
          <w:szCs w:val="24"/>
        </w:rPr>
        <w:t>valor compartilhado</w:t>
      </w:r>
      <w:r w:rsidRPr="0093608A">
        <w:rPr>
          <w:rFonts w:cs="Arial"/>
          <w:szCs w:val="24"/>
        </w:rPr>
        <w:t xml:space="preserve">, defendendo que as empresas devem alinhar sua estratégia à resolução de problemas sociais, </w:t>
      </w:r>
      <w:r w:rsidRPr="0093608A">
        <w:rPr>
          <w:rFonts w:cs="Arial"/>
          <w:szCs w:val="24"/>
        </w:rPr>
        <w:lastRenderedPageBreak/>
        <w:t>gerando benefícios simultâneos para a sociedade e para os negócios. Hart e Milstein (2003) reforçam essa ideia, argumentando que a sustentabilidade deve ser considerada não como uma obrigação, mas como uma oportunidade estratégica de inovação.</w:t>
      </w:r>
    </w:p>
    <w:p w14:paraId="7E87DD5B" w14:textId="77777777" w:rsidR="0093608A" w:rsidRPr="0093608A" w:rsidRDefault="0093608A" w:rsidP="00E20A79">
      <w:pPr>
        <w:spacing w:after="0" w:line="240" w:lineRule="auto"/>
        <w:ind w:firstLine="709"/>
        <w:jc w:val="both"/>
        <w:rPr>
          <w:rFonts w:cs="Arial"/>
          <w:szCs w:val="24"/>
        </w:rPr>
      </w:pPr>
      <w:r w:rsidRPr="0093608A">
        <w:rPr>
          <w:rFonts w:cs="Arial"/>
          <w:szCs w:val="24"/>
        </w:rPr>
        <w:t xml:space="preserve">No cenário contemporâneo, autores como </w:t>
      </w:r>
      <w:proofErr w:type="spellStart"/>
      <w:r w:rsidRPr="0093608A">
        <w:rPr>
          <w:rFonts w:cs="Arial"/>
          <w:szCs w:val="24"/>
        </w:rPr>
        <w:t>Dyllick</w:t>
      </w:r>
      <w:proofErr w:type="spellEnd"/>
      <w:r w:rsidRPr="0093608A">
        <w:rPr>
          <w:rFonts w:cs="Arial"/>
          <w:szCs w:val="24"/>
        </w:rPr>
        <w:t xml:space="preserve"> e </w:t>
      </w:r>
      <w:proofErr w:type="spellStart"/>
      <w:r w:rsidRPr="0093608A">
        <w:rPr>
          <w:rFonts w:cs="Arial"/>
          <w:szCs w:val="24"/>
        </w:rPr>
        <w:t>Muff</w:t>
      </w:r>
      <w:proofErr w:type="spellEnd"/>
      <w:r w:rsidRPr="0093608A">
        <w:rPr>
          <w:rFonts w:cs="Arial"/>
          <w:szCs w:val="24"/>
        </w:rPr>
        <w:t xml:space="preserve"> (2016) defendem a transição de uma sustentabilidade “incremental” para uma sustentabilidade verdadeira, que reposiciona as empresas como protagonistas na transformação de sistemas sociais e ambientais. Essa visão posiciona a sustentabilidade como eixo estruturante da competitividade de longo prazo, em sinergia direta com a inovação.</w:t>
      </w:r>
    </w:p>
    <w:p w14:paraId="3D43E452" w14:textId="77777777" w:rsidR="0093608A" w:rsidRPr="0093608A" w:rsidRDefault="0093608A" w:rsidP="00E20A79">
      <w:pPr>
        <w:spacing w:after="0" w:line="240" w:lineRule="auto"/>
        <w:rPr>
          <w:rFonts w:cs="Arial"/>
          <w:szCs w:val="24"/>
        </w:rPr>
      </w:pPr>
    </w:p>
    <w:p w14:paraId="709AE5CB" w14:textId="77777777" w:rsidR="0093608A" w:rsidRPr="0093608A" w:rsidRDefault="0093608A" w:rsidP="0097416A">
      <w:pPr>
        <w:spacing w:after="0" w:line="240" w:lineRule="auto"/>
        <w:jc w:val="both"/>
        <w:rPr>
          <w:rFonts w:cs="Arial"/>
          <w:b/>
          <w:bCs/>
          <w:szCs w:val="24"/>
        </w:rPr>
      </w:pPr>
      <w:r w:rsidRPr="0093608A">
        <w:rPr>
          <w:rFonts w:cs="Arial"/>
          <w:b/>
          <w:bCs/>
          <w:szCs w:val="24"/>
        </w:rPr>
        <w:t>4. MODELOS DE NEGÓCIO ADAPTATIVOS E A COMPLEXIDADE ORGANIZACIONAL</w:t>
      </w:r>
    </w:p>
    <w:p w14:paraId="016E8BF2" w14:textId="77777777" w:rsidR="0093608A" w:rsidRPr="0093608A" w:rsidRDefault="0093608A" w:rsidP="00E20A79">
      <w:pPr>
        <w:spacing w:after="0" w:line="240" w:lineRule="auto"/>
        <w:ind w:firstLine="709"/>
        <w:jc w:val="both"/>
        <w:rPr>
          <w:rFonts w:cs="Arial"/>
          <w:szCs w:val="24"/>
        </w:rPr>
      </w:pPr>
    </w:p>
    <w:p w14:paraId="08FB654F" w14:textId="77777777" w:rsidR="0093608A" w:rsidRPr="0093608A" w:rsidRDefault="0093608A" w:rsidP="00E20A79">
      <w:pPr>
        <w:spacing w:after="0" w:line="240" w:lineRule="auto"/>
        <w:ind w:firstLine="709"/>
        <w:jc w:val="both"/>
        <w:rPr>
          <w:rFonts w:cs="Arial"/>
          <w:szCs w:val="24"/>
        </w:rPr>
      </w:pPr>
      <w:r w:rsidRPr="0093608A">
        <w:rPr>
          <w:rFonts w:cs="Arial"/>
          <w:szCs w:val="24"/>
        </w:rPr>
        <w:t xml:space="preserve">O conceito de modelo de negócio ganhou relevância com </w:t>
      </w:r>
      <w:proofErr w:type="spellStart"/>
      <w:r w:rsidRPr="0093608A">
        <w:rPr>
          <w:rFonts w:cs="Arial"/>
          <w:szCs w:val="24"/>
        </w:rPr>
        <w:t>Osterwalder</w:t>
      </w:r>
      <w:proofErr w:type="spellEnd"/>
      <w:r w:rsidRPr="0093608A">
        <w:rPr>
          <w:rFonts w:cs="Arial"/>
          <w:szCs w:val="24"/>
        </w:rPr>
        <w:t xml:space="preserve"> e </w:t>
      </w:r>
      <w:proofErr w:type="spellStart"/>
      <w:r w:rsidRPr="0093608A">
        <w:rPr>
          <w:rFonts w:cs="Arial"/>
          <w:szCs w:val="24"/>
        </w:rPr>
        <w:t>Pigneur</w:t>
      </w:r>
      <w:proofErr w:type="spellEnd"/>
      <w:r w:rsidRPr="0093608A">
        <w:rPr>
          <w:rFonts w:cs="Arial"/>
          <w:szCs w:val="24"/>
        </w:rPr>
        <w:t xml:space="preserve"> (2010), que sistematizaram sua estrutura a partir de blocos como proposta de valor, clientes, canais e fontes de receita. Entretanto, em contextos de disrupção digital, a literatura aponta para a necessidade de modelos adaptativos, capazes de evoluir em ecossistemas dinâmicos.</w:t>
      </w:r>
    </w:p>
    <w:p w14:paraId="2F6A497D" w14:textId="77777777" w:rsidR="0093608A" w:rsidRPr="0093608A" w:rsidRDefault="0093608A" w:rsidP="00E20A79">
      <w:pPr>
        <w:spacing w:after="0" w:line="240" w:lineRule="auto"/>
        <w:ind w:firstLine="709"/>
        <w:jc w:val="both"/>
        <w:rPr>
          <w:rFonts w:cs="Arial"/>
          <w:szCs w:val="24"/>
        </w:rPr>
      </w:pPr>
      <w:proofErr w:type="spellStart"/>
      <w:r w:rsidRPr="0093608A">
        <w:rPr>
          <w:rFonts w:cs="Arial"/>
          <w:szCs w:val="24"/>
        </w:rPr>
        <w:t>Chesbrough</w:t>
      </w:r>
      <w:proofErr w:type="spellEnd"/>
      <w:r w:rsidRPr="0093608A">
        <w:rPr>
          <w:rFonts w:cs="Arial"/>
          <w:szCs w:val="24"/>
        </w:rPr>
        <w:t xml:space="preserve"> (2010) reforça que modelos de negócio devem ser compreendidos em articulação com a inovação aberta, na qual empresas exploram fontes externas de conhecimento e estabelecem redes colaborativas. </w:t>
      </w:r>
      <w:proofErr w:type="spellStart"/>
      <w:r w:rsidRPr="0093608A">
        <w:rPr>
          <w:rFonts w:cs="Arial"/>
          <w:szCs w:val="24"/>
        </w:rPr>
        <w:t>Amit</w:t>
      </w:r>
      <w:proofErr w:type="spellEnd"/>
      <w:r w:rsidRPr="0093608A">
        <w:rPr>
          <w:rFonts w:cs="Arial"/>
          <w:szCs w:val="24"/>
        </w:rPr>
        <w:t xml:space="preserve"> e </w:t>
      </w:r>
      <w:proofErr w:type="spellStart"/>
      <w:r w:rsidRPr="0093608A">
        <w:rPr>
          <w:rFonts w:cs="Arial"/>
          <w:szCs w:val="24"/>
        </w:rPr>
        <w:t>Zott</w:t>
      </w:r>
      <w:proofErr w:type="spellEnd"/>
      <w:r w:rsidRPr="0093608A">
        <w:rPr>
          <w:rFonts w:cs="Arial"/>
          <w:szCs w:val="24"/>
        </w:rPr>
        <w:t xml:space="preserve"> (2012) acrescentam que a inovação em modelos de negócio depende não apenas de tecnologia, mas também da arquitetura das transações e da forma como se cria e captura valor.</w:t>
      </w:r>
    </w:p>
    <w:p w14:paraId="1B9211D3" w14:textId="2F151FD0" w:rsidR="0093608A" w:rsidRPr="0093608A" w:rsidRDefault="0093608A" w:rsidP="00E20A79">
      <w:pPr>
        <w:spacing w:after="0" w:line="240" w:lineRule="auto"/>
        <w:ind w:firstLine="709"/>
        <w:jc w:val="both"/>
        <w:rPr>
          <w:rFonts w:cs="Arial"/>
          <w:szCs w:val="24"/>
        </w:rPr>
      </w:pPr>
      <w:r w:rsidRPr="0093608A">
        <w:rPr>
          <w:rFonts w:cs="Arial"/>
          <w:szCs w:val="24"/>
        </w:rPr>
        <w:t xml:space="preserve">No campo da complexidade, autores como </w:t>
      </w:r>
      <w:proofErr w:type="spellStart"/>
      <w:r w:rsidRPr="0093608A">
        <w:rPr>
          <w:rFonts w:cs="Arial"/>
          <w:szCs w:val="24"/>
        </w:rPr>
        <w:t>Doz</w:t>
      </w:r>
      <w:proofErr w:type="spellEnd"/>
      <w:r w:rsidRPr="0093608A">
        <w:rPr>
          <w:rFonts w:cs="Arial"/>
          <w:szCs w:val="24"/>
        </w:rPr>
        <w:t xml:space="preserve"> e </w:t>
      </w:r>
      <w:proofErr w:type="spellStart"/>
      <w:r w:rsidRPr="0093608A">
        <w:rPr>
          <w:rFonts w:cs="Arial"/>
          <w:szCs w:val="24"/>
        </w:rPr>
        <w:t>Kosonen</w:t>
      </w:r>
      <w:proofErr w:type="spellEnd"/>
      <w:r w:rsidRPr="0093608A">
        <w:rPr>
          <w:rFonts w:cs="Arial"/>
          <w:szCs w:val="24"/>
        </w:rPr>
        <w:t xml:space="preserve"> (2010) introduziram a noção de agilidade estratégica, defendendo que empresas precisam desenvolver mecanismos de adaptação contínua, ajustando suas lógicas de negócio de acordo com pressões externas. A perspectiva sistêmica de Anderson (1999) </w:t>
      </w:r>
      <w:r w:rsidR="0097416A">
        <w:rPr>
          <w:rFonts w:cs="Arial"/>
          <w:szCs w:val="24"/>
        </w:rPr>
        <w:t>enfatiza</w:t>
      </w:r>
      <w:r w:rsidRPr="0093608A">
        <w:rPr>
          <w:rFonts w:cs="Arial"/>
          <w:szCs w:val="24"/>
        </w:rPr>
        <w:t xml:space="preserve"> a ideia de que organizações funcionam como sistemas complexos adaptativos, em constante interação com o ambiente.</w:t>
      </w:r>
    </w:p>
    <w:p w14:paraId="4DC27978" w14:textId="77777777" w:rsidR="0093608A" w:rsidRPr="0093608A" w:rsidRDefault="0093608A" w:rsidP="00E20A79">
      <w:pPr>
        <w:spacing w:after="0" w:line="240" w:lineRule="auto"/>
        <w:rPr>
          <w:rFonts w:cs="Arial"/>
          <w:szCs w:val="24"/>
        </w:rPr>
      </w:pPr>
    </w:p>
    <w:p w14:paraId="38BAE06D" w14:textId="77777777" w:rsidR="0093608A" w:rsidRPr="0093608A" w:rsidRDefault="0093608A" w:rsidP="00E20A79">
      <w:pPr>
        <w:spacing w:after="0" w:line="240" w:lineRule="auto"/>
        <w:rPr>
          <w:rFonts w:cs="Arial"/>
          <w:b/>
          <w:bCs/>
          <w:szCs w:val="24"/>
        </w:rPr>
      </w:pPr>
      <w:r w:rsidRPr="0093608A">
        <w:rPr>
          <w:rFonts w:cs="Arial"/>
          <w:b/>
          <w:bCs/>
          <w:szCs w:val="24"/>
        </w:rPr>
        <w:t>5. PERSPECTIVAS EMERGENTES SOBRE ESTRATÉGIA, INOVAÇÃO E SUSTENTABILIDADE</w:t>
      </w:r>
    </w:p>
    <w:p w14:paraId="74408013" w14:textId="77777777" w:rsidR="0093608A" w:rsidRPr="0093608A" w:rsidRDefault="0093608A" w:rsidP="00E20A79">
      <w:pPr>
        <w:spacing w:after="0" w:line="240" w:lineRule="auto"/>
        <w:rPr>
          <w:rFonts w:cs="Arial"/>
          <w:szCs w:val="24"/>
        </w:rPr>
      </w:pPr>
    </w:p>
    <w:p w14:paraId="697E47DE" w14:textId="77777777" w:rsidR="0093608A" w:rsidRPr="0093608A" w:rsidRDefault="0093608A" w:rsidP="00E20A79">
      <w:pPr>
        <w:spacing w:after="0" w:line="240" w:lineRule="auto"/>
        <w:ind w:firstLine="709"/>
        <w:jc w:val="both"/>
        <w:rPr>
          <w:rFonts w:cs="Arial"/>
          <w:szCs w:val="24"/>
        </w:rPr>
      </w:pPr>
      <w:r w:rsidRPr="0093608A">
        <w:rPr>
          <w:rFonts w:cs="Arial"/>
          <w:szCs w:val="24"/>
        </w:rPr>
        <w:t>As tendências emergentes da literatura revelam a convergência entre estratégia, inovação e sustentabilidade em diferentes dimensões.</w:t>
      </w:r>
    </w:p>
    <w:p w14:paraId="2C98104D" w14:textId="77777777" w:rsidR="0093608A" w:rsidRPr="0093608A" w:rsidRDefault="0093608A" w:rsidP="00E20A79">
      <w:pPr>
        <w:pStyle w:val="PargrafodaLista"/>
        <w:numPr>
          <w:ilvl w:val="0"/>
          <w:numId w:val="22"/>
        </w:numPr>
        <w:spacing w:after="0" w:line="240" w:lineRule="auto"/>
        <w:jc w:val="both"/>
        <w:rPr>
          <w:rFonts w:cs="Arial"/>
          <w:szCs w:val="24"/>
        </w:rPr>
      </w:pPr>
      <w:r w:rsidRPr="0093608A">
        <w:rPr>
          <w:rFonts w:cs="Arial"/>
          <w:szCs w:val="24"/>
        </w:rPr>
        <w:t xml:space="preserve">Transformação digital: autores como </w:t>
      </w:r>
      <w:proofErr w:type="spellStart"/>
      <w:r w:rsidRPr="0093608A">
        <w:rPr>
          <w:rFonts w:cs="Arial"/>
          <w:szCs w:val="24"/>
        </w:rPr>
        <w:t>Bharadwaj</w:t>
      </w:r>
      <w:proofErr w:type="spellEnd"/>
      <w:r w:rsidRPr="0093608A">
        <w:rPr>
          <w:rFonts w:cs="Arial"/>
          <w:szCs w:val="24"/>
        </w:rPr>
        <w:t xml:space="preserve"> et al. (2013) e </w:t>
      </w:r>
      <w:proofErr w:type="spellStart"/>
      <w:r w:rsidRPr="0093608A">
        <w:rPr>
          <w:rFonts w:cs="Arial"/>
          <w:szCs w:val="24"/>
        </w:rPr>
        <w:t>Vial</w:t>
      </w:r>
      <w:proofErr w:type="spellEnd"/>
      <w:r w:rsidRPr="0093608A">
        <w:rPr>
          <w:rFonts w:cs="Arial"/>
          <w:szCs w:val="24"/>
        </w:rPr>
        <w:t xml:space="preserve"> (2019) destacam que a digitalização não é apenas ferramenta, mas elemento estruturante da estratégia. A integração de tecnologias digitais redefine ecossistemas e modelos de negócio.</w:t>
      </w:r>
    </w:p>
    <w:p w14:paraId="60B62F17" w14:textId="77777777" w:rsidR="0093608A" w:rsidRPr="0093608A" w:rsidRDefault="0093608A" w:rsidP="00E20A79">
      <w:pPr>
        <w:pStyle w:val="PargrafodaLista"/>
        <w:numPr>
          <w:ilvl w:val="0"/>
          <w:numId w:val="22"/>
        </w:numPr>
        <w:spacing w:after="0" w:line="240" w:lineRule="auto"/>
        <w:jc w:val="both"/>
        <w:rPr>
          <w:rFonts w:cs="Arial"/>
          <w:szCs w:val="24"/>
        </w:rPr>
      </w:pPr>
      <w:r w:rsidRPr="0093608A">
        <w:rPr>
          <w:rFonts w:cs="Arial"/>
          <w:szCs w:val="24"/>
        </w:rPr>
        <w:t xml:space="preserve">Ecossistemas de inovação: Adner (2017) propõe a ideia de </w:t>
      </w:r>
      <w:proofErr w:type="spellStart"/>
      <w:r w:rsidRPr="0093608A">
        <w:rPr>
          <w:rFonts w:cs="Arial"/>
          <w:i/>
          <w:iCs/>
          <w:szCs w:val="24"/>
        </w:rPr>
        <w:t>innovation</w:t>
      </w:r>
      <w:proofErr w:type="spellEnd"/>
      <w:r w:rsidRPr="0093608A">
        <w:rPr>
          <w:rFonts w:cs="Arial"/>
          <w:i/>
          <w:iCs/>
          <w:szCs w:val="24"/>
        </w:rPr>
        <w:t xml:space="preserve"> </w:t>
      </w:r>
      <w:proofErr w:type="spellStart"/>
      <w:r w:rsidRPr="0093608A">
        <w:rPr>
          <w:rFonts w:cs="Arial"/>
          <w:i/>
          <w:iCs/>
          <w:szCs w:val="24"/>
        </w:rPr>
        <w:t>ecosystems</w:t>
      </w:r>
      <w:proofErr w:type="spellEnd"/>
      <w:r w:rsidRPr="0093608A">
        <w:rPr>
          <w:rFonts w:cs="Arial"/>
          <w:szCs w:val="24"/>
        </w:rPr>
        <w:t>, em que valor é cocriado em redes interdependentes de organizações, governos e sociedade.</w:t>
      </w:r>
    </w:p>
    <w:p w14:paraId="48396C62" w14:textId="77777777" w:rsidR="0093608A" w:rsidRPr="0093608A" w:rsidRDefault="0093608A" w:rsidP="00E20A79">
      <w:pPr>
        <w:pStyle w:val="PargrafodaLista"/>
        <w:numPr>
          <w:ilvl w:val="0"/>
          <w:numId w:val="22"/>
        </w:numPr>
        <w:spacing w:after="0" w:line="240" w:lineRule="auto"/>
        <w:jc w:val="both"/>
        <w:rPr>
          <w:rFonts w:cs="Arial"/>
          <w:szCs w:val="24"/>
        </w:rPr>
      </w:pPr>
      <w:r w:rsidRPr="0093608A">
        <w:rPr>
          <w:rFonts w:cs="Arial"/>
          <w:szCs w:val="24"/>
        </w:rPr>
        <w:t>Governança adaptativa: Aguilera et al. (2019) mostram que práticas de governança devem ser repensadas em contextos de maior pressão de stakeholders, privilegiando transparência, ética e legitimidade.</w:t>
      </w:r>
    </w:p>
    <w:p w14:paraId="5DFFBC13" w14:textId="77777777" w:rsidR="0093608A" w:rsidRPr="0093608A" w:rsidRDefault="0093608A" w:rsidP="00E20A79">
      <w:pPr>
        <w:pStyle w:val="PargrafodaLista"/>
        <w:numPr>
          <w:ilvl w:val="0"/>
          <w:numId w:val="22"/>
        </w:numPr>
        <w:spacing w:after="0" w:line="240" w:lineRule="auto"/>
        <w:jc w:val="both"/>
        <w:rPr>
          <w:rFonts w:cs="Arial"/>
          <w:szCs w:val="24"/>
        </w:rPr>
      </w:pPr>
      <w:r w:rsidRPr="0093608A">
        <w:rPr>
          <w:rFonts w:cs="Arial"/>
          <w:szCs w:val="24"/>
        </w:rPr>
        <w:t>Sustentabilidade como metanarrativa: Hahn et al. (2014) defendem que sustentabilidade não pode ser tratada como apêndice, mas como eixo central e constitutivo das práticas estratégicas.</w:t>
      </w:r>
    </w:p>
    <w:p w14:paraId="36DF01E4" w14:textId="77777777" w:rsidR="0093608A" w:rsidRPr="0093608A" w:rsidRDefault="0093608A" w:rsidP="00E20A79">
      <w:pPr>
        <w:spacing w:after="0" w:line="240" w:lineRule="auto"/>
        <w:ind w:firstLine="709"/>
        <w:jc w:val="both"/>
        <w:rPr>
          <w:rFonts w:cs="Arial"/>
          <w:szCs w:val="24"/>
        </w:rPr>
      </w:pPr>
    </w:p>
    <w:p w14:paraId="24584B44" w14:textId="77777777" w:rsidR="0093608A" w:rsidRPr="0093608A" w:rsidRDefault="0093608A" w:rsidP="00E20A79">
      <w:pPr>
        <w:spacing w:after="0" w:line="240" w:lineRule="auto"/>
        <w:ind w:firstLine="709"/>
        <w:jc w:val="both"/>
        <w:rPr>
          <w:rFonts w:cs="Arial"/>
          <w:szCs w:val="24"/>
        </w:rPr>
      </w:pPr>
      <w:r w:rsidRPr="0093608A">
        <w:rPr>
          <w:rFonts w:cs="Arial"/>
          <w:szCs w:val="24"/>
        </w:rPr>
        <w:lastRenderedPageBreak/>
        <w:t>Essas perspectivas apontam para a necessidade de integrar capacidades dinâmicas, inovação estratégica e sustentabilidade competitiva em um arcabouço conceitual mais amplo, capaz de responder à complexidade dos desafios organizacionais contemporâneos.</w:t>
      </w:r>
    </w:p>
    <w:p w14:paraId="6A4C3576" w14:textId="77777777" w:rsidR="0093608A" w:rsidRPr="0093608A" w:rsidRDefault="0093608A" w:rsidP="00E20A79">
      <w:pPr>
        <w:spacing w:after="0" w:line="240" w:lineRule="auto"/>
        <w:rPr>
          <w:rFonts w:cs="Arial"/>
          <w:szCs w:val="24"/>
        </w:rPr>
      </w:pPr>
    </w:p>
    <w:p w14:paraId="08ABCDD5" w14:textId="77777777" w:rsidR="0093608A" w:rsidRPr="0093608A" w:rsidRDefault="0093608A" w:rsidP="00E20A79">
      <w:pPr>
        <w:spacing w:after="0" w:line="240" w:lineRule="auto"/>
        <w:rPr>
          <w:rFonts w:cs="Arial"/>
          <w:b/>
          <w:bCs/>
          <w:szCs w:val="24"/>
        </w:rPr>
      </w:pPr>
      <w:r w:rsidRPr="0093608A">
        <w:rPr>
          <w:rFonts w:cs="Arial"/>
          <w:b/>
          <w:bCs/>
          <w:szCs w:val="24"/>
        </w:rPr>
        <w:t>6. DISCUSSÃO</w:t>
      </w:r>
    </w:p>
    <w:p w14:paraId="53FB0292" w14:textId="77777777" w:rsidR="00E20A79" w:rsidRDefault="00E20A79" w:rsidP="00E20A79">
      <w:pPr>
        <w:spacing w:after="0" w:line="240" w:lineRule="auto"/>
        <w:rPr>
          <w:rFonts w:cs="Arial"/>
          <w:szCs w:val="24"/>
        </w:rPr>
      </w:pPr>
    </w:p>
    <w:p w14:paraId="2FC6F1D4" w14:textId="0117E5FA" w:rsidR="0097416A" w:rsidRDefault="0097416A" w:rsidP="0097416A">
      <w:pPr>
        <w:spacing w:after="0" w:line="240" w:lineRule="auto"/>
        <w:ind w:firstLine="720"/>
        <w:jc w:val="both"/>
        <w:rPr>
          <w:rFonts w:cs="Arial"/>
          <w:szCs w:val="24"/>
        </w:rPr>
      </w:pPr>
      <w:r>
        <w:rPr>
          <w:rFonts w:cs="Arial"/>
          <w:szCs w:val="24"/>
        </w:rPr>
        <w:t>A seguir é apresentado um quadro contendo a sistematização da discussão, objetivando auxiliar compreensão pretendida neste estudo.</w:t>
      </w:r>
    </w:p>
    <w:p w14:paraId="4BF46813" w14:textId="77777777" w:rsidR="0097416A" w:rsidRDefault="0097416A" w:rsidP="0097416A">
      <w:pPr>
        <w:spacing w:after="0" w:line="240" w:lineRule="auto"/>
        <w:jc w:val="both"/>
        <w:rPr>
          <w:rFonts w:cs="Arial"/>
          <w:szCs w:val="24"/>
        </w:rPr>
      </w:pPr>
    </w:p>
    <w:p w14:paraId="30CC4CFA" w14:textId="77777777" w:rsidR="0093608A" w:rsidRPr="00E20A79" w:rsidRDefault="0093608A" w:rsidP="00E20A79">
      <w:pPr>
        <w:spacing w:after="0" w:line="240" w:lineRule="auto"/>
        <w:rPr>
          <w:rFonts w:cs="Arial"/>
          <w:sz w:val="20"/>
          <w:szCs w:val="20"/>
        </w:rPr>
      </w:pPr>
      <w:r w:rsidRPr="00E20A79">
        <w:rPr>
          <w:rFonts w:cs="Arial"/>
          <w:b/>
          <w:bCs/>
          <w:sz w:val="20"/>
          <w:szCs w:val="20"/>
        </w:rPr>
        <w:t>Quadro 1.</w:t>
      </w:r>
      <w:r w:rsidRPr="00E20A79">
        <w:rPr>
          <w:rFonts w:cs="Arial"/>
          <w:sz w:val="20"/>
          <w:szCs w:val="20"/>
        </w:rPr>
        <w:t xml:space="preserve"> Discussão</w:t>
      </w:r>
    </w:p>
    <w:tbl>
      <w:tblPr>
        <w:tblStyle w:val="TabeladeGradeClara"/>
        <w:tblW w:w="0" w:type="auto"/>
        <w:tblLook w:val="04A0" w:firstRow="1" w:lastRow="0" w:firstColumn="1" w:lastColumn="0" w:noHBand="0" w:noVBand="1"/>
      </w:tblPr>
      <w:tblGrid>
        <w:gridCol w:w="1817"/>
        <w:gridCol w:w="1696"/>
        <w:gridCol w:w="1786"/>
        <w:gridCol w:w="1748"/>
        <w:gridCol w:w="2014"/>
      </w:tblGrid>
      <w:tr w:rsidR="0093608A" w:rsidRPr="00E20A79" w14:paraId="1B27B624" w14:textId="77777777" w:rsidTr="0039413F">
        <w:tc>
          <w:tcPr>
            <w:tcW w:w="0" w:type="auto"/>
            <w:vAlign w:val="center"/>
            <w:hideMark/>
          </w:tcPr>
          <w:p w14:paraId="2346C29A" w14:textId="77777777" w:rsidR="0097416A" w:rsidRDefault="0093608A" w:rsidP="00E20A79">
            <w:pPr>
              <w:jc w:val="center"/>
              <w:rPr>
                <w:rFonts w:cs="Arial"/>
                <w:b/>
                <w:bCs/>
                <w:sz w:val="20"/>
                <w:szCs w:val="20"/>
              </w:rPr>
            </w:pPr>
            <w:r w:rsidRPr="00E20A79">
              <w:rPr>
                <w:rFonts w:cs="Arial"/>
                <w:b/>
                <w:bCs/>
                <w:sz w:val="20"/>
                <w:szCs w:val="20"/>
              </w:rPr>
              <w:t>Eixo</w:t>
            </w:r>
          </w:p>
          <w:p w14:paraId="28B1CF4A" w14:textId="0111CF35" w:rsidR="0093608A" w:rsidRPr="00E20A79" w:rsidRDefault="0093608A" w:rsidP="00E20A79">
            <w:pPr>
              <w:jc w:val="center"/>
              <w:rPr>
                <w:rFonts w:cs="Arial"/>
                <w:b/>
                <w:bCs/>
                <w:sz w:val="20"/>
                <w:szCs w:val="20"/>
              </w:rPr>
            </w:pPr>
            <w:r w:rsidRPr="00E20A79">
              <w:rPr>
                <w:rFonts w:cs="Arial"/>
                <w:b/>
                <w:bCs/>
                <w:sz w:val="20"/>
                <w:szCs w:val="20"/>
              </w:rPr>
              <w:t>Temático</w:t>
            </w:r>
          </w:p>
        </w:tc>
        <w:tc>
          <w:tcPr>
            <w:tcW w:w="2487" w:type="dxa"/>
            <w:vAlign w:val="center"/>
            <w:hideMark/>
          </w:tcPr>
          <w:p w14:paraId="46A9A394" w14:textId="77777777" w:rsidR="0097416A" w:rsidRDefault="0093608A" w:rsidP="00E20A79">
            <w:pPr>
              <w:jc w:val="center"/>
              <w:rPr>
                <w:rFonts w:cs="Arial"/>
                <w:b/>
                <w:bCs/>
                <w:sz w:val="20"/>
                <w:szCs w:val="20"/>
              </w:rPr>
            </w:pPr>
            <w:r w:rsidRPr="00E20A79">
              <w:rPr>
                <w:rFonts w:cs="Arial"/>
                <w:b/>
                <w:bCs/>
                <w:sz w:val="20"/>
                <w:szCs w:val="20"/>
              </w:rPr>
              <w:t>Autores/</w:t>
            </w:r>
          </w:p>
          <w:p w14:paraId="486A13C3" w14:textId="0CDE492B" w:rsidR="0093608A" w:rsidRPr="00E20A79" w:rsidRDefault="0093608A" w:rsidP="00E20A79">
            <w:pPr>
              <w:jc w:val="center"/>
              <w:rPr>
                <w:rFonts w:cs="Arial"/>
                <w:b/>
                <w:bCs/>
                <w:sz w:val="20"/>
                <w:szCs w:val="20"/>
              </w:rPr>
            </w:pPr>
            <w:r w:rsidRPr="00E20A79">
              <w:rPr>
                <w:rFonts w:cs="Arial"/>
                <w:b/>
                <w:bCs/>
                <w:sz w:val="20"/>
                <w:szCs w:val="20"/>
              </w:rPr>
              <w:t>Referências</w:t>
            </w:r>
          </w:p>
        </w:tc>
        <w:tc>
          <w:tcPr>
            <w:tcW w:w="2067" w:type="dxa"/>
            <w:vAlign w:val="center"/>
            <w:hideMark/>
          </w:tcPr>
          <w:p w14:paraId="51E36D2F" w14:textId="77777777" w:rsidR="0097416A" w:rsidRDefault="0093608A" w:rsidP="00E20A79">
            <w:pPr>
              <w:jc w:val="center"/>
              <w:rPr>
                <w:rFonts w:cs="Arial"/>
                <w:b/>
                <w:bCs/>
                <w:sz w:val="20"/>
                <w:szCs w:val="20"/>
              </w:rPr>
            </w:pPr>
            <w:r w:rsidRPr="00E20A79">
              <w:rPr>
                <w:rFonts w:cs="Arial"/>
                <w:b/>
                <w:bCs/>
                <w:sz w:val="20"/>
                <w:szCs w:val="20"/>
              </w:rPr>
              <w:t>Principais</w:t>
            </w:r>
          </w:p>
          <w:p w14:paraId="2884FD6D" w14:textId="77AD6408" w:rsidR="0093608A" w:rsidRPr="00E20A79" w:rsidRDefault="0093608A" w:rsidP="00E20A79">
            <w:pPr>
              <w:jc w:val="center"/>
              <w:rPr>
                <w:rFonts w:cs="Arial"/>
                <w:b/>
                <w:bCs/>
                <w:sz w:val="20"/>
                <w:szCs w:val="20"/>
              </w:rPr>
            </w:pPr>
            <w:r w:rsidRPr="00E20A79">
              <w:rPr>
                <w:rFonts w:cs="Arial"/>
                <w:b/>
                <w:bCs/>
                <w:sz w:val="20"/>
                <w:szCs w:val="20"/>
              </w:rPr>
              <w:t>Contribuições</w:t>
            </w:r>
          </w:p>
        </w:tc>
        <w:tc>
          <w:tcPr>
            <w:tcW w:w="1943" w:type="dxa"/>
            <w:vAlign w:val="center"/>
            <w:hideMark/>
          </w:tcPr>
          <w:p w14:paraId="10FB136B" w14:textId="77777777" w:rsidR="0093608A" w:rsidRPr="00E20A79" w:rsidRDefault="0093608A" w:rsidP="00E20A79">
            <w:pPr>
              <w:jc w:val="center"/>
              <w:rPr>
                <w:rFonts w:cs="Arial"/>
                <w:b/>
                <w:bCs/>
                <w:sz w:val="20"/>
                <w:szCs w:val="20"/>
              </w:rPr>
            </w:pPr>
            <w:r w:rsidRPr="00E20A79">
              <w:rPr>
                <w:rFonts w:cs="Arial"/>
                <w:b/>
                <w:bCs/>
                <w:sz w:val="20"/>
                <w:szCs w:val="20"/>
              </w:rPr>
              <w:t>Convergências</w:t>
            </w:r>
          </w:p>
        </w:tc>
        <w:tc>
          <w:tcPr>
            <w:tcW w:w="2156" w:type="dxa"/>
            <w:vAlign w:val="center"/>
            <w:hideMark/>
          </w:tcPr>
          <w:p w14:paraId="5662C2E1" w14:textId="77777777" w:rsidR="0097416A" w:rsidRDefault="0093608A" w:rsidP="00E20A79">
            <w:pPr>
              <w:jc w:val="center"/>
              <w:rPr>
                <w:rFonts w:cs="Arial"/>
                <w:b/>
                <w:bCs/>
                <w:sz w:val="20"/>
                <w:szCs w:val="20"/>
              </w:rPr>
            </w:pPr>
            <w:r w:rsidRPr="00E20A79">
              <w:rPr>
                <w:rFonts w:cs="Arial"/>
                <w:b/>
                <w:bCs/>
                <w:sz w:val="20"/>
                <w:szCs w:val="20"/>
              </w:rPr>
              <w:t>Divergências /</w:t>
            </w:r>
          </w:p>
          <w:p w14:paraId="0B24BB07" w14:textId="6AF50F8F" w:rsidR="0093608A" w:rsidRPr="00E20A79" w:rsidRDefault="0093608A" w:rsidP="00E20A79">
            <w:pPr>
              <w:jc w:val="center"/>
              <w:rPr>
                <w:rFonts w:cs="Arial"/>
                <w:b/>
                <w:bCs/>
                <w:sz w:val="20"/>
                <w:szCs w:val="20"/>
              </w:rPr>
            </w:pPr>
            <w:r w:rsidRPr="00E20A79">
              <w:rPr>
                <w:rFonts w:cs="Arial"/>
                <w:b/>
                <w:bCs/>
                <w:sz w:val="20"/>
                <w:szCs w:val="20"/>
              </w:rPr>
              <w:t>Perspectivas</w:t>
            </w:r>
          </w:p>
        </w:tc>
      </w:tr>
      <w:tr w:rsidR="0093608A" w:rsidRPr="00E20A79" w14:paraId="27337E69" w14:textId="77777777" w:rsidTr="0039413F">
        <w:tc>
          <w:tcPr>
            <w:tcW w:w="0" w:type="auto"/>
            <w:vAlign w:val="center"/>
            <w:hideMark/>
          </w:tcPr>
          <w:p w14:paraId="5D833833" w14:textId="77777777" w:rsidR="0093608A" w:rsidRPr="00E20A79" w:rsidRDefault="0093608A" w:rsidP="00E20A79">
            <w:pPr>
              <w:rPr>
                <w:rFonts w:cs="Arial"/>
                <w:b/>
                <w:bCs/>
                <w:sz w:val="20"/>
                <w:szCs w:val="20"/>
              </w:rPr>
            </w:pPr>
            <w:r w:rsidRPr="00E20A79">
              <w:rPr>
                <w:rFonts w:cs="Arial"/>
                <w:b/>
                <w:bCs/>
                <w:sz w:val="20"/>
                <w:szCs w:val="20"/>
              </w:rPr>
              <w:t>Capacidades Dinâmicas</w:t>
            </w:r>
          </w:p>
        </w:tc>
        <w:tc>
          <w:tcPr>
            <w:tcW w:w="2487" w:type="dxa"/>
            <w:hideMark/>
          </w:tcPr>
          <w:p w14:paraId="0E0FF46A" w14:textId="77777777" w:rsidR="0093608A" w:rsidRPr="00E20A79" w:rsidRDefault="0093608A" w:rsidP="00E20A79">
            <w:pPr>
              <w:rPr>
                <w:rFonts w:cs="Arial"/>
                <w:sz w:val="20"/>
                <w:szCs w:val="20"/>
              </w:rPr>
            </w:pPr>
            <w:proofErr w:type="spellStart"/>
            <w:r w:rsidRPr="00E20A79">
              <w:rPr>
                <w:rFonts w:cs="Arial"/>
                <w:sz w:val="20"/>
                <w:szCs w:val="20"/>
              </w:rPr>
              <w:t>Teece</w:t>
            </w:r>
            <w:proofErr w:type="spellEnd"/>
            <w:r w:rsidRPr="00E20A79">
              <w:rPr>
                <w:rFonts w:cs="Arial"/>
                <w:sz w:val="20"/>
                <w:szCs w:val="20"/>
              </w:rPr>
              <w:t xml:space="preserve">, </w:t>
            </w:r>
            <w:proofErr w:type="spellStart"/>
            <w:r w:rsidRPr="00E20A79">
              <w:rPr>
                <w:rFonts w:cs="Arial"/>
                <w:sz w:val="20"/>
                <w:szCs w:val="20"/>
              </w:rPr>
              <w:t>Pisano</w:t>
            </w:r>
            <w:proofErr w:type="spellEnd"/>
            <w:r w:rsidRPr="00E20A79">
              <w:rPr>
                <w:rFonts w:cs="Arial"/>
                <w:sz w:val="20"/>
                <w:szCs w:val="20"/>
              </w:rPr>
              <w:t xml:space="preserve"> e </w:t>
            </w:r>
            <w:proofErr w:type="spellStart"/>
            <w:r w:rsidRPr="00E20A79">
              <w:rPr>
                <w:rFonts w:cs="Arial"/>
                <w:sz w:val="20"/>
                <w:szCs w:val="20"/>
              </w:rPr>
              <w:t>Shuen</w:t>
            </w:r>
            <w:proofErr w:type="spellEnd"/>
            <w:r w:rsidRPr="00E20A79">
              <w:rPr>
                <w:rFonts w:cs="Arial"/>
                <w:sz w:val="20"/>
                <w:szCs w:val="20"/>
              </w:rPr>
              <w:t xml:space="preserve"> (1997); </w:t>
            </w:r>
            <w:proofErr w:type="spellStart"/>
            <w:r w:rsidRPr="00E20A79">
              <w:rPr>
                <w:rFonts w:cs="Arial"/>
                <w:sz w:val="20"/>
                <w:szCs w:val="20"/>
              </w:rPr>
              <w:t>Teece</w:t>
            </w:r>
            <w:proofErr w:type="spellEnd"/>
            <w:r w:rsidRPr="00E20A79">
              <w:rPr>
                <w:rFonts w:cs="Arial"/>
                <w:sz w:val="20"/>
                <w:szCs w:val="20"/>
              </w:rPr>
              <w:t xml:space="preserve"> (2007); </w:t>
            </w:r>
            <w:proofErr w:type="spellStart"/>
            <w:r w:rsidRPr="00E20A79">
              <w:rPr>
                <w:rFonts w:cs="Arial"/>
                <w:sz w:val="20"/>
                <w:szCs w:val="20"/>
              </w:rPr>
              <w:t>Eisenhardt</w:t>
            </w:r>
            <w:proofErr w:type="spellEnd"/>
            <w:r w:rsidRPr="00E20A79">
              <w:rPr>
                <w:rFonts w:cs="Arial"/>
                <w:sz w:val="20"/>
                <w:szCs w:val="20"/>
              </w:rPr>
              <w:t xml:space="preserve"> e Martin (2000); </w:t>
            </w:r>
            <w:proofErr w:type="spellStart"/>
            <w:r w:rsidRPr="00E20A79">
              <w:rPr>
                <w:rFonts w:cs="Arial"/>
                <w:sz w:val="20"/>
                <w:szCs w:val="20"/>
              </w:rPr>
              <w:t>Zollo</w:t>
            </w:r>
            <w:proofErr w:type="spellEnd"/>
            <w:r w:rsidRPr="00E20A79">
              <w:rPr>
                <w:rFonts w:cs="Arial"/>
                <w:sz w:val="20"/>
                <w:szCs w:val="20"/>
              </w:rPr>
              <w:t xml:space="preserve"> e </w:t>
            </w:r>
            <w:proofErr w:type="spellStart"/>
            <w:r w:rsidRPr="00E20A79">
              <w:rPr>
                <w:rFonts w:cs="Arial"/>
                <w:sz w:val="20"/>
                <w:szCs w:val="20"/>
              </w:rPr>
              <w:t>Winter</w:t>
            </w:r>
            <w:proofErr w:type="spellEnd"/>
            <w:r w:rsidRPr="00E20A79">
              <w:rPr>
                <w:rFonts w:cs="Arial"/>
                <w:sz w:val="20"/>
                <w:szCs w:val="20"/>
              </w:rPr>
              <w:t xml:space="preserve"> (2002); Barreto (2010)</w:t>
            </w:r>
          </w:p>
        </w:tc>
        <w:tc>
          <w:tcPr>
            <w:tcW w:w="2067" w:type="dxa"/>
            <w:hideMark/>
          </w:tcPr>
          <w:p w14:paraId="152051F7" w14:textId="77777777" w:rsidR="0093608A" w:rsidRPr="00E20A79" w:rsidRDefault="0093608A" w:rsidP="00E20A79">
            <w:pPr>
              <w:rPr>
                <w:rFonts w:cs="Arial"/>
                <w:sz w:val="20"/>
                <w:szCs w:val="20"/>
              </w:rPr>
            </w:pPr>
            <w:r w:rsidRPr="00E20A79">
              <w:rPr>
                <w:rFonts w:cs="Arial"/>
                <w:sz w:val="20"/>
                <w:szCs w:val="20"/>
              </w:rPr>
              <w:t xml:space="preserve">Introdução e evolução do conceito; ênfase em </w:t>
            </w:r>
            <w:proofErr w:type="spellStart"/>
            <w:r w:rsidRPr="00E20A79">
              <w:rPr>
                <w:rFonts w:cs="Arial"/>
                <w:i/>
                <w:iCs/>
                <w:sz w:val="20"/>
                <w:szCs w:val="20"/>
              </w:rPr>
              <w:t>sensing</w:t>
            </w:r>
            <w:proofErr w:type="spellEnd"/>
            <w:r w:rsidRPr="00E20A79">
              <w:rPr>
                <w:rFonts w:cs="Arial"/>
                <w:i/>
                <w:iCs/>
                <w:sz w:val="20"/>
                <w:szCs w:val="20"/>
              </w:rPr>
              <w:t xml:space="preserve">, </w:t>
            </w:r>
            <w:proofErr w:type="spellStart"/>
            <w:r w:rsidRPr="00E20A79">
              <w:rPr>
                <w:rFonts w:cs="Arial"/>
                <w:i/>
                <w:iCs/>
                <w:sz w:val="20"/>
                <w:szCs w:val="20"/>
              </w:rPr>
              <w:t>seizing</w:t>
            </w:r>
            <w:proofErr w:type="spellEnd"/>
            <w:r w:rsidRPr="00E20A79">
              <w:rPr>
                <w:rFonts w:cs="Arial"/>
                <w:i/>
                <w:iCs/>
                <w:sz w:val="20"/>
                <w:szCs w:val="20"/>
              </w:rPr>
              <w:t xml:space="preserve">, </w:t>
            </w:r>
            <w:proofErr w:type="spellStart"/>
            <w:r w:rsidRPr="00E20A79">
              <w:rPr>
                <w:rFonts w:cs="Arial"/>
                <w:i/>
                <w:iCs/>
                <w:sz w:val="20"/>
                <w:szCs w:val="20"/>
              </w:rPr>
              <w:t>transforming</w:t>
            </w:r>
            <w:proofErr w:type="spellEnd"/>
            <w:r w:rsidRPr="00E20A79">
              <w:rPr>
                <w:rFonts w:cs="Arial"/>
                <w:sz w:val="20"/>
                <w:szCs w:val="20"/>
              </w:rPr>
              <w:t>; rotinas de aprendizagem como base; visão processual.</w:t>
            </w:r>
          </w:p>
        </w:tc>
        <w:tc>
          <w:tcPr>
            <w:tcW w:w="1943" w:type="dxa"/>
            <w:hideMark/>
          </w:tcPr>
          <w:p w14:paraId="13F520D6" w14:textId="77777777" w:rsidR="0093608A" w:rsidRPr="00E20A79" w:rsidRDefault="0093608A" w:rsidP="00E20A79">
            <w:pPr>
              <w:rPr>
                <w:rFonts w:cs="Arial"/>
                <w:sz w:val="20"/>
                <w:szCs w:val="20"/>
              </w:rPr>
            </w:pPr>
            <w:r w:rsidRPr="00E20A79">
              <w:rPr>
                <w:rFonts w:cs="Arial"/>
                <w:sz w:val="20"/>
                <w:szCs w:val="20"/>
              </w:rPr>
              <w:t>Consenso de que a vantagem competitiva depende da reconfiguração contínua de recursos.</w:t>
            </w:r>
          </w:p>
        </w:tc>
        <w:tc>
          <w:tcPr>
            <w:tcW w:w="2156" w:type="dxa"/>
            <w:hideMark/>
          </w:tcPr>
          <w:p w14:paraId="3DF97CBF" w14:textId="77777777" w:rsidR="0093608A" w:rsidRPr="00E20A79" w:rsidRDefault="0093608A" w:rsidP="00E20A79">
            <w:pPr>
              <w:rPr>
                <w:rFonts w:cs="Arial"/>
                <w:sz w:val="20"/>
                <w:szCs w:val="20"/>
              </w:rPr>
            </w:pPr>
            <w:r w:rsidRPr="00E20A79">
              <w:rPr>
                <w:rFonts w:cs="Arial"/>
                <w:sz w:val="20"/>
                <w:szCs w:val="20"/>
              </w:rPr>
              <w:t>Debate sobre se as capacidades dinâmicas são específicas de cada organização (</w:t>
            </w:r>
            <w:proofErr w:type="gramStart"/>
            <w:r w:rsidRPr="00E20A79">
              <w:rPr>
                <w:rFonts w:cs="Arial"/>
                <w:sz w:val="20"/>
                <w:szCs w:val="20"/>
              </w:rPr>
              <w:t>idiossincráticas</w:t>
            </w:r>
            <w:proofErr w:type="gramEnd"/>
            <w:r w:rsidRPr="00E20A79">
              <w:rPr>
                <w:rFonts w:cs="Arial"/>
                <w:sz w:val="20"/>
                <w:szCs w:val="20"/>
              </w:rPr>
              <w:t>) ou replicáveis (padronizadas).</w:t>
            </w:r>
          </w:p>
        </w:tc>
      </w:tr>
      <w:tr w:rsidR="0093608A" w:rsidRPr="00E20A79" w14:paraId="7FBAE726" w14:textId="77777777" w:rsidTr="0039413F">
        <w:tc>
          <w:tcPr>
            <w:tcW w:w="0" w:type="auto"/>
            <w:vAlign w:val="center"/>
            <w:hideMark/>
          </w:tcPr>
          <w:p w14:paraId="7D853F82" w14:textId="77777777" w:rsidR="0093608A" w:rsidRPr="00E20A79" w:rsidRDefault="0093608A" w:rsidP="00E20A79">
            <w:pPr>
              <w:rPr>
                <w:rFonts w:cs="Arial"/>
                <w:b/>
                <w:bCs/>
                <w:sz w:val="20"/>
                <w:szCs w:val="20"/>
              </w:rPr>
            </w:pPr>
            <w:r w:rsidRPr="00E20A79">
              <w:rPr>
                <w:rFonts w:cs="Arial"/>
                <w:b/>
                <w:bCs/>
                <w:sz w:val="20"/>
                <w:szCs w:val="20"/>
              </w:rPr>
              <w:t>Sustentabilidade Competitiva</w:t>
            </w:r>
          </w:p>
        </w:tc>
        <w:tc>
          <w:tcPr>
            <w:tcW w:w="2487" w:type="dxa"/>
            <w:hideMark/>
          </w:tcPr>
          <w:p w14:paraId="7BE2555C" w14:textId="77777777" w:rsidR="0093608A" w:rsidRPr="00E20A79" w:rsidRDefault="0093608A" w:rsidP="00E20A79">
            <w:pPr>
              <w:rPr>
                <w:rFonts w:cs="Arial"/>
                <w:sz w:val="20"/>
                <w:szCs w:val="20"/>
                <w:lang w:val="en-US"/>
              </w:rPr>
            </w:pPr>
            <w:r w:rsidRPr="00E20A79">
              <w:rPr>
                <w:rFonts w:cs="Arial"/>
                <w:sz w:val="20"/>
                <w:szCs w:val="20"/>
                <w:lang w:val="en-US"/>
              </w:rPr>
              <w:t xml:space="preserve">Elkington (1998); Hart e Milstein (2003); Porter e Kramer (2006); </w:t>
            </w:r>
            <w:proofErr w:type="spellStart"/>
            <w:r w:rsidRPr="00E20A79">
              <w:rPr>
                <w:rFonts w:cs="Arial"/>
                <w:sz w:val="20"/>
                <w:szCs w:val="20"/>
                <w:lang w:val="en-US"/>
              </w:rPr>
              <w:t>Dyllick</w:t>
            </w:r>
            <w:proofErr w:type="spellEnd"/>
            <w:r w:rsidRPr="00E20A79">
              <w:rPr>
                <w:rFonts w:cs="Arial"/>
                <w:sz w:val="20"/>
                <w:szCs w:val="20"/>
                <w:lang w:val="en-US"/>
              </w:rPr>
              <w:t xml:space="preserve"> e Muff (2016)</w:t>
            </w:r>
          </w:p>
        </w:tc>
        <w:tc>
          <w:tcPr>
            <w:tcW w:w="2067" w:type="dxa"/>
            <w:hideMark/>
          </w:tcPr>
          <w:p w14:paraId="34F1A36F" w14:textId="77777777" w:rsidR="0093608A" w:rsidRPr="00E20A79" w:rsidRDefault="0093608A" w:rsidP="00E20A79">
            <w:pPr>
              <w:rPr>
                <w:rFonts w:cs="Arial"/>
                <w:sz w:val="20"/>
                <w:szCs w:val="20"/>
              </w:rPr>
            </w:pPr>
            <w:r w:rsidRPr="00E20A79">
              <w:rPr>
                <w:rFonts w:cs="Arial"/>
                <w:i/>
                <w:iCs/>
                <w:sz w:val="20"/>
                <w:szCs w:val="20"/>
              </w:rPr>
              <w:t xml:space="preserve">Triple </w:t>
            </w:r>
            <w:proofErr w:type="spellStart"/>
            <w:r w:rsidRPr="00E20A79">
              <w:rPr>
                <w:rFonts w:cs="Arial"/>
                <w:i/>
                <w:iCs/>
                <w:sz w:val="20"/>
                <w:szCs w:val="20"/>
              </w:rPr>
              <w:t>bottom</w:t>
            </w:r>
            <w:proofErr w:type="spellEnd"/>
            <w:r w:rsidRPr="00E20A79">
              <w:rPr>
                <w:rFonts w:cs="Arial"/>
                <w:i/>
                <w:iCs/>
                <w:sz w:val="20"/>
                <w:szCs w:val="20"/>
              </w:rPr>
              <w:t xml:space="preserve"> </w:t>
            </w:r>
            <w:proofErr w:type="spellStart"/>
            <w:r w:rsidRPr="00E20A79">
              <w:rPr>
                <w:rFonts w:cs="Arial"/>
                <w:i/>
                <w:iCs/>
                <w:sz w:val="20"/>
                <w:szCs w:val="20"/>
              </w:rPr>
              <w:t>line</w:t>
            </w:r>
            <w:proofErr w:type="spellEnd"/>
            <w:r w:rsidRPr="00E20A79">
              <w:rPr>
                <w:rFonts w:cs="Arial"/>
                <w:sz w:val="20"/>
                <w:szCs w:val="20"/>
              </w:rPr>
              <w:t>; inovação sustentável; valor compartilhado; sustentabilidade “verdadeira”.</w:t>
            </w:r>
          </w:p>
        </w:tc>
        <w:tc>
          <w:tcPr>
            <w:tcW w:w="1943" w:type="dxa"/>
            <w:hideMark/>
          </w:tcPr>
          <w:p w14:paraId="35179A4A" w14:textId="77777777" w:rsidR="0093608A" w:rsidRPr="00E20A79" w:rsidRDefault="0093608A" w:rsidP="00E20A79">
            <w:pPr>
              <w:rPr>
                <w:rFonts w:cs="Arial"/>
                <w:sz w:val="20"/>
                <w:szCs w:val="20"/>
              </w:rPr>
            </w:pPr>
            <w:r w:rsidRPr="00E20A79">
              <w:rPr>
                <w:rFonts w:cs="Arial"/>
                <w:sz w:val="20"/>
                <w:szCs w:val="20"/>
              </w:rPr>
              <w:t>Convergência de que sustentabilidade deve ser parte integrante da estratégia organizacional.</w:t>
            </w:r>
          </w:p>
        </w:tc>
        <w:tc>
          <w:tcPr>
            <w:tcW w:w="2156" w:type="dxa"/>
            <w:hideMark/>
          </w:tcPr>
          <w:p w14:paraId="6586CEDD" w14:textId="77777777" w:rsidR="0093608A" w:rsidRPr="00E20A79" w:rsidRDefault="0093608A" w:rsidP="00E20A79">
            <w:pPr>
              <w:rPr>
                <w:rFonts w:cs="Arial"/>
                <w:sz w:val="20"/>
                <w:szCs w:val="20"/>
              </w:rPr>
            </w:pPr>
            <w:r w:rsidRPr="00E20A79">
              <w:rPr>
                <w:rFonts w:cs="Arial"/>
                <w:sz w:val="20"/>
                <w:szCs w:val="20"/>
              </w:rPr>
              <w:t>Divergência entre visão instrumental (vantagem competitiva) e visão normativa (ética/legitimidade).</w:t>
            </w:r>
          </w:p>
        </w:tc>
      </w:tr>
      <w:tr w:rsidR="0093608A" w:rsidRPr="00E20A79" w14:paraId="1840BCD5" w14:textId="77777777" w:rsidTr="0039413F">
        <w:tc>
          <w:tcPr>
            <w:tcW w:w="0" w:type="auto"/>
            <w:vAlign w:val="center"/>
            <w:hideMark/>
          </w:tcPr>
          <w:p w14:paraId="4042881A" w14:textId="77777777" w:rsidR="0093608A" w:rsidRPr="00E20A79" w:rsidRDefault="0093608A" w:rsidP="00E20A79">
            <w:pPr>
              <w:rPr>
                <w:rFonts w:cs="Arial"/>
                <w:b/>
                <w:bCs/>
                <w:sz w:val="20"/>
                <w:szCs w:val="20"/>
              </w:rPr>
            </w:pPr>
            <w:r w:rsidRPr="00E20A79">
              <w:rPr>
                <w:rFonts w:cs="Arial"/>
                <w:b/>
                <w:bCs/>
                <w:sz w:val="20"/>
                <w:szCs w:val="20"/>
              </w:rPr>
              <w:t>Modelos de Negócio Adaptativos</w:t>
            </w:r>
          </w:p>
        </w:tc>
        <w:tc>
          <w:tcPr>
            <w:tcW w:w="2487" w:type="dxa"/>
            <w:hideMark/>
          </w:tcPr>
          <w:p w14:paraId="536C2B7B" w14:textId="77777777" w:rsidR="0093608A" w:rsidRPr="00E20A79" w:rsidRDefault="0093608A" w:rsidP="00E20A79">
            <w:pPr>
              <w:rPr>
                <w:rFonts w:cs="Arial"/>
                <w:sz w:val="20"/>
                <w:szCs w:val="20"/>
                <w:lang w:val="en-US"/>
              </w:rPr>
            </w:pPr>
            <w:r w:rsidRPr="00E20A79">
              <w:rPr>
                <w:rFonts w:cs="Arial"/>
                <w:sz w:val="20"/>
                <w:szCs w:val="20"/>
                <w:lang w:val="en-US"/>
              </w:rPr>
              <w:t xml:space="preserve">Osterwalder e Pigneur (2010); Chesbrough (2010); Amit e Zott (2012); </w:t>
            </w:r>
            <w:proofErr w:type="spellStart"/>
            <w:r w:rsidRPr="00E20A79">
              <w:rPr>
                <w:rFonts w:cs="Arial"/>
                <w:sz w:val="20"/>
                <w:szCs w:val="20"/>
                <w:lang w:val="en-US"/>
              </w:rPr>
              <w:t>Doz</w:t>
            </w:r>
            <w:proofErr w:type="spellEnd"/>
            <w:r w:rsidRPr="00E20A79">
              <w:rPr>
                <w:rFonts w:cs="Arial"/>
                <w:sz w:val="20"/>
                <w:szCs w:val="20"/>
                <w:lang w:val="en-US"/>
              </w:rPr>
              <w:t xml:space="preserve"> e Kosonen (2010); Anderson (1999)</w:t>
            </w:r>
          </w:p>
        </w:tc>
        <w:tc>
          <w:tcPr>
            <w:tcW w:w="2067" w:type="dxa"/>
            <w:hideMark/>
          </w:tcPr>
          <w:p w14:paraId="77CCE5F2" w14:textId="77777777" w:rsidR="0093608A" w:rsidRPr="00E20A79" w:rsidRDefault="0093608A" w:rsidP="00E20A79">
            <w:pPr>
              <w:rPr>
                <w:rFonts w:cs="Arial"/>
                <w:sz w:val="20"/>
                <w:szCs w:val="20"/>
              </w:rPr>
            </w:pPr>
            <w:r w:rsidRPr="00E20A79">
              <w:rPr>
                <w:rFonts w:cs="Arial"/>
                <w:sz w:val="20"/>
                <w:szCs w:val="20"/>
              </w:rPr>
              <w:t xml:space="preserve">Estrutura do </w:t>
            </w:r>
            <w:r w:rsidRPr="00E20A79">
              <w:rPr>
                <w:rFonts w:cs="Arial"/>
                <w:i/>
                <w:iCs/>
                <w:sz w:val="20"/>
                <w:szCs w:val="20"/>
              </w:rPr>
              <w:t xml:space="preserve">business model </w:t>
            </w:r>
            <w:proofErr w:type="spellStart"/>
            <w:r w:rsidRPr="00E20A79">
              <w:rPr>
                <w:rFonts w:cs="Arial"/>
                <w:i/>
                <w:iCs/>
                <w:sz w:val="20"/>
                <w:szCs w:val="20"/>
              </w:rPr>
              <w:t>canvas</w:t>
            </w:r>
            <w:proofErr w:type="spellEnd"/>
            <w:r w:rsidRPr="00E20A79">
              <w:rPr>
                <w:rFonts w:cs="Arial"/>
                <w:sz w:val="20"/>
                <w:szCs w:val="20"/>
              </w:rPr>
              <w:t>; inovação aberta; arquitetura de transações; agilidade estratégica; sistemas complexos adaptativos.</w:t>
            </w:r>
          </w:p>
        </w:tc>
        <w:tc>
          <w:tcPr>
            <w:tcW w:w="1943" w:type="dxa"/>
            <w:hideMark/>
          </w:tcPr>
          <w:p w14:paraId="0A9E7412" w14:textId="77777777" w:rsidR="0093608A" w:rsidRPr="00E20A79" w:rsidRDefault="0093608A" w:rsidP="00E20A79">
            <w:pPr>
              <w:rPr>
                <w:rFonts w:cs="Arial"/>
                <w:sz w:val="20"/>
                <w:szCs w:val="20"/>
              </w:rPr>
            </w:pPr>
            <w:r w:rsidRPr="00E20A79">
              <w:rPr>
                <w:rFonts w:cs="Arial"/>
                <w:sz w:val="20"/>
                <w:szCs w:val="20"/>
              </w:rPr>
              <w:t>Consenso de que modelos de negócio devem ser dinâmicos e evolutivos diante de contextos digitais e globais.</w:t>
            </w:r>
          </w:p>
        </w:tc>
        <w:tc>
          <w:tcPr>
            <w:tcW w:w="2156" w:type="dxa"/>
            <w:hideMark/>
          </w:tcPr>
          <w:p w14:paraId="7BD79374" w14:textId="77777777" w:rsidR="0093608A" w:rsidRPr="00E20A79" w:rsidRDefault="0093608A" w:rsidP="00E20A79">
            <w:pPr>
              <w:rPr>
                <w:rFonts w:cs="Arial"/>
                <w:sz w:val="20"/>
                <w:szCs w:val="20"/>
              </w:rPr>
            </w:pPr>
            <w:r w:rsidRPr="00E20A79">
              <w:rPr>
                <w:rFonts w:cs="Arial"/>
                <w:sz w:val="20"/>
                <w:szCs w:val="20"/>
              </w:rPr>
              <w:t>Divergência sobre o grau de abertura: fronteiras da organização (fechadas ou ecossistêmicas).</w:t>
            </w:r>
          </w:p>
        </w:tc>
      </w:tr>
      <w:tr w:rsidR="0093608A" w:rsidRPr="00E20A79" w14:paraId="1DECD80C" w14:textId="77777777" w:rsidTr="0039413F">
        <w:tc>
          <w:tcPr>
            <w:tcW w:w="0" w:type="auto"/>
            <w:vAlign w:val="center"/>
            <w:hideMark/>
          </w:tcPr>
          <w:p w14:paraId="0698FC3E" w14:textId="77777777" w:rsidR="0093608A" w:rsidRPr="00E20A79" w:rsidRDefault="0093608A" w:rsidP="00E20A79">
            <w:pPr>
              <w:rPr>
                <w:rFonts w:cs="Arial"/>
                <w:b/>
                <w:bCs/>
                <w:sz w:val="20"/>
                <w:szCs w:val="20"/>
              </w:rPr>
            </w:pPr>
            <w:r w:rsidRPr="00E20A79">
              <w:rPr>
                <w:rFonts w:cs="Arial"/>
                <w:b/>
                <w:bCs/>
                <w:sz w:val="20"/>
                <w:szCs w:val="20"/>
              </w:rPr>
              <w:t>Perspectivas Emergentes</w:t>
            </w:r>
          </w:p>
        </w:tc>
        <w:tc>
          <w:tcPr>
            <w:tcW w:w="2487" w:type="dxa"/>
            <w:hideMark/>
          </w:tcPr>
          <w:p w14:paraId="3611873A" w14:textId="77777777" w:rsidR="0093608A" w:rsidRPr="00E20A79" w:rsidRDefault="0093608A" w:rsidP="00E20A79">
            <w:pPr>
              <w:rPr>
                <w:rFonts w:cs="Arial"/>
                <w:sz w:val="20"/>
                <w:szCs w:val="20"/>
              </w:rPr>
            </w:pPr>
            <w:r w:rsidRPr="00E20A79">
              <w:rPr>
                <w:rFonts w:cs="Arial"/>
                <w:sz w:val="20"/>
                <w:szCs w:val="20"/>
                <w:lang w:val="en-US"/>
              </w:rPr>
              <w:t xml:space="preserve">Bharadwaj et al. (2013); Vial (2019); Adner (2017); Aguilera et al. (2019); Hahn et al. </w:t>
            </w:r>
            <w:r w:rsidRPr="00E20A79">
              <w:rPr>
                <w:rFonts w:cs="Arial"/>
                <w:sz w:val="20"/>
                <w:szCs w:val="20"/>
              </w:rPr>
              <w:t>(2014)</w:t>
            </w:r>
          </w:p>
        </w:tc>
        <w:tc>
          <w:tcPr>
            <w:tcW w:w="2067" w:type="dxa"/>
            <w:hideMark/>
          </w:tcPr>
          <w:p w14:paraId="597D9875" w14:textId="77777777" w:rsidR="0093608A" w:rsidRPr="00E20A79" w:rsidRDefault="0093608A" w:rsidP="00E20A79">
            <w:pPr>
              <w:rPr>
                <w:rFonts w:cs="Arial"/>
                <w:sz w:val="20"/>
                <w:szCs w:val="20"/>
              </w:rPr>
            </w:pPr>
            <w:r w:rsidRPr="00E20A79">
              <w:rPr>
                <w:rFonts w:cs="Arial"/>
                <w:sz w:val="20"/>
                <w:szCs w:val="20"/>
              </w:rPr>
              <w:t>Transformação digital; ecossistemas de inovação; governança adaptativa; sustentabilidade como metanarrativa.</w:t>
            </w:r>
          </w:p>
        </w:tc>
        <w:tc>
          <w:tcPr>
            <w:tcW w:w="1943" w:type="dxa"/>
            <w:hideMark/>
          </w:tcPr>
          <w:p w14:paraId="424E98EB" w14:textId="77777777" w:rsidR="0093608A" w:rsidRPr="00E20A79" w:rsidRDefault="0093608A" w:rsidP="00E20A79">
            <w:pPr>
              <w:rPr>
                <w:rFonts w:cs="Arial"/>
                <w:sz w:val="20"/>
                <w:szCs w:val="20"/>
              </w:rPr>
            </w:pPr>
            <w:r w:rsidRPr="00E20A79">
              <w:rPr>
                <w:rFonts w:cs="Arial"/>
                <w:sz w:val="20"/>
                <w:szCs w:val="20"/>
              </w:rPr>
              <w:t>Convergência de que digitalização e sustentabilidade moldam a estratégia do século XXI.</w:t>
            </w:r>
          </w:p>
        </w:tc>
        <w:tc>
          <w:tcPr>
            <w:tcW w:w="2156" w:type="dxa"/>
            <w:hideMark/>
          </w:tcPr>
          <w:p w14:paraId="5C4D5619" w14:textId="77777777" w:rsidR="0093608A" w:rsidRPr="00E20A79" w:rsidRDefault="0093608A" w:rsidP="00E20A79">
            <w:pPr>
              <w:rPr>
                <w:rFonts w:cs="Arial"/>
                <w:sz w:val="20"/>
                <w:szCs w:val="20"/>
              </w:rPr>
            </w:pPr>
            <w:r w:rsidRPr="00E20A79">
              <w:rPr>
                <w:rFonts w:cs="Arial"/>
                <w:sz w:val="20"/>
                <w:szCs w:val="20"/>
              </w:rPr>
              <w:t>Divergência sobre a velocidade e profundidade da transformação digital e sobre o papel regulatório versus estratégico da sustentabilidade.</w:t>
            </w:r>
          </w:p>
        </w:tc>
      </w:tr>
    </w:tbl>
    <w:p w14:paraId="22290B78" w14:textId="77777777" w:rsidR="0093608A" w:rsidRPr="00E20A79" w:rsidRDefault="0093608A" w:rsidP="00E20A79">
      <w:pPr>
        <w:spacing w:after="0" w:line="240" w:lineRule="auto"/>
        <w:rPr>
          <w:rFonts w:cs="Arial"/>
          <w:sz w:val="20"/>
          <w:szCs w:val="20"/>
        </w:rPr>
      </w:pPr>
      <w:r w:rsidRPr="00E20A79">
        <w:rPr>
          <w:rFonts w:cs="Arial"/>
          <w:b/>
          <w:bCs/>
          <w:sz w:val="20"/>
          <w:szCs w:val="20"/>
        </w:rPr>
        <w:t>Fonte:</w:t>
      </w:r>
      <w:r w:rsidRPr="00E20A79">
        <w:rPr>
          <w:rFonts w:cs="Arial"/>
          <w:sz w:val="20"/>
          <w:szCs w:val="20"/>
        </w:rPr>
        <w:t xml:space="preserve"> Elaborado pelos autores.</w:t>
      </w:r>
    </w:p>
    <w:p w14:paraId="1BA9BC88" w14:textId="77777777" w:rsidR="0093608A" w:rsidRPr="0093608A" w:rsidRDefault="0093608A" w:rsidP="00E20A79">
      <w:pPr>
        <w:spacing w:after="0" w:line="240" w:lineRule="auto"/>
        <w:rPr>
          <w:rFonts w:cs="Arial"/>
          <w:szCs w:val="24"/>
        </w:rPr>
      </w:pPr>
    </w:p>
    <w:p w14:paraId="59B28140" w14:textId="77777777" w:rsidR="0093608A" w:rsidRPr="0093608A" w:rsidRDefault="0093608A" w:rsidP="00E20A79">
      <w:pPr>
        <w:spacing w:after="0" w:line="240" w:lineRule="auto"/>
        <w:ind w:firstLine="709"/>
        <w:jc w:val="both"/>
        <w:rPr>
          <w:rFonts w:cs="Arial"/>
          <w:szCs w:val="24"/>
        </w:rPr>
      </w:pPr>
      <w:r w:rsidRPr="0093608A">
        <w:rPr>
          <w:rFonts w:cs="Arial"/>
          <w:szCs w:val="24"/>
        </w:rPr>
        <w:t>6.1 Análise Geral da Discussão</w:t>
      </w:r>
    </w:p>
    <w:p w14:paraId="301557E8" w14:textId="77777777" w:rsidR="0093608A" w:rsidRPr="0093608A" w:rsidRDefault="0093608A" w:rsidP="00E20A79">
      <w:pPr>
        <w:spacing w:after="0" w:line="240" w:lineRule="auto"/>
        <w:ind w:firstLine="709"/>
        <w:jc w:val="both"/>
        <w:rPr>
          <w:rFonts w:cs="Arial"/>
          <w:szCs w:val="24"/>
        </w:rPr>
      </w:pPr>
    </w:p>
    <w:p w14:paraId="3DDA2916" w14:textId="77777777" w:rsidR="0093608A" w:rsidRPr="0093608A" w:rsidRDefault="0093608A" w:rsidP="00E20A79">
      <w:pPr>
        <w:spacing w:after="0" w:line="240" w:lineRule="auto"/>
        <w:ind w:firstLine="709"/>
        <w:jc w:val="both"/>
        <w:rPr>
          <w:rFonts w:cs="Arial"/>
          <w:szCs w:val="24"/>
        </w:rPr>
      </w:pPr>
      <w:r w:rsidRPr="0093608A">
        <w:rPr>
          <w:rFonts w:cs="Arial"/>
          <w:szCs w:val="24"/>
        </w:rPr>
        <w:t>A síntese apresentada revela que a literatura sobre estratégia organizacional e inovação consolidou um corpo teórico sólido, mas ainda permeado por tensões epistemológicas.</w:t>
      </w:r>
    </w:p>
    <w:p w14:paraId="7567079B" w14:textId="77777777" w:rsidR="0093608A" w:rsidRPr="0093608A" w:rsidRDefault="0093608A" w:rsidP="00E20A79">
      <w:pPr>
        <w:pStyle w:val="PargrafodaLista"/>
        <w:numPr>
          <w:ilvl w:val="0"/>
          <w:numId w:val="23"/>
        </w:numPr>
        <w:spacing w:after="0" w:line="240" w:lineRule="auto"/>
        <w:jc w:val="both"/>
        <w:rPr>
          <w:rFonts w:cs="Arial"/>
          <w:szCs w:val="24"/>
        </w:rPr>
      </w:pPr>
      <w:r w:rsidRPr="0093608A">
        <w:rPr>
          <w:rFonts w:cs="Arial"/>
          <w:szCs w:val="24"/>
        </w:rPr>
        <w:lastRenderedPageBreak/>
        <w:t xml:space="preserve">Capacidades dinâmicas constituem o núcleo explicativo da adaptação estratégica. Há consenso de que elas representam a base da inovação contínua, mas permanece a divergência entre a visão </w:t>
      </w:r>
      <w:proofErr w:type="gramStart"/>
      <w:r w:rsidRPr="0093608A">
        <w:rPr>
          <w:rFonts w:cs="Arial"/>
          <w:szCs w:val="24"/>
        </w:rPr>
        <w:t>idiossincrática</w:t>
      </w:r>
      <w:proofErr w:type="gramEnd"/>
      <w:r w:rsidRPr="0093608A">
        <w:rPr>
          <w:rFonts w:cs="Arial"/>
          <w:szCs w:val="24"/>
        </w:rPr>
        <w:t xml:space="preserve"> (cada organização desenvolve capacidades únicas) e a visão padronizada (conjunto de práticas replicáveis).</w:t>
      </w:r>
    </w:p>
    <w:p w14:paraId="0C9BC49D" w14:textId="77777777" w:rsidR="0093608A" w:rsidRPr="0093608A" w:rsidRDefault="0093608A" w:rsidP="00E20A79">
      <w:pPr>
        <w:pStyle w:val="PargrafodaLista"/>
        <w:numPr>
          <w:ilvl w:val="0"/>
          <w:numId w:val="23"/>
        </w:numPr>
        <w:spacing w:after="0" w:line="240" w:lineRule="auto"/>
        <w:jc w:val="both"/>
        <w:rPr>
          <w:rFonts w:cs="Arial"/>
          <w:szCs w:val="24"/>
        </w:rPr>
      </w:pPr>
      <w:r w:rsidRPr="0093608A">
        <w:rPr>
          <w:rFonts w:cs="Arial"/>
          <w:szCs w:val="24"/>
        </w:rPr>
        <w:t>Sustentabilidade competitiva evoluiu de uma perspectiva periférica para tornar-se eixo central da estratégia. Os estudos convergem ao reconhecer a sustentabilidade como vetor essencial da legitimidade empresarial, embora a literatura divida-se entre a abordagem instrumental (voltada ao ganho competitivo) e a abordagem normativa (voltada à ética e responsabilidade social).</w:t>
      </w:r>
    </w:p>
    <w:p w14:paraId="4ED285E3" w14:textId="77777777" w:rsidR="0093608A" w:rsidRPr="0093608A" w:rsidRDefault="0093608A" w:rsidP="00E20A79">
      <w:pPr>
        <w:pStyle w:val="PargrafodaLista"/>
        <w:numPr>
          <w:ilvl w:val="0"/>
          <w:numId w:val="23"/>
        </w:numPr>
        <w:spacing w:after="0" w:line="240" w:lineRule="auto"/>
        <w:jc w:val="both"/>
        <w:rPr>
          <w:rFonts w:cs="Arial"/>
          <w:szCs w:val="24"/>
        </w:rPr>
      </w:pPr>
      <w:r w:rsidRPr="0093608A">
        <w:rPr>
          <w:rFonts w:cs="Arial"/>
          <w:szCs w:val="24"/>
        </w:rPr>
        <w:t>Modelos de negócio adaptativos são unanimemente reconhecidos como fundamentais em ambientes digitais e globalizados. Contudo, persiste o debate sobre o grau de abertura: se devem manter fronteiras organizacionais rígidas ou se devem operar em ecossistemas colaborativos mais amplos.</w:t>
      </w:r>
    </w:p>
    <w:p w14:paraId="7D6740E9" w14:textId="77777777" w:rsidR="0093608A" w:rsidRPr="0093608A" w:rsidRDefault="0093608A" w:rsidP="00E20A79">
      <w:pPr>
        <w:pStyle w:val="PargrafodaLista"/>
        <w:numPr>
          <w:ilvl w:val="0"/>
          <w:numId w:val="23"/>
        </w:numPr>
        <w:spacing w:after="0" w:line="240" w:lineRule="auto"/>
        <w:jc w:val="both"/>
        <w:rPr>
          <w:rFonts w:cs="Arial"/>
          <w:szCs w:val="24"/>
        </w:rPr>
      </w:pPr>
      <w:r w:rsidRPr="0093608A">
        <w:rPr>
          <w:rFonts w:cs="Arial"/>
          <w:szCs w:val="24"/>
        </w:rPr>
        <w:t>Perspectivas emergentes como a transformação digital, ecossistemas de inovação e governança adaptativa demonstram que o campo está em transição. A literatura converge ao apontar que tais dimensões redefinem a estratégia contemporânea, mas diverge quanto à intensidade, profundidade e velocidade com que tais mudanças devem ser implementadas pelas organizações.</w:t>
      </w:r>
    </w:p>
    <w:p w14:paraId="7D32169D" w14:textId="77777777" w:rsidR="0093608A" w:rsidRPr="00300B9F" w:rsidRDefault="0093608A" w:rsidP="00300B9F">
      <w:pPr>
        <w:spacing w:after="0" w:line="240" w:lineRule="auto"/>
        <w:jc w:val="both"/>
        <w:rPr>
          <w:rFonts w:cs="Arial"/>
          <w:szCs w:val="24"/>
        </w:rPr>
      </w:pPr>
    </w:p>
    <w:p w14:paraId="44243D77" w14:textId="1B1D72A3" w:rsidR="00300B9F" w:rsidRPr="007F21FE" w:rsidRDefault="00F76614" w:rsidP="00300B9F">
      <w:pPr>
        <w:spacing w:after="0" w:line="240" w:lineRule="auto"/>
        <w:ind w:firstLine="709"/>
        <w:jc w:val="both"/>
        <w:rPr>
          <w:rFonts w:ascii="Segoe UI" w:hAnsi="Segoe UI" w:cs="Segoe UI"/>
          <w:sz w:val="21"/>
          <w:szCs w:val="21"/>
          <w:shd w:val="clear" w:color="auto" w:fill="FFFFFF"/>
        </w:rPr>
      </w:pPr>
      <w:r w:rsidRPr="007F21FE">
        <w:rPr>
          <w:rFonts w:cs="Arial"/>
          <w:szCs w:val="24"/>
          <w:shd w:val="clear" w:color="auto" w:fill="FFFFFF"/>
        </w:rPr>
        <w:t>Partindo de uma visão de integração dos conceitos, a</w:t>
      </w:r>
      <w:r w:rsidR="00300B9F" w:rsidRPr="007F21FE">
        <w:rPr>
          <w:rFonts w:cs="Arial"/>
          <w:szCs w:val="24"/>
          <w:shd w:val="clear" w:color="auto" w:fill="FFFFFF"/>
        </w:rPr>
        <w:t xml:space="preserve"> integração entre capacidades dinâmicas, sustentabilidade competitiva e modelos de negócio adaptativos é essencial para a formulação de uma nova metanarrativa estratégica. A inovação deve ser compreendida como a essência da estratégia organizacional em ambientes complexos e incertos, onde a capacidade de adaptação e evolução contínua é fundamental para a sobrevivência e o sucesso das organizações.</w:t>
      </w:r>
    </w:p>
    <w:p w14:paraId="32FFCB7A" w14:textId="238F1BA5" w:rsidR="00300B9F" w:rsidRPr="007F21FE" w:rsidRDefault="00300B9F" w:rsidP="00300B9F">
      <w:pPr>
        <w:spacing w:after="0" w:line="240" w:lineRule="auto"/>
        <w:ind w:firstLine="709"/>
        <w:jc w:val="both"/>
        <w:rPr>
          <w:rFonts w:cs="Arial"/>
          <w:szCs w:val="24"/>
          <w:shd w:val="clear" w:color="auto" w:fill="FFFFFF"/>
        </w:rPr>
      </w:pPr>
      <w:r w:rsidRPr="007F21FE">
        <w:rPr>
          <w:rFonts w:cs="Arial"/>
          <w:szCs w:val="24"/>
          <w:shd w:val="clear" w:color="auto" w:fill="FFFFFF"/>
        </w:rPr>
        <w:t xml:space="preserve">As divergências epistemológicas na literatura, como a visão </w:t>
      </w:r>
      <w:proofErr w:type="gramStart"/>
      <w:r w:rsidRPr="007F21FE">
        <w:rPr>
          <w:rFonts w:cs="Arial"/>
          <w:szCs w:val="24"/>
          <w:shd w:val="clear" w:color="auto" w:fill="FFFFFF"/>
        </w:rPr>
        <w:t>idiossincrática</w:t>
      </w:r>
      <w:proofErr w:type="gramEnd"/>
      <w:r w:rsidRPr="007F21FE">
        <w:rPr>
          <w:rFonts w:cs="Arial"/>
          <w:szCs w:val="24"/>
          <w:shd w:val="clear" w:color="auto" w:fill="FFFFFF"/>
        </w:rPr>
        <w:t xml:space="preserve"> versus padronizada das capacidades dinâmicas e a abordagem instrumental versus normativa da sustentabilidade, impactam significativamente a formulação e implementação da estratégia organizacional. Essas divergências devem ser abordadas de maneira crítica, reconhecendo que diferentes perspectivas podem oferecer insights valiosos para a construção de estratégias mais robustas e adaptativas.</w:t>
      </w:r>
    </w:p>
    <w:p w14:paraId="4991C65B" w14:textId="007A316B" w:rsidR="00300B9F" w:rsidRPr="007F21FE" w:rsidRDefault="00300B9F" w:rsidP="00300B9F">
      <w:pPr>
        <w:spacing w:after="0" w:line="240" w:lineRule="auto"/>
        <w:ind w:firstLine="709"/>
        <w:jc w:val="both"/>
        <w:rPr>
          <w:rFonts w:cs="Arial"/>
          <w:szCs w:val="24"/>
        </w:rPr>
      </w:pPr>
      <w:r w:rsidRPr="007F21FE">
        <w:rPr>
          <w:rFonts w:cs="Arial"/>
          <w:szCs w:val="24"/>
          <w:shd w:val="clear" w:color="auto" w:fill="FFFFFF"/>
        </w:rPr>
        <w:t>As perspectivas emergentes, como transformação digital e ecossistemas de inovação, estão redefinindo a estratégia contemporânea. As organizações precisam adotar práticas de governança adaptativa para responder às pressões de stakeholders e às mudanças rápidas do ambiente competitivo. A integração dessas tendências na estratégia organizacional é crucial para garantir a relevância e a sustentabilidade a longo prazo.</w:t>
      </w:r>
    </w:p>
    <w:p w14:paraId="059A7B80" w14:textId="77777777" w:rsidR="0093608A" w:rsidRPr="0093608A" w:rsidRDefault="0093608A" w:rsidP="00E20A79">
      <w:pPr>
        <w:spacing w:after="0" w:line="240" w:lineRule="auto"/>
        <w:ind w:firstLine="709"/>
        <w:jc w:val="both"/>
        <w:rPr>
          <w:rFonts w:cs="Arial"/>
          <w:szCs w:val="24"/>
        </w:rPr>
      </w:pPr>
      <w:r w:rsidRPr="00300B9F">
        <w:rPr>
          <w:rFonts w:cs="Arial"/>
          <w:szCs w:val="24"/>
        </w:rPr>
        <w:t>Em conjunto, os achados indicam que a epistemologia da estratégia</w:t>
      </w:r>
      <w:r w:rsidRPr="0093608A">
        <w:rPr>
          <w:rFonts w:cs="Arial"/>
          <w:szCs w:val="24"/>
        </w:rPr>
        <w:t xml:space="preserve"> organizacional no século XXI não pode mais ser compreendida de forma fragmentada. Pelo contrário, a integração entre capacidades dinâmicas, sustentabilidade competitiva e modelos de negócio adaptativos configura uma nova metanarrativa estratégica, em que a inovação deixa de ser mera ferramenta e passa a constituir o próprio fundamento da sobrevivência e evolução organizacional em contextos complexos e incertos.</w:t>
      </w:r>
    </w:p>
    <w:p w14:paraId="128097B9" w14:textId="77777777" w:rsidR="0093608A" w:rsidRPr="0093608A" w:rsidRDefault="0093608A" w:rsidP="00E20A79">
      <w:pPr>
        <w:spacing w:after="0" w:line="240" w:lineRule="auto"/>
        <w:rPr>
          <w:rFonts w:cs="Arial"/>
          <w:szCs w:val="24"/>
        </w:rPr>
      </w:pPr>
    </w:p>
    <w:p w14:paraId="6A494CDA" w14:textId="77777777" w:rsidR="0093608A" w:rsidRPr="0093608A" w:rsidRDefault="0093608A" w:rsidP="00E20A79">
      <w:pPr>
        <w:spacing w:after="0" w:line="240" w:lineRule="auto"/>
        <w:jc w:val="both"/>
        <w:rPr>
          <w:rFonts w:cs="Arial"/>
          <w:b/>
          <w:bCs/>
          <w:szCs w:val="24"/>
        </w:rPr>
      </w:pPr>
      <w:r w:rsidRPr="0093608A">
        <w:rPr>
          <w:rFonts w:cs="Arial"/>
          <w:b/>
          <w:bCs/>
          <w:szCs w:val="24"/>
        </w:rPr>
        <w:t>7. CONSIDERAÇÕES FINAIS</w:t>
      </w:r>
    </w:p>
    <w:p w14:paraId="19162D53" w14:textId="77777777" w:rsidR="0093608A" w:rsidRPr="0093608A" w:rsidRDefault="0093608A" w:rsidP="00E20A79">
      <w:pPr>
        <w:spacing w:after="0" w:line="240" w:lineRule="auto"/>
        <w:ind w:firstLine="709"/>
        <w:jc w:val="both"/>
        <w:rPr>
          <w:rFonts w:cs="Arial"/>
          <w:szCs w:val="24"/>
        </w:rPr>
      </w:pPr>
    </w:p>
    <w:p w14:paraId="02D592BC" w14:textId="77777777" w:rsidR="0093608A" w:rsidRPr="0093608A" w:rsidRDefault="0093608A" w:rsidP="00E20A79">
      <w:pPr>
        <w:spacing w:after="0" w:line="240" w:lineRule="auto"/>
        <w:ind w:firstLine="709"/>
        <w:jc w:val="both"/>
        <w:rPr>
          <w:rFonts w:cs="Arial"/>
          <w:szCs w:val="24"/>
        </w:rPr>
      </w:pPr>
      <w:r w:rsidRPr="0093608A">
        <w:rPr>
          <w:rFonts w:cs="Arial"/>
          <w:szCs w:val="24"/>
        </w:rPr>
        <w:t>O presente artigo teve como objetivo realizar uma revisão epistemológica da literatura sobre as interseções entre capacidades dinâmicas, inovação estratégica, sustentabilidade competitiva e complexidade dos modelos de negócio, situando tais construtos no contexto contemporâneo marcado pela globalização e pela transformação digital.</w:t>
      </w:r>
    </w:p>
    <w:p w14:paraId="566AF802" w14:textId="2A8D205D" w:rsidR="0093608A" w:rsidRPr="0093608A" w:rsidRDefault="0093608A" w:rsidP="00E20A79">
      <w:pPr>
        <w:spacing w:after="0" w:line="240" w:lineRule="auto"/>
        <w:ind w:firstLine="709"/>
        <w:jc w:val="both"/>
        <w:rPr>
          <w:rFonts w:cs="Arial"/>
          <w:szCs w:val="24"/>
        </w:rPr>
      </w:pPr>
      <w:r w:rsidRPr="0093608A">
        <w:rPr>
          <w:rFonts w:cs="Arial"/>
          <w:szCs w:val="24"/>
        </w:rPr>
        <w:t>A análise evidenciou que a literatura sobre capacidades dinâmicas (</w:t>
      </w:r>
      <w:proofErr w:type="spellStart"/>
      <w:r w:rsidRPr="0093608A">
        <w:rPr>
          <w:rFonts w:cs="Arial"/>
          <w:szCs w:val="24"/>
        </w:rPr>
        <w:t>T</w:t>
      </w:r>
      <w:r w:rsidR="0097416A">
        <w:rPr>
          <w:rFonts w:cs="Arial"/>
          <w:szCs w:val="24"/>
        </w:rPr>
        <w:t>eece</w:t>
      </w:r>
      <w:proofErr w:type="spellEnd"/>
      <w:r w:rsidRPr="0093608A">
        <w:rPr>
          <w:rFonts w:cs="Arial"/>
          <w:szCs w:val="24"/>
        </w:rPr>
        <w:t xml:space="preserve">; </w:t>
      </w:r>
      <w:proofErr w:type="spellStart"/>
      <w:r w:rsidRPr="0093608A">
        <w:rPr>
          <w:rFonts w:cs="Arial"/>
          <w:szCs w:val="24"/>
        </w:rPr>
        <w:t>P</w:t>
      </w:r>
      <w:r w:rsidR="0097416A">
        <w:rPr>
          <w:rFonts w:cs="Arial"/>
          <w:szCs w:val="24"/>
        </w:rPr>
        <w:t>isano</w:t>
      </w:r>
      <w:proofErr w:type="spellEnd"/>
      <w:r w:rsidRPr="0093608A">
        <w:rPr>
          <w:rFonts w:cs="Arial"/>
          <w:szCs w:val="24"/>
        </w:rPr>
        <w:t xml:space="preserve">; </w:t>
      </w:r>
      <w:proofErr w:type="spellStart"/>
      <w:r w:rsidRPr="0093608A">
        <w:rPr>
          <w:rFonts w:cs="Arial"/>
          <w:szCs w:val="24"/>
        </w:rPr>
        <w:t>S</w:t>
      </w:r>
      <w:r w:rsidR="0097416A">
        <w:rPr>
          <w:rFonts w:cs="Arial"/>
          <w:szCs w:val="24"/>
        </w:rPr>
        <w:t>huen</w:t>
      </w:r>
      <w:proofErr w:type="spellEnd"/>
      <w:r w:rsidRPr="0093608A">
        <w:rPr>
          <w:rFonts w:cs="Arial"/>
          <w:szCs w:val="24"/>
        </w:rPr>
        <w:t xml:space="preserve">, 1997; </w:t>
      </w:r>
      <w:proofErr w:type="spellStart"/>
      <w:r w:rsidR="0097416A">
        <w:rPr>
          <w:rFonts w:cs="Arial"/>
          <w:szCs w:val="24"/>
        </w:rPr>
        <w:t>Eisen</w:t>
      </w:r>
      <w:r w:rsidR="00F141EF">
        <w:rPr>
          <w:rFonts w:cs="Arial"/>
          <w:szCs w:val="24"/>
        </w:rPr>
        <w:t>hardt</w:t>
      </w:r>
      <w:proofErr w:type="spellEnd"/>
      <w:r w:rsidRPr="0093608A">
        <w:rPr>
          <w:rFonts w:cs="Arial"/>
          <w:szCs w:val="24"/>
        </w:rPr>
        <w:t>; M</w:t>
      </w:r>
      <w:r w:rsidR="00F141EF">
        <w:rPr>
          <w:rFonts w:cs="Arial"/>
          <w:szCs w:val="24"/>
        </w:rPr>
        <w:t>artin</w:t>
      </w:r>
      <w:r w:rsidRPr="0093608A">
        <w:rPr>
          <w:rFonts w:cs="Arial"/>
          <w:szCs w:val="24"/>
        </w:rPr>
        <w:t xml:space="preserve">, 2000; </w:t>
      </w:r>
      <w:proofErr w:type="spellStart"/>
      <w:r w:rsidRPr="0093608A">
        <w:rPr>
          <w:rFonts w:cs="Arial"/>
          <w:szCs w:val="24"/>
        </w:rPr>
        <w:t>T</w:t>
      </w:r>
      <w:r w:rsidR="00F141EF">
        <w:rPr>
          <w:rFonts w:cs="Arial"/>
          <w:szCs w:val="24"/>
        </w:rPr>
        <w:t>eece</w:t>
      </w:r>
      <w:proofErr w:type="spellEnd"/>
      <w:r w:rsidRPr="0093608A">
        <w:rPr>
          <w:rFonts w:cs="Arial"/>
          <w:szCs w:val="24"/>
        </w:rPr>
        <w:t>, 2007) consolidou um paradigma processual e adaptativo, no qual a sobrevivência das organizações depende de sua habilidade em reconfigurar recursos e competências em resposta a ambientes voláteis. Essa perspectiva desloca a compreensão da estratégia de uma lógica estática de recursos para uma visão evolutiva, baseada em aprendizagem organizacional e inovação contínua.</w:t>
      </w:r>
    </w:p>
    <w:p w14:paraId="60B94A08" w14:textId="1502B07A" w:rsidR="0093608A" w:rsidRPr="0093608A" w:rsidRDefault="0093608A" w:rsidP="00E20A79">
      <w:pPr>
        <w:spacing w:after="0" w:line="240" w:lineRule="auto"/>
        <w:ind w:firstLine="709"/>
        <w:jc w:val="both"/>
        <w:rPr>
          <w:rFonts w:cs="Arial"/>
          <w:szCs w:val="24"/>
        </w:rPr>
      </w:pPr>
      <w:r w:rsidRPr="0093608A">
        <w:rPr>
          <w:rFonts w:cs="Arial"/>
          <w:szCs w:val="24"/>
        </w:rPr>
        <w:t>No campo da sustentabilidade competitiva, constatou-se a transição de um modelo instrumental, voltado ao desempenho econômico, para uma abordagem ampliada que incorpora dimensões sociais e ambientais (</w:t>
      </w:r>
      <w:proofErr w:type="spellStart"/>
      <w:r w:rsidR="0045266B">
        <w:rPr>
          <w:rFonts w:cs="Arial"/>
          <w:szCs w:val="24"/>
        </w:rPr>
        <w:t>Elkington</w:t>
      </w:r>
      <w:proofErr w:type="spellEnd"/>
      <w:r w:rsidRPr="0093608A">
        <w:rPr>
          <w:rFonts w:cs="Arial"/>
          <w:szCs w:val="24"/>
        </w:rPr>
        <w:t>, 1998; P</w:t>
      </w:r>
      <w:r w:rsidR="0045266B">
        <w:rPr>
          <w:rFonts w:cs="Arial"/>
          <w:szCs w:val="24"/>
        </w:rPr>
        <w:t>orter</w:t>
      </w:r>
      <w:r w:rsidRPr="0093608A">
        <w:rPr>
          <w:rFonts w:cs="Arial"/>
          <w:szCs w:val="24"/>
        </w:rPr>
        <w:t>; K</w:t>
      </w:r>
      <w:r w:rsidR="0045266B">
        <w:rPr>
          <w:rFonts w:cs="Arial"/>
          <w:szCs w:val="24"/>
        </w:rPr>
        <w:t>ramer</w:t>
      </w:r>
      <w:r w:rsidRPr="0093608A">
        <w:rPr>
          <w:rFonts w:cs="Arial"/>
          <w:szCs w:val="24"/>
        </w:rPr>
        <w:t xml:space="preserve">, 2006; </w:t>
      </w:r>
      <w:proofErr w:type="spellStart"/>
      <w:r w:rsidR="0045266B">
        <w:rPr>
          <w:rFonts w:cs="Arial"/>
          <w:szCs w:val="24"/>
        </w:rPr>
        <w:t>Dyllick</w:t>
      </w:r>
      <w:proofErr w:type="spellEnd"/>
      <w:r w:rsidRPr="0093608A">
        <w:rPr>
          <w:rFonts w:cs="Arial"/>
          <w:szCs w:val="24"/>
        </w:rPr>
        <w:t xml:space="preserve">; </w:t>
      </w:r>
      <w:proofErr w:type="spellStart"/>
      <w:r w:rsidRPr="0093608A">
        <w:rPr>
          <w:rFonts w:cs="Arial"/>
          <w:szCs w:val="24"/>
        </w:rPr>
        <w:t>M</w:t>
      </w:r>
      <w:r w:rsidR="0045266B">
        <w:rPr>
          <w:rFonts w:cs="Arial"/>
          <w:szCs w:val="24"/>
        </w:rPr>
        <w:t>uff</w:t>
      </w:r>
      <w:proofErr w:type="spellEnd"/>
      <w:r w:rsidRPr="0093608A">
        <w:rPr>
          <w:rFonts w:cs="Arial"/>
          <w:szCs w:val="24"/>
        </w:rPr>
        <w:t>, 2016). Ainda que haja divergências epistemológicas quanto à centralidade normativa ou estratégica da sustentabilidade, há consenso de que ela constitui vetor estruturante da legitimidade e da competitividade organizacional no século XXI.</w:t>
      </w:r>
    </w:p>
    <w:p w14:paraId="3F59F590" w14:textId="77777777" w:rsidR="0093608A" w:rsidRPr="0093608A" w:rsidRDefault="0093608A" w:rsidP="00E20A79">
      <w:pPr>
        <w:spacing w:after="0" w:line="240" w:lineRule="auto"/>
        <w:ind w:firstLine="709"/>
        <w:jc w:val="both"/>
        <w:rPr>
          <w:rFonts w:cs="Arial"/>
          <w:szCs w:val="24"/>
        </w:rPr>
      </w:pPr>
      <w:r w:rsidRPr="0093608A">
        <w:rPr>
          <w:rFonts w:cs="Arial"/>
          <w:szCs w:val="24"/>
        </w:rPr>
        <w:t xml:space="preserve">Quanto aos modelos de negócio adaptativos, a literatura indica um movimento de crescente abertura e complexidade. As contribuições de </w:t>
      </w:r>
      <w:proofErr w:type="spellStart"/>
      <w:r w:rsidRPr="0093608A">
        <w:rPr>
          <w:rFonts w:cs="Arial"/>
          <w:szCs w:val="24"/>
        </w:rPr>
        <w:t>Osterwalder</w:t>
      </w:r>
      <w:proofErr w:type="spellEnd"/>
      <w:r w:rsidRPr="0093608A">
        <w:rPr>
          <w:rFonts w:cs="Arial"/>
          <w:szCs w:val="24"/>
        </w:rPr>
        <w:t xml:space="preserve"> e </w:t>
      </w:r>
      <w:proofErr w:type="spellStart"/>
      <w:r w:rsidRPr="0093608A">
        <w:rPr>
          <w:rFonts w:cs="Arial"/>
          <w:szCs w:val="24"/>
        </w:rPr>
        <w:t>Pigneur</w:t>
      </w:r>
      <w:proofErr w:type="spellEnd"/>
      <w:r w:rsidRPr="0093608A">
        <w:rPr>
          <w:rFonts w:cs="Arial"/>
          <w:szCs w:val="24"/>
        </w:rPr>
        <w:t xml:space="preserve"> (2010) e </w:t>
      </w:r>
      <w:proofErr w:type="spellStart"/>
      <w:r w:rsidRPr="0093608A">
        <w:rPr>
          <w:rFonts w:cs="Arial"/>
          <w:szCs w:val="24"/>
        </w:rPr>
        <w:t>Chesbrough</w:t>
      </w:r>
      <w:proofErr w:type="spellEnd"/>
      <w:r w:rsidRPr="0093608A">
        <w:rPr>
          <w:rFonts w:cs="Arial"/>
          <w:szCs w:val="24"/>
        </w:rPr>
        <w:t xml:space="preserve"> (2010) reforçam a importância de estruturas flexíveis, capazes de responder a disrupções tecnológicas, enquanto </w:t>
      </w:r>
      <w:proofErr w:type="spellStart"/>
      <w:r w:rsidRPr="0093608A">
        <w:rPr>
          <w:rFonts w:cs="Arial"/>
          <w:szCs w:val="24"/>
        </w:rPr>
        <w:t>Amit</w:t>
      </w:r>
      <w:proofErr w:type="spellEnd"/>
      <w:r w:rsidRPr="0093608A">
        <w:rPr>
          <w:rFonts w:cs="Arial"/>
          <w:szCs w:val="24"/>
        </w:rPr>
        <w:t xml:space="preserve"> e </w:t>
      </w:r>
      <w:proofErr w:type="spellStart"/>
      <w:r w:rsidRPr="0093608A">
        <w:rPr>
          <w:rFonts w:cs="Arial"/>
          <w:szCs w:val="24"/>
        </w:rPr>
        <w:t>Zott</w:t>
      </w:r>
      <w:proofErr w:type="spellEnd"/>
      <w:r w:rsidRPr="0093608A">
        <w:rPr>
          <w:rFonts w:cs="Arial"/>
          <w:szCs w:val="24"/>
        </w:rPr>
        <w:t xml:space="preserve"> (2012) e </w:t>
      </w:r>
      <w:proofErr w:type="spellStart"/>
      <w:r w:rsidRPr="0093608A">
        <w:rPr>
          <w:rFonts w:cs="Arial"/>
          <w:szCs w:val="24"/>
        </w:rPr>
        <w:t>Doz</w:t>
      </w:r>
      <w:proofErr w:type="spellEnd"/>
      <w:r w:rsidRPr="0093608A">
        <w:rPr>
          <w:rFonts w:cs="Arial"/>
          <w:szCs w:val="24"/>
        </w:rPr>
        <w:t xml:space="preserve"> e </w:t>
      </w:r>
      <w:proofErr w:type="spellStart"/>
      <w:r w:rsidRPr="0093608A">
        <w:rPr>
          <w:rFonts w:cs="Arial"/>
          <w:szCs w:val="24"/>
        </w:rPr>
        <w:t>Kosonen</w:t>
      </w:r>
      <w:proofErr w:type="spellEnd"/>
      <w:r w:rsidRPr="0093608A">
        <w:rPr>
          <w:rFonts w:cs="Arial"/>
          <w:szCs w:val="24"/>
        </w:rPr>
        <w:t xml:space="preserve"> (2010) destacam a necessidade de agilidade estratégica em ecossistemas colaborativos. Esse eixo aponta para a compreensão dos modelos de negócio como sistemas vivos, interdependentes e sujeitos a retroalimentações constantes.</w:t>
      </w:r>
    </w:p>
    <w:p w14:paraId="792E7B49" w14:textId="56554015" w:rsidR="0093608A" w:rsidRPr="0093608A" w:rsidRDefault="0093608A" w:rsidP="00E20A79">
      <w:pPr>
        <w:spacing w:after="0" w:line="240" w:lineRule="auto"/>
        <w:ind w:firstLine="709"/>
        <w:jc w:val="both"/>
        <w:rPr>
          <w:rFonts w:cs="Arial"/>
          <w:szCs w:val="24"/>
        </w:rPr>
      </w:pPr>
      <w:r w:rsidRPr="0093608A">
        <w:rPr>
          <w:rFonts w:cs="Arial"/>
          <w:szCs w:val="24"/>
        </w:rPr>
        <w:t>As perspectivas emergentes destacam que a transformação digital (</w:t>
      </w:r>
      <w:proofErr w:type="spellStart"/>
      <w:r w:rsidRPr="0093608A">
        <w:rPr>
          <w:rFonts w:cs="Arial"/>
          <w:szCs w:val="24"/>
        </w:rPr>
        <w:t>B</w:t>
      </w:r>
      <w:r w:rsidR="0097416A">
        <w:rPr>
          <w:rFonts w:cs="Arial"/>
          <w:szCs w:val="24"/>
        </w:rPr>
        <w:t>haradwaj</w:t>
      </w:r>
      <w:proofErr w:type="spellEnd"/>
      <w:r w:rsidRPr="0093608A">
        <w:rPr>
          <w:rFonts w:cs="Arial"/>
          <w:szCs w:val="24"/>
        </w:rPr>
        <w:t xml:space="preserve"> et al., 2013; </w:t>
      </w:r>
      <w:proofErr w:type="spellStart"/>
      <w:r w:rsidRPr="0093608A">
        <w:rPr>
          <w:rFonts w:cs="Arial"/>
          <w:szCs w:val="24"/>
        </w:rPr>
        <w:t>V</w:t>
      </w:r>
      <w:r w:rsidR="0097416A">
        <w:rPr>
          <w:rFonts w:cs="Arial"/>
          <w:szCs w:val="24"/>
        </w:rPr>
        <w:t>ial</w:t>
      </w:r>
      <w:proofErr w:type="spellEnd"/>
      <w:r w:rsidRPr="0093608A">
        <w:rPr>
          <w:rFonts w:cs="Arial"/>
          <w:szCs w:val="24"/>
        </w:rPr>
        <w:t>, 2019), os ecossistemas de inovação (A</w:t>
      </w:r>
      <w:r w:rsidR="0097416A">
        <w:rPr>
          <w:rFonts w:cs="Arial"/>
          <w:szCs w:val="24"/>
        </w:rPr>
        <w:t>dner</w:t>
      </w:r>
      <w:r w:rsidRPr="0093608A">
        <w:rPr>
          <w:rFonts w:cs="Arial"/>
          <w:szCs w:val="24"/>
        </w:rPr>
        <w:t>, 2017) e a governança adaptativa (A</w:t>
      </w:r>
      <w:r w:rsidR="0097416A">
        <w:rPr>
          <w:rFonts w:cs="Arial"/>
          <w:szCs w:val="24"/>
        </w:rPr>
        <w:t>guilera</w:t>
      </w:r>
      <w:r w:rsidRPr="0093608A">
        <w:rPr>
          <w:rFonts w:cs="Arial"/>
          <w:szCs w:val="24"/>
        </w:rPr>
        <w:t xml:space="preserve"> et al., 2019) reconfiguram profundamente o campo da estratégia. Tais contribuições indicam que a inovação deve ser compreendida como metanarrativa, atravessando todas as dimensões da organização e constituindo o fundamento da sobrevivência em contextos de incerteza.</w:t>
      </w:r>
    </w:p>
    <w:p w14:paraId="073CA7E5" w14:textId="77777777" w:rsidR="0093608A" w:rsidRPr="0093608A" w:rsidRDefault="0093608A" w:rsidP="00E20A79">
      <w:pPr>
        <w:spacing w:after="0" w:line="240" w:lineRule="auto"/>
        <w:ind w:firstLine="709"/>
        <w:jc w:val="both"/>
        <w:rPr>
          <w:rFonts w:cs="Arial"/>
          <w:szCs w:val="24"/>
        </w:rPr>
      </w:pPr>
      <w:r w:rsidRPr="0093608A">
        <w:rPr>
          <w:rFonts w:cs="Arial"/>
          <w:szCs w:val="24"/>
        </w:rPr>
        <w:t>Do ponto de vista científico, esta revisão reforça a necessidade de integrar teorias e abordagens até então tratadas de forma fragmentada, consolidando um arcabouço epistemológico interdisciplinar para a estratégia organizacional. No campo prático, o estudo oferece subsídios para gestores compreenderem que a inovação estratégica não é apenas um diferencial competitivo, mas um imperativo estrutural para a sustentabilidade e a adaptação organizacional.</w:t>
      </w:r>
    </w:p>
    <w:p w14:paraId="3D019FC8" w14:textId="77777777" w:rsidR="0093608A" w:rsidRPr="0093608A" w:rsidRDefault="0093608A" w:rsidP="00E20A79">
      <w:pPr>
        <w:spacing w:after="0" w:line="240" w:lineRule="auto"/>
        <w:ind w:firstLine="709"/>
        <w:jc w:val="both"/>
        <w:rPr>
          <w:rFonts w:cs="Arial"/>
          <w:szCs w:val="24"/>
        </w:rPr>
      </w:pPr>
      <w:r w:rsidRPr="0093608A">
        <w:rPr>
          <w:rFonts w:cs="Arial"/>
          <w:szCs w:val="24"/>
        </w:rPr>
        <w:t>Reconhece-se como limitação do estudo a restrição às bases de dados selecionadas e aos idiomas definidos, o que pode ter excluído contribuições relevantes. Ainda assim, os achados permitem propor novas agendas de pesquisa, entre as quais destacam-se: (i) aprofundar a integração entre capacidades dinâmicas e sustentabilidade em cenários digitais disruptivos; (</w:t>
      </w:r>
      <w:proofErr w:type="spellStart"/>
      <w:r w:rsidRPr="0093608A">
        <w:rPr>
          <w:rFonts w:cs="Arial"/>
          <w:szCs w:val="24"/>
        </w:rPr>
        <w:t>ii</w:t>
      </w:r>
      <w:proofErr w:type="spellEnd"/>
      <w:r w:rsidRPr="0093608A">
        <w:rPr>
          <w:rFonts w:cs="Arial"/>
          <w:szCs w:val="24"/>
        </w:rPr>
        <w:t>) investigar empiricamente como organizações de diferentes setores constroem modelos de negócio adaptativos em ecossistemas colaborativos; e (</w:t>
      </w:r>
      <w:proofErr w:type="spellStart"/>
      <w:r w:rsidRPr="0093608A">
        <w:rPr>
          <w:rFonts w:cs="Arial"/>
          <w:szCs w:val="24"/>
        </w:rPr>
        <w:t>iii</w:t>
      </w:r>
      <w:proofErr w:type="spellEnd"/>
      <w:r w:rsidRPr="0093608A">
        <w:rPr>
          <w:rFonts w:cs="Arial"/>
          <w:szCs w:val="24"/>
        </w:rPr>
        <w:t>) explorar os impactos epistemológicos da digitalização sobre a formulação estratégica.</w:t>
      </w:r>
    </w:p>
    <w:p w14:paraId="025BA037" w14:textId="5C52C4E8" w:rsidR="0093608A" w:rsidRPr="0093608A" w:rsidRDefault="0093608A" w:rsidP="00E20A79">
      <w:pPr>
        <w:spacing w:after="0" w:line="240" w:lineRule="auto"/>
        <w:ind w:firstLine="709"/>
        <w:jc w:val="both"/>
        <w:rPr>
          <w:rFonts w:cs="Arial"/>
          <w:szCs w:val="24"/>
        </w:rPr>
      </w:pPr>
      <w:r w:rsidRPr="0093608A">
        <w:rPr>
          <w:rFonts w:cs="Arial"/>
          <w:szCs w:val="24"/>
        </w:rPr>
        <w:t xml:space="preserve">Conclui-se que a epistemologia da estratégia organizacional no século XXI demanda uma leitura integrativa, na qual capacidades dinâmicas, sustentabilidade competitiva e modelos de negócio adaptativos constituem dimensões </w:t>
      </w:r>
      <w:r w:rsidRPr="0093608A">
        <w:rPr>
          <w:rFonts w:cs="Arial"/>
          <w:szCs w:val="24"/>
        </w:rPr>
        <w:lastRenderedPageBreak/>
        <w:t>interdependentes. A inovação, nesse contexto, deve ser compreendida não como instrumento isolado, mas como a própria essência da estratégia organizacional em ambientes complexos, globais e digitalmente transformado</w:t>
      </w:r>
      <w:r w:rsidR="0045266B">
        <w:rPr>
          <w:rFonts w:cs="Arial"/>
          <w:szCs w:val="24"/>
        </w:rPr>
        <w:t>re</w:t>
      </w:r>
      <w:r w:rsidRPr="0093608A">
        <w:rPr>
          <w:rFonts w:cs="Arial"/>
          <w:szCs w:val="24"/>
        </w:rPr>
        <w:t>s.</w:t>
      </w:r>
    </w:p>
    <w:p w14:paraId="101E0851" w14:textId="77777777" w:rsidR="0093608A" w:rsidRDefault="0093608A" w:rsidP="00E20A79">
      <w:pPr>
        <w:spacing w:after="0" w:line="240" w:lineRule="auto"/>
        <w:rPr>
          <w:rFonts w:cs="Arial"/>
          <w:szCs w:val="24"/>
        </w:rPr>
      </w:pPr>
    </w:p>
    <w:p w14:paraId="6FC4DF7E" w14:textId="77777777" w:rsidR="00E20A79" w:rsidRPr="0093608A" w:rsidRDefault="00E20A79" w:rsidP="00E20A79">
      <w:pPr>
        <w:spacing w:after="0" w:line="240" w:lineRule="auto"/>
        <w:rPr>
          <w:rFonts w:cs="Arial"/>
          <w:szCs w:val="24"/>
        </w:rPr>
      </w:pPr>
    </w:p>
    <w:p w14:paraId="6B31D6F4" w14:textId="77777777" w:rsidR="0093608A" w:rsidRPr="0093608A" w:rsidRDefault="0093608A" w:rsidP="00E20A79">
      <w:pPr>
        <w:spacing w:after="0" w:line="240" w:lineRule="auto"/>
        <w:rPr>
          <w:rFonts w:cs="Arial"/>
          <w:b/>
          <w:bCs/>
          <w:szCs w:val="24"/>
          <w:lang w:val="en-US"/>
        </w:rPr>
      </w:pPr>
      <w:r w:rsidRPr="0093608A">
        <w:rPr>
          <w:rFonts w:cs="Arial"/>
          <w:b/>
          <w:bCs/>
          <w:szCs w:val="24"/>
          <w:lang w:val="en-US"/>
        </w:rPr>
        <w:t>8. REFERÊNCIAS</w:t>
      </w:r>
    </w:p>
    <w:p w14:paraId="72104314" w14:textId="77777777" w:rsidR="0093608A" w:rsidRPr="0093608A" w:rsidRDefault="0093608A" w:rsidP="00E20A79">
      <w:pPr>
        <w:spacing w:after="0" w:line="240" w:lineRule="auto"/>
        <w:rPr>
          <w:rFonts w:cs="Arial"/>
          <w:b/>
          <w:bCs/>
          <w:szCs w:val="24"/>
          <w:lang w:val="en-US"/>
        </w:rPr>
      </w:pPr>
    </w:p>
    <w:p w14:paraId="74EA3A97"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ADNER, Ron. Ecosystem as structure: An actionable construct for strategy. </w:t>
      </w:r>
      <w:r w:rsidRPr="0093608A">
        <w:rPr>
          <w:rFonts w:cs="Arial"/>
          <w:b/>
          <w:bCs/>
          <w:szCs w:val="24"/>
          <w:lang w:val="en-US"/>
        </w:rPr>
        <w:t>Journal of Management</w:t>
      </w:r>
      <w:r w:rsidRPr="0093608A">
        <w:rPr>
          <w:rFonts w:cs="Arial"/>
          <w:szCs w:val="24"/>
          <w:lang w:val="en-US"/>
        </w:rPr>
        <w:t xml:space="preserve">, v. 43, n. 1, p. 39-58, 2017. </w:t>
      </w:r>
      <w:proofErr w:type="spellStart"/>
      <w:r w:rsidRPr="0093608A">
        <w:rPr>
          <w:rFonts w:cs="Arial"/>
          <w:szCs w:val="24"/>
          <w:lang w:val="en-US"/>
        </w:rPr>
        <w:t>Disponível</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xml:space="preserve">: &lt; </w:t>
      </w:r>
      <w:hyperlink r:id="rId9" w:history="1">
        <w:r w:rsidRPr="0093608A">
          <w:rPr>
            <w:rStyle w:val="Hyperlink"/>
            <w:rFonts w:cs="Arial"/>
            <w:szCs w:val="24"/>
            <w:lang w:val="en-US"/>
          </w:rPr>
          <w:t>https://journals.sagepub.com/doi/abs/10.1177/0149206316678451</w:t>
        </w:r>
      </w:hyperlink>
      <w:r w:rsidRPr="0093608A">
        <w:rPr>
          <w:rFonts w:cs="Arial"/>
          <w:szCs w:val="24"/>
          <w:lang w:val="en-US"/>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15/06/2025.</w:t>
      </w:r>
    </w:p>
    <w:p w14:paraId="58D6BB73" w14:textId="77777777" w:rsidR="0093608A" w:rsidRPr="0093608A" w:rsidRDefault="0093608A" w:rsidP="00E20A79">
      <w:pPr>
        <w:spacing w:after="0" w:line="240" w:lineRule="auto"/>
        <w:jc w:val="both"/>
        <w:rPr>
          <w:rFonts w:cs="Arial"/>
          <w:szCs w:val="24"/>
          <w:lang w:val="en-US"/>
        </w:rPr>
      </w:pPr>
    </w:p>
    <w:p w14:paraId="40E209B6" w14:textId="77777777" w:rsidR="0093608A" w:rsidRPr="0093608A" w:rsidRDefault="0093608A" w:rsidP="00E20A79">
      <w:pPr>
        <w:spacing w:after="0" w:line="240" w:lineRule="auto"/>
        <w:jc w:val="both"/>
        <w:rPr>
          <w:rFonts w:cs="Arial"/>
          <w:szCs w:val="24"/>
        </w:rPr>
      </w:pPr>
      <w:r w:rsidRPr="0093608A">
        <w:rPr>
          <w:rFonts w:cs="Arial"/>
          <w:szCs w:val="24"/>
          <w:lang w:val="en-US"/>
        </w:rPr>
        <w:t>ADNER, Ron; HELFAT, Constance E. Corporate effects and dynamic managerial capabilities. </w:t>
      </w:r>
      <w:proofErr w:type="spellStart"/>
      <w:r w:rsidRPr="0093608A">
        <w:rPr>
          <w:rFonts w:cs="Arial"/>
          <w:b/>
          <w:bCs/>
          <w:szCs w:val="24"/>
        </w:rPr>
        <w:t>Strategic</w:t>
      </w:r>
      <w:proofErr w:type="spellEnd"/>
      <w:r w:rsidRPr="0093608A">
        <w:rPr>
          <w:rFonts w:cs="Arial"/>
          <w:b/>
          <w:bCs/>
          <w:szCs w:val="24"/>
        </w:rPr>
        <w:t xml:space="preserve"> Management </w:t>
      </w:r>
      <w:proofErr w:type="spellStart"/>
      <w:r w:rsidRPr="0093608A">
        <w:rPr>
          <w:rFonts w:cs="Arial"/>
          <w:b/>
          <w:bCs/>
          <w:szCs w:val="24"/>
        </w:rPr>
        <w:t>Journal</w:t>
      </w:r>
      <w:proofErr w:type="spellEnd"/>
      <w:r w:rsidRPr="0093608A">
        <w:rPr>
          <w:rFonts w:cs="Arial"/>
          <w:szCs w:val="24"/>
        </w:rPr>
        <w:t xml:space="preserve">, v. 24, n. 10, p. 1011-1025, 2003. Disponível em: &lt; </w:t>
      </w:r>
      <w:hyperlink r:id="rId10" w:history="1">
        <w:r w:rsidRPr="0093608A">
          <w:rPr>
            <w:rStyle w:val="Hyperlink"/>
            <w:rFonts w:cs="Arial"/>
            <w:szCs w:val="24"/>
          </w:rPr>
          <w:t>https://sms.onlinelibrary.wiley.com/doi/abs/10.1002/smj.331</w:t>
        </w:r>
      </w:hyperlink>
      <w:r w:rsidRPr="0093608A">
        <w:rPr>
          <w:rFonts w:cs="Arial"/>
          <w:szCs w:val="24"/>
        </w:rPr>
        <w:t xml:space="preserve"> &gt;. Acesso em: 20/06/2025.</w:t>
      </w:r>
    </w:p>
    <w:p w14:paraId="3A9B6A47" w14:textId="77777777" w:rsidR="0093608A" w:rsidRPr="0093608A" w:rsidRDefault="0093608A" w:rsidP="00E20A79">
      <w:pPr>
        <w:spacing w:after="0" w:line="240" w:lineRule="auto"/>
        <w:jc w:val="both"/>
        <w:rPr>
          <w:rFonts w:cs="Arial"/>
          <w:szCs w:val="24"/>
        </w:rPr>
      </w:pPr>
    </w:p>
    <w:p w14:paraId="7748F37E"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AGUILERA, Ruth V.; JUDGE, William Q.; TERJESEN, Siri A. Corporate governance deviance. </w:t>
      </w:r>
      <w:r w:rsidRPr="0093608A">
        <w:rPr>
          <w:rFonts w:cs="Arial"/>
          <w:b/>
          <w:bCs/>
          <w:szCs w:val="24"/>
          <w:lang w:val="en-US"/>
        </w:rPr>
        <w:t>Academy of Management Review</w:t>
      </w:r>
      <w:r w:rsidRPr="0093608A">
        <w:rPr>
          <w:rFonts w:cs="Arial"/>
          <w:szCs w:val="24"/>
          <w:lang w:val="en-US"/>
        </w:rPr>
        <w:t xml:space="preserve">, v. 43, n. 1, p. 87-109, 2018. </w:t>
      </w:r>
      <w:proofErr w:type="spellStart"/>
      <w:r w:rsidRPr="0093608A">
        <w:rPr>
          <w:rFonts w:cs="Arial"/>
          <w:szCs w:val="24"/>
          <w:lang w:val="en-US"/>
        </w:rPr>
        <w:t>Disponível</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xml:space="preserve">: &lt; </w:t>
      </w:r>
      <w:hyperlink r:id="rId11" w:history="1">
        <w:r w:rsidRPr="0093608A">
          <w:rPr>
            <w:rStyle w:val="Hyperlink"/>
            <w:rFonts w:cs="Arial"/>
            <w:szCs w:val="24"/>
            <w:lang w:val="en-US"/>
          </w:rPr>
          <w:t>https://journals.aom.org/doi/abs/10.5465/amr.2014.0394</w:t>
        </w:r>
      </w:hyperlink>
      <w:r w:rsidRPr="0093608A">
        <w:rPr>
          <w:rFonts w:cs="Arial"/>
          <w:szCs w:val="24"/>
          <w:lang w:val="en-US"/>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08/08/2025.</w:t>
      </w:r>
    </w:p>
    <w:p w14:paraId="44B21079" w14:textId="77777777" w:rsidR="0093608A" w:rsidRPr="0093608A" w:rsidRDefault="0093608A" w:rsidP="00E20A79">
      <w:pPr>
        <w:spacing w:after="0" w:line="240" w:lineRule="auto"/>
        <w:jc w:val="both"/>
        <w:rPr>
          <w:rFonts w:cs="Arial"/>
          <w:szCs w:val="24"/>
          <w:lang w:val="en-US"/>
        </w:rPr>
      </w:pPr>
    </w:p>
    <w:p w14:paraId="7E2EDAC7"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AMIT, Raphael; ZOTT, Christoph. Creating value through business model innovation. </w:t>
      </w:r>
      <w:r w:rsidRPr="0093608A">
        <w:rPr>
          <w:rFonts w:cs="Arial"/>
          <w:b/>
          <w:bCs/>
          <w:szCs w:val="24"/>
          <w:lang w:val="en-US"/>
        </w:rPr>
        <w:t>MIT Sloan Management Review</w:t>
      </w:r>
      <w:r w:rsidRPr="0093608A">
        <w:rPr>
          <w:rFonts w:cs="Arial"/>
          <w:szCs w:val="24"/>
          <w:lang w:val="en-US"/>
        </w:rPr>
        <w:t xml:space="preserve">, 2012. </w:t>
      </w:r>
      <w:proofErr w:type="spellStart"/>
      <w:r w:rsidRPr="0093608A">
        <w:rPr>
          <w:rFonts w:cs="Arial"/>
          <w:szCs w:val="24"/>
          <w:lang w:val="en-US"/>
        </w:rPr>
        <w:t>Disponível</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xml:space="preserve">: &lt; </w:t>
      </w:r>
      <w:hyperlink r:id="rId12" w:history="1">
        <w:r w:rsidRPr="0093608A">
          <w:rPr>
            <w:rStyle w:val="Hyperlink"/>
            <w:rFonts w:cs="Arial"/>
            <w:szCs w:val="24"/>
            <w:lang w:val="en-US"/>
          </w:rPr>
          <w:t>https://sloanreview.mit.edu/article/creating-value-through-business-model-innovation/</w:t>
        </w:r>
      </w:hyperlink>
      <w:r w:rsidRPr="0093608A">
        <w:rPr>
          <w:rFonts w:cs="Arial"/>
          <w:szCs w:val="24"/>
          <w:lang w:val="en-US"/>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18/08/2025.</w:t>
      </w:r>
    </w:p>
    <w:p w14:paraId="668C08EA" w14:textId="77777777" w:rsidR="0093608A" w:rsidRPr="0093608A" w:rsidRDefault="0093608A" w:rsidP="00E20A79">
      <w:pPr>
        <w:spacing w:after="0" w:line="240" w:lineRule="auto"/>
        <w:jc w:val="both"/>
        <w:rPr>
          <w:rFonts w:cs="Arial"/>
          <w:szCs w:val="24"/>
          <w:lang w:val="en-US"/>
        </w:rPr>
      </w:pPr>
    </w:p>
    <w:p w14:paraId="253EE655" w14:textId="77777777" w:rsidR="0093608A" w:rsidRPr="0093608A" w:rsidRDefault="0093608A" w:rsidP="00E20A79">
      <w:pPr>
        <w:spacing w:after="0" w:line="240" w:lineRule="auto"/>
        <w:jc w:val="both"/>
        <w:rPr>
          <w:rFonts w:cs="Arial"/>
          <w:szCs w:val="24"/>
        </w:rPr>
      </w:pPr>
      <w:r w:rsidRPr="0093608A">
        <w:rPr>
          <w:rFonts w:cs="Arial"/>
          <w:szCs w:val="24"/>
          <w:lang w:val="en-US"/>
        </w:rPr>
        <w:t>ANDERSON, Philip. Perspective: Complexity theory and organization science. </w:t>
      </w:r>
      <w:proofErr w:type="spellStart"/>
      <w:r w:rsidRPr="0093608A">
        <w:rPr>
          <w:rFonts w:cs="Arial"/>
          <w:b/>
          <w:bCs/>
          <w:szCs w:val="24"/>
        </w:rPr>
        <w:t>Organization</w:t>
      </w:r>
      <w:proofErr w:type="spellEnd"/>
      <w:r w:rsidRPr="0093608A">
        <w:rPr>
          <w:rFonts w:cs="Arial"/>
          <w:b/>
          <w:bCs/>
          <w:szCs w:val="24"/>
        </w:rPr>
        <w:t xml:space="preserve"> Science</w:t>
      </w:r>
      <w:r w:rsidRPr="0093608A">
        <w:rPr>
          <w:rFonts w:cs="Arial"/>
          <w:szCs w:val="24"/>
        </w:rPr>
        <w:t xml:space="preserve">, v. 10, n. 3, p. 216-232, 1999. Disponível em: &lt; </w:t>
      </w:r>
      <w:hyperlink r:id="rId13" w:history="1">
        <w:r w:rsidRPr="0093608A">
          <w:rPr>
            <w:rStyle w:val="Hyperlink"/>
            <w:rFonts w:cs="Arial"/>
            <w:szCs w:val="24"/>
          </w:rPr>
          <w:t>https://pubsonline.informs.org/doi/abs/10.1287/orsc.10.3.216</w:t>
        </w:r>
      </w:hyperlink>
      <w:r w:rsidRPr="0093608A">
        <w:rPr>
          <w:rFonts w:cs="Arial"/>
          <w:szCs w:val="24"/>
        </w:rPr>
        <w:t xml:space="preserve"> &gt;. Acesso em: 21/08/2025.</w:t>
      </w:r>
    </w:p>
    <w:p w14:paraId="7916FEE0" w14:textId="77777777" w:rsidR="0093608A" w:rsidRPr="0093608A" w:rsidRDefault="0093608A" w:rsidP="00E20A79">
      <w:pPr>
        <w:spacing w:after="0" w:line="240" w:lineRule="auto"/>
        <w:jc w:val="both"/>
        <w:rPr>
          <w:rFonts w:cs="Arial"/>
          <w:szCs w:val="24"/>
        </w:rPr>
      </w:pPr>
    </w:p>
    <w:p w14:paraId="023CD9D4"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BARNEY, Jay. Firm resources and sustained competitive advantage. </w:t>
      </w:r>
      <w:r w:rsidRPr="0093608A">
        <w:rPr>
          <w:rFonts w:cs="Arial"/>
          <w:b/>
          <w:bCs/>
          <w:szCs w:val="24"/>
          <w:lang w:val="en-US"/>
        </w:rPr>
        <w:t>Journal of Management</w:t>
      </w:r>
      <w:r w:rsidRPr="0093608A">
        <w:rPr>
          <w:rFonts w:cs="Arial"/>
          <w:szCs w:val="24"/>
          <w:lang w:val="en-US"/>
        </w:rPr>
        <w:t xml:space="preserve">, v. 17, n. 1, p. 99-120, 1991. </w:t>
      </w:r>
      <w:proofErr w:type="spellStart"/>
      <w:r w:rsidRPr="0093608A">
        <w:rPr>
          <w:rFonts w:cs="Arial"/>
          <w:szCs w:val="24"/>
          <w:lang w:val="en-US"/>
        </w:rPr>
        <w:t>Disponível</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xml:space="preserve">: &lt; </w:t>
      </w:r>
      <w:hyperlink r:id="rId14" w:history="1">
        <w:r w:rsidRPr="0093608A">
          <w:rPr>
            <w:rStyle w:val="Hyperlink"/>
            <w:rFonts w:cs="Arial"/>
            <w:szCs w:val="24"/>
            <w:lang w:val="en-US"/>
          </w:rPr>
          <w:t>https://journals.sagepub.com/doi/abs/10.1177/014920639101700108</w:t>
        </w:r>
      </w:hyperlink>
      <w:r w:rsidRPr="0093608A">
        <w:rPr>
          <w:rFonts w:cs="Arial"/>
          <w:szCs w:val="24"/>
          <w:lang w:val="en-US"/>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28/07/2025.</w:t>
      </w:r>
    </w:p>
    <w:p w14:paraId="737D56A1" w14:textId="77777777" w:rsidR="0093608A" w:rsidRPr="0093608A" w:rsidRDefault="0093608A" w:rsidP="00E20A79">
      <w:pPr>
        <w:spacing w:after="0" w:line="240" w:lineRule="auto"/>
        <w:jc w:val="both"/>
        <w:rPr>
          <w:rFonts w:cs="Arial"/>
          <w:szCs w:val="24"/>
          <w:lang w:val="en-US"/>
        </w:rPr>
      </w:pPr>
    </w:p>
    <w:p w14:paraId="2A715CAC"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BHARADWAJ, Anandhi et al. Digital business strategy: toward a next generation of insights. </w:t>
      </w:r>
      <w:r w:rsidRPr="0093608A">
        <w:rPr>
          <w:rFonts w:cs="Arial"/>
          <w:b/>
          <w:bCs/>
          <w:szCs w:val="24"/>
        </w:rPr>
        <w:t xml:space="preserve">MIS </w:t>
      </w:r>
      <w:proofErr w:type="spellStart"/>
      <w:r w:rsidRPr="0093608A">
        <w:rPr>
          <w:rFonts w:cs="Arial"/>
          <w:b/>
          <w:bCs/>
          <w:szCs w:val="24"/>
        </w:rPr>
        <w:t>Quarterly</w:t>
      </w:r>
      <w:proofErr w:type="spellEnd"/>
      <w:r w:rsidRPr="0093608A">
        <w:rPr>
          <w:rFonts w:cs="Arial"/>
          <w:szCs w:val="24"/>
        </w:rPr>
        <w:t xml:space="preserve">, p. 471-482, 2013. Disponível em: &lt; </w:t>
      </w:r>
      <w:hyperlink r:id="rId15" w:history="1">
        <w:r w:rsidRPr="0093608A">
          <w:rPr>
            <w:rStyle w:val="Hyperlink"/>
            <w:rFonts w:cs="Arial"/>
            <w:szCs w:val="24"/>
          </w:rPr>
          <w:t>https://www.jstor.org/stable/43825919</w:t>
        </w:r>
      </w:hyperlink>
      <w:r w:rsidRPr="0093608A">
        <w:rPr>
          <w:rFonts w:cs="Arial"/>
          <w:szCs w:val="24"/>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06/07/2025.</w:t>
      </w:r>
    </w:p>
    <w:p w14:paraId="59FCF88B" w14:textId="77777777" w:rsidR="0093608A" w:rsidRPr="0093608A" w:rsidRDefault="0093608A" w:rsidP="00E20A79">
      <w:pPr>
        <w:spacing w:after="0" w:line="240" w:lineRule="auto"/>
        <w:jc w:val="both"/>
        <w:rPr>
          <w:rFonts w:cs="Arial"/>
          <w:szCs w:val="24"/>
          <w:lang w:val="en-US"/>
        </w:rPr>
      </w:pPr>
    </w:p>
    <w:p w14:paraId="58D7BFF7"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CHESBROUGH, Henry. Business model innovation: opportunities and barriers. </w:t>
      </w:r>
      <w:r w:rsidRPr="0093608A">
        <w:rPr>
          <w:rFonts w:cs="Arial"/>
          <w:b/>
          <w:bCs/>
          <w:szCs w:val="24"/>
          <w:lang w:val="en-US"/>
        </w:rPr>
        <w:t>Long Range Planning</w:t>
      </w:r>
      <w:r w:rsidRPr="0093608A">
        <w:rPr>
          <w:rFonts w:cs="Arial"/>
          <w:szCs w:val="24"/>
          <w:lang w:val="en-US"/>
        </w:rPr>
        <w:t xml:space="preserve">, v. 43, n. 2-3, p. 354-363, 2010. </w:t>
      </w:r>
      <w:proofErr w:type="spellStart"/>
      <w:r w:rsidRPr="0093608A">
        <w:rPr>
          <w:rFonts w:cs="Arial"/>
          <w:szCs w:val="24"/>
          <w:lang w:val="en-US"/>
        </w:rPr>
        <w:t>Disponível</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xml:space="preserve">: &lt; </w:t>
      </w:r>
      <w:hyperlink r:id="rId16" w:history="1">
        <w:r w:rsidRPr="0093608A">
          <w:rPr>
            <w:rStyle w:val="Hyperlink"/>
            <w:rFonts w:cs="Arial"/>
            <w:szCs w:val="24"/>
            <w:lang w:val="en-US"/>
          </w:rPr>
          <w:t>https://www.sciencedirect.com/science/article/pii/S0024630109000569</w:t>
        </w:r>
      </w:hyperlink>
      <w:r w:rsidRPr="0093608A">
        <w:rPr>
          <w:rFonts w:cs="Arial"/>
          <w:szCs w:val="24"/>
          <w:lang w:val="en-US"/>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05/05/2025.</w:t>
      </w:r>
    </w:p>
    <w:p w14:paraId="67EC4DE8" w14:textId="77777777" w:rsidR="0093608A" w:rsidRDefault="0093608A" w:rsidP="00E20A79">
      <w:pPr>
        <w:spacing w:after="0" w:line="240" w:lineRule="auto"/>
        <w:jc w:val="both"/>
        <w:rPr>
          <w:rFonts w:cs="Arial"/>
          <w:szCs w:val="24"/>
          <w:lang w:val="en-US"/>
        </w:rPr>
      </w:pPr>
    </w:p>
    <w:p w14:paraId="526469BB" w14:textId="045A7AA9" w:rsidR="00300162" w:rsidRPr="00300162" w:rsidRDefault="00300162" w:rsidP="00E20A79">
      <w:pPr>
        <w:spacing w:after="0" w:line="240" w:lineRule="auto"/>
        <w:jc w:val="both"/>
        <w:rPr>
          <w:rFonts w:cs="Arial"/>
          <w:szCs w:val="24"/>
        </w:rPr>
      </w:pPr>
      <w:r>
        <w:rPr>
          <w:rFonts w:cs="Arial"/>
          <w:szCs w:val="24"/>
        </w:rPr>
        <w:t xml:space="preserve">COLLINS, Jim; PORRAS, </w:t>
      </w:r>
      <w:proofErr w:type="spellStart"/>
      <w:r>
        <w:rPr>
          <w:rFonts w:cs="Arial"/>
          <w:szCs w:val="24"/>
        </w:rPr>
        <w:t>Jelly</w:t>
      </w:r>
      <w:proofErr w:type="spellEnd"/>
      <w:r>
        <w:rPr>
          <w:rFonts w:cs="Arial"/>
          <w:szCs w:val="24"/>
        </w:rPr>
        <w:t xml:space="preserve"> I. </w:t>
      </w:r>
      <w:r w:rsidRPr="00300162">
        <w:rPr>
          <w:rFonts w:cs="Arial"/>
          <w:b/>
          <w:bCs/>
          <w:szCs w:val="24"/>
        </w:rPr>
        <w:t>Feitas Para Durar</w:t>
      </w:r>
      <w:r w:rsidRPr="00300162">
        <w:rPr>
          <w:rFonts w:cs="Arial"/>
          <w:szCs w:val="24"/>
        </w:rPr>
        <w:t xml:space="preserve">: </w:t>
      </w:r>
      <w:r>
        <w:rPr>
          <w:rFonts w:cs="Arial"/>
          <w:szCs w:val="24"/>
        </w:rPr>
        <w:t>p</w:t>
      </w:r>
      <w:r w:rsidRPr="00300162">
        <w:rPr>
          <w:rFonts w:cs="Arial"/>
          <w:szCs w:val="24"/>
        </w:rPr>
        <w:t xml:space="preserve">ráticas </w:t>
      </w:r>
      <w:r>
        <w:rPr>
          <w:rFonts w:cs="Arial"/>
          <w:szCs w:val="24"/>
        </w:rPr>
        <w:t>b</w:t>
      </w:r>
      <w:r w:rsidRPr="00300162">
        <w:rPr>
          <w:rFonts w:cs="Arial"/>
          <w:szCs w:val="24"/>
        </w:rPr>
        <w:t xml:space="preserve">em-sucedidas de </w:t>
      </w:r>
      <w:r>
        <w:rPr>
          <w:rFonts w:cs="Arial"/>
          <w:szCs w:val="24"/>
        </w:rPr>
        <w:t>e</w:t>
      </w:r>
      <w:r w:rsidRPr="00300162">
        <w:rPr>
          <w:rFonts w:cs="Arial"/>
          <w:szCs w:val="24"/>
        </w:rPr>
        <w:t xml:space="preserve">mpresas </w:t>
      </w:r>
      <w:r>
        <w:rPr>
          <w:rFonts w:cs="Arial"/>
          <w:szCs w:val="24"/>
        </w:rPr>
        <w:t>v</w:t>
      </w:r>
      <w:r w:rsidRPr="00300162">
        <w:rPr>
          <w:rFonts w:cs="Arial"/>
          <w:szCs w:val="24"/>
        </w:rPr>
        <w:t>isionárias</w:t>
      </w:r>
      <w:r>
        <w:rPr>
          <w:rFonts w:cs="Arial"/>
          <w:szCs w:val="24"/>
        </w:rPr>
        <w:t>. Rio de Janeiro: Alta Books, 2020.</w:t>
      </w:r>
    </w:p>
    <w:p w14:paraId="337BD179" w14:textId="77777777" w:rsidR="00300162" w:rsidRPr="00300162" w:rsidRDefault="00300162" w:rsidP="00E20A79">
      <w:pPr>
        <w:spacing w:after="0" w:line="240" w:lineRule="auto"/>
        <w:jc w:val="both"/>
        <w:rPr>
          <w:rFonts w:cs="Arial"/>
          <w:szCs w:val="24"/>
        </w:rPr>
      </w:pPr>
    </w:p>
    <w:p w14:paraId="6F759BB0"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lastRenderedPageBreak/>
        <w:t>DOZ, Yves L.; KOSONEN, Mikko. Embedding strategic agility: A leadership agenda for accelerating business model renewal. </w:t>
      </w:r>
      <w:r w:rsidRPr="0093608A">
        <w:rPr>
          <w:rFonts w:cs="Arial"/>
          <w:b/>
          <w:bCs/>
          <w:szCs w:val="24"/>
          <w:lang w:val="en-US"/>
        </w:rPr>
        <w:t>Long Range Planning</w:t>
      </w:r>
      <w:r w:rsidRPr="0093608A">
        <w:rPr>
          <w:rFonts w:cs="Arial"/>
          <w:szCs w:val="24"/>
          <w:lang w:val="en-US"/>
        </w:rPr>
        <w:t xml:space="preserve">, v. 43, n. 2-3, p. 370-382, 2010. </w:t>
      </w:r>
      <w:proofErr w:type="spellStart"/>
      <w:r w:rsidRPr="0093608A">
        <w:rPr>
          <w:rFonts w:cs="Arial"/>
          <w:szCs w:val="24"/>
          <w:lang w:val="en-US"/>
        </w:rPr>
        <w:t>Disponível</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xml:space="preserve">: &lt; </w:t>
      </w:r>
      <w:hyperlink r:id="rId17" w:history="1">
        <w:r w:rsidRPr="0093608A">
          <w:rPr>
            <w:rStyle w:val="Hyperlink"/>
            <w:rFonts w:cs="Arial"/>
            <w:szCs w:val="24"/>
            <w:lang w:val="en-US"/>
          </w:rPr>
          <w:t>https://www.sciencedirect.com/science/article/pii/S0024630109000570</w:t>
        </w:r>
      </w:hyperlink>
      <w:r w:rsidRPr="0093608A">
        <w:rPr>
          <w:rFonts w:cs="Arial"/>
          <w:szCs w:val="24"/>
          <w:lang w:val="en-US"/>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04/05/2025.</w:t>
      </w:r>
    </w:p>
    <w:p w14:paraId="0DE2AA0C" w14:textId="77777777" w:rsidR="0093608A" w:rsidRPr="0093608A" w:rsidRDefault="0093608A" w:rsidP="00E20A79">
      <w:pPr>
        <w:spacing w:after="0" w:line="240" w:lineRule="auto"/>
        <w:jc w:val="both"/>
        <w:rPr>
          <w:rFonts w:cs="Arial"/>
          <w:szCs w:val="24"/>
          <w:lang w:val="en-US"/>
        </w:rPr>
      </w:pPr>
    </w:p>
    <w:p w14:paraId="4BA2529E"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DYLLICK, Thomas; MUFF, Katrin. Clarifying the meaning of sustainable business: Introducing a typology from business-as-usual to true business sustainability. </w:t>
      </w:r>
      <w:proofErr w:type="spellStart"/>
      <w:r w:rsidRPr="0093608A">
        <w:rPr>
          <w:rFonts w:cs="Arial"/>
          <w:b/>
          <w:bCs/>
          <w:szCs w:val="24"/>
        </w:rPr>
        <w:t>Organization</w:t>
      </w:r>
      <w:proofErr w:type="spellEnd"/>
      <w:r w:rsidRPr="0093608A">
        <w:rPr>
          <w:rFonts w:cs="Arial"/>
          <w:b/>
          <w:bCs/>
          <w:szCs w:val="24"/>
        </w:rPr>
        <w:t xml:space="preserve"> e </w:t>
      </w:r>
      <w:proofErr w:type="spellStart"/>
      <w:r w:rsidRPr="0093608A">
        <w:rPr>
          <w:rFonts w:cs="Arial"/>
          <w:b/>
          <w:bCs/>
          <w:szCs w:val="24"/>
        </w:rPr>
        <w:t>Environment</w:t>
      </w:r>
      <w:proofErr w:type="spellEnd"/>
      <w:r w:rsidRPr="0093608A">
        <w:rPr>
          <w:rFonts w:cs="Arial"/>
          <w:szCs w:val="24"/>
        </w:rPr>
        <w:t xml:space="preserve">, v. 29, n. 2, p. 156-174, 2016. Disponível em: &lt; </w:t>
      </w:r>
      <w:hyperlink r:id="rId18" w:history="1">
        <w:r w:rsidRPr="0093608A">
          <w:rPr>
            <w:rStyle w:val="Hyperlink"/>
            <w:rFonts w:cs="Arial"/>
            <w:szCs w:val="24"/>
          </w:rPr>
          <w:t>https://journals.sagepub.com/doi/abs/10.1177/1086026615575176</w:t>
        </w:r>
      </w:hyperlink>
      <w:r w:rsidRPr="0093608A">
        <w:rPr>
          <w:rFonts w:cs="Arial"/>
          <w:szCs w:val="24"/>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06/05/2025.</w:t>
      </w:r>
    </w:p>
    <w:p w14:paraId="2D486372" w14:textId="77777777" w:rsidR="0093608A" w:rsidRPr="0093608A" w:rsidRDefault="0093608A" w:rsidP="00E20A79">
      <w:pPr>
        <w:spacing w:after="0" w:line="240" w:lineRule="auto"/>
        <w:jc w:val="both"/>
        <w:rPr>
          <w:rFonts w:cs="Arial"/>
          <w:szCs w:val="24"/>
          <w:lang w:val="en-US"/>
        </w:rPr>
      </w:pPr>
    </w:p>
    <w:p w14:paraId="4D1BE368"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EISENHARDT, Kathleen M.; MARTIN, Jeffrey A. Dynamic capabilities: what are they? </w:t>
      </w:r>
      <w:r w:rsidRPr="0093608A">
        <w:rPr>
          <w:rFonts w:cs="Arial"/>
          <w:b/>
          <w:bCs/>
          <w:szCs w:val="24"/>
          <w:lang w:val="en-US"/>
        </w:rPr>
        <w:t>The SMS Blackwell handbook of organizational capabilities</w:t>
      </w:r>
      <w:r w:rsidRPr="0093608A">
        <w:rPr>
          <w:rFonts w:cs="Arial"/>
          <w:szCs w:val="24"/>
          <w:lang w:val="en-US"/>
        </w:rPr>
        <w:t xml:space="preserve">, p. 341-363, 2017. </w:t>
      </w:r>
      <w:proofErr w:type="spellStart"/>
      <w:r w:rsidRPr="0093608A">
        <w:rPr>
          <w:rFonts w:cs="Arial"/>
          <w:szCs w:val="24"/>
          <w:lang w:val="en-US"/>
        </w:rPr>
        <w:t>Disponível</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xml:space="preserve">: &lt; </w:t>
      </w:r>
      <w:hyperlink r:id="rId19" w:history="1">
        <w:r w:rsidRPr="0093608A">
          <w:rPr>
            <w:rStyle w:val="Hyperlink"/>
            <w:rFonts w:cs="Arial"/>
            <w:szCs w:val="24"/>
            <w:lang w:val="en-US"/>
          </w:rPr>
          <w:t>https://onlinelibrary.wiley.com/doi/abs/10.1002/9781405164054.ch21</w:t>
        </w:r>
      </w:hyperlink>
      <w:r w:rsidRPr="0093608A">
        <w:rPr>
          <w:rFonts w:cs="Arial"/>
          <w:szCs w:val="24"/>
          <w:lang w:val="en-US"/>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26/05/2025.</w:t>
      </w:r>
    </w:p>
    <w:p w14:paraId="41EFE233" w14:textId="77777777" w:rsidR="0093608A" w:rsidRPr="0093608A" w:rsidRDefault="0093608A" w:rsidP="00E20A79">
      <w:pPr>
        <w:spacing w:after="0" w:line="240" w:lineRule="auto"/>
        <w:jc w:val="both"/>
        <w:rPr>
          <w:rFonts w:cs="Arial"/>
          <w:szCs w:val="24"/>
          <w:lang w:val="en-US"/>
        </w:rPr>
      </w:pPr>
    </w:p>
    <w:p w14:paraId="2AC59B11"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ELKINGTON, John; ROWLANDS, Ian H. Cannibals with forks: The triple bottom line of 21st century business. </w:t>
      </w:r>
      <w:proofErr w:type="spellStart"/>
      <w:r w:rsidRPr="0093608A">
        <w:rPr>
          <w:rFonts w:cs="Arial"/>
          <w:b/>
          <w:bCs/>
          <w:szCs w:val="24"/>
        </w:rPr>
        <w:t>Alternatives</w:t>
      </w:r>
      <w:proofErr w:type="spellEnd"/>
      <w:r w:rsidRPr="0093608A">
        <w:rPr>
          <w:rFonts w:cs="Arial"/>
          <w:b/>
          <w:bCs/>
          <w:szCs w:val="24"/>
        </w:rPr>
        <w:t xml:space="preserve"> </w:t>
      </w:r>
      <w:proofErr w:type="spellStart"/>
      <w:r w:rsidRPr="0093608A">
        <w:rPr>
          <w:rFonts w:cs="Arial"/>
          <w:b/>
          <w:bCs/>
          <w:szCs w:val="24"/>
        </w:rPr>
        <w:t>Journal</w:t>
      </w:r>
      <w:proofErr w:type="spellEnd"/>
      <w:r w:rsidRPr="0093608A">
        <w:rPr>
          <w:rFonts w:cs="Arial"/>
          <w:szCs w:val="24"/>
        </w:rPr>
        <w:t xml:space="preserve">, v. 25, n. 4, p. 42, 1999. Disponível em: &lt; </w:t>
      </w:r>
      <w:hyperlink r:id="rId20" w:history="1">
        <w:r w:rsidRPr="0093608A">
          <w:rPr>
            <w:rStyle w:val="Hyperlink"/>
            <w:rFonts w:cs="Arial"/>
            <w:szCs w:val="24"/>
          </w:rPr>
          <w:t>https://search.proquest.com/openview/804cc9d98196ef6e26d88748e89f8db0/1?pq-origsite=gscholar&amp;cbl=35934</w:t>
        </w:r>
      </w:hyperlink>
      <w:r w:rsidRPr="0093608A">
        <w:rPr>
          <w:rFonts w:cs="Arial"/>
          <w:szCs w:val="24"/>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16/05/2025.</w:t>
      </w:r>
    </w:p>
    <w:p w14:paraId="79DA9B29" w14:textId="77777777" w:rsidR="0093608A" w:rsidRPr="0093608A" w:rsidRDefault="0093608A" w:rsidP="00E20A79">
      <w:pPr>
        <w:spacing w:after="0" w:line="240" w:lineRule="auto"/>
        <w:jc w:val="both"/>
        <w:rPr>
          <w:rFonts w:cs="Arial"/>
          <w:szCs w:val="24"/>
          <w:lang w:val="en-US"/>
        </w:rPr>
      </w:pPr>
    </w:p>
    <w:p w14:paraId="527F78BE"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HAHN, Tobias et al. Tensions in corporate sustainability: Towards an integrative framework. </w:t>
      </w:r>
      <w:r w:rsidRPr="0093608A">
        <w:rPr>
          <w:rFonts w:cs="Arial"/>
          <w:b/>
          <w:bCs/>
          <w:szCs w:val="24"/>
          <w:lang w:val="en-US"/>
        </w:rPr>
        <w:t>Journal of Business Ethics</w:t>
      </w:r>
      <w:r w:rsidRPr="0093608A">
        <w:rPr>
          <w:rFonts w:cs="Arial"/>
          <w:szCs w:val="24"/>
          <w:lang w:val="en-US"/>
        </w:rPr>
        <w:t xml:space="preserve">, v. 127, n. 2, p. 297-316, 2015. </w:t>
      </w:r>
      <w:proofErr w:type="spellStart"/>
      <w:r w:rsidRPr="0093608A">
        <w:rPr>
          <w:rFonts w:cs="Arial"/>
          <w:szCs w:val="24"/>
          <w:lang w:val="en-US"/>
        </w:rPr>
        <w:t>Disponível</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xml:space="preserve">: &lt; </w:t>
      </w:r>
      <w:hyperlink r:id="rId21" w:history="1">
        <w:r w:rsidRPr="0093608A">
          <w:rPr>
            <w:rStyle w:val="Hyperlink"/>
            <w:rFonts w:cs="Arial"/>
            <w:szCs w:val="24"/>
            <w:lang w:val="en-US"/>
          </w:rPr>
          <w:t>https://link.springer.com/article/10.1007/S10551-014-2047-5</w:t>
        </w:r>
      </w:hyperlink>
      <w:r w:rsidRPr="0093608A">
        <w:rPr>
          <w:rFonts w:cs="Arial"/>
          <w:szCs w:val="24"/>
          <w:lang w:val="en-US"/>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20/06/2025.</w:t>
      </w:r>
    </w:p>
    <w:p w14:paraId="7F47ECCF" w14:textId="77777777" w:rsidR="0093608A" w:rsidRPr="0093608A" w:rsidRDefault="0093608A" w:rsidP="00E20A79">
      <w:pPr>
        <w:spacing w:after="0" w:line="240" w:lineRule="auto"/>
        <w:jc w:val="both"/>
        <w:rPr>
          <w:rFonts w:cs="Arial"/>
          <w:szCs w:val="24"/>
          <w:lang w:val="en-US"/>
        </w:rPr>
      </w:pPr>
    </w:p>
    <w:p w14:paraId="0554AE99" w14:textId="77777777" w:rsidR="0093608A" w:rsidRPr="0093608A" w:rsidRDefault="0093608A" w:rsidP="00E20A79">
      <w:pPr>
        <w:spacing w:after="0" w:line="240" w:lineRule="auto"/>
        <w:jc w:val="both"/>
        <w:rPr>
          <w:rFonts w:cs="Arial"/>
          <w:szCs w:val="24"/>
        </w:rPr>
      </w:pPr>
      <w:r w:rsidRPr="0093608A">
        <w:rPr>
          <w:rFonts w:cs="Arial"/>
          <w:szCs w:val="24"/>
          <w:lang w:val="en-US"/>
        </w:rPr>
        <w:t>HART, Stuart L.; MILSTEIN, Mark B. Creating sustainable value. </w:t>
      </w:r>
      <w:r w:rsidRPr="0093608A">
        <w:rPr>
          <w:rFonts w:cs="Arial"/>
          <w:b/>
          <w:bCs/>
          <w:szCs w:val="24"/>
          <w:lang w:val="en-US"/>
        </w:rPr>
        <w:t>Academy of Management Perspectives</w:t>
      </w:r>
      <w:r w:rsidRPr="0093608A">
        <w:rPr>
          <w:rFonts w:cs="Arial"/>
          <w:szCs w:val="24"/>
          <w:lang w:val="en-US"/>
        </w:rPr>
        <w:t xml:space="preserve">, v. 17, n. 2, p. 56-67, 2003. </w:t>
      </w:r>
      <w:r w:rsidRPr="0093608A">
        <w:rPr>
          <w:rFonts w:cs="Arial"/>
          <w:szCs w:val="24"/>
        </w:rPr>
        <w:t xml:space="preserve">Disponível em: &lt; </w:t>
      </w:r>
      <w:hyperlink r:id="rId22" w:history="1">
        <w:r w:rsidRPr="0093608A">
          <w:rPr>
            <w:rStyle w:val="Hyperlink"/>
            <w:rFonts w:cs="Arial"/>
            <w:szCs w:val="24"/>
          </w:rPr>
          <w:t>https://journals.aom.org/doi/abs/10.5465/AME.2003.10025194</w:t>
        </w:r>
      </w:hyperlink>
      <w:r w:rsidRPr="0093608A">
        <w:rPr>
          <w:rFonts w:cs="Arial"/>
          <w:szCs w:val="24"/>
        </w:rPr>
        <w:t xml:space="preserve"> &gt;. Acesso em: 10/08/2025.</w:t>
      </w:r>
    </w:p>
    <w:p w14:paraId="1CBADE8E" w14:textId="77777777" w:rsidR="0093608A" w:rsidRPr="0093608A" w:rsidRDefault="0093608A" w:rsidP="00E20A79">
      <w:pPr>
        <w:spacing w:after="0" w:line="240" w:lineRule="auto"/>
        <w:jc w:val="both"/>
        <w:rPr>
          <w:rFonts w:cs="Arial"/>
          <w:szCs w:val="24"/>
        </w:rPr>
      </w:pPr>
    </w:p>
    <w:p w14:paraId="47F89F30"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 xml:space="preserve">HELFAT, Constance E. et al. Dynamic capabilities: Understanding strategic change in organizations. </w:t>
      </w:r>
      <w:r w:rsidRPr="0093608A">
        <w:rPr>
          <w:rFonts w:cs="Arial"/>
          <w:szCs w:val="24"/>
        </w:rPr>
        <w:t xml:space="preserve">John </w:t>
      </w:r>
      <w:proofErr w:type="spellStart"/>
      <w:r w:rsidRPr="0093608A">
        <w:rPr>
          <w:rFonts w:cs="Arial"/>
          <w:szCs w:val="24"/>
        </w:rPr>
        <w:t>Wiley</w:t>
      </w:r>
      <w:proofErr w:type="spellEnd"/>
      <w:r w:rsidRPr="0093608A">
        <w:rPr>
          <w:rFonts w:cs="Arial"/>
          <w:szCs w:val="24"/>
        </w:rPr>
        <w:t xml:space="preserve"> &amp; Sons, 2009. Disponível em: &lt; </w:t>
      </w:r>
      <w:hyperlink r:id="rId23" w:history="1">
        <w:r w:rsidRPr="0093608A">
          <w:rPr>
            <w:rStyle w:val="Hyperlink"/>
            <w:rFonts w:cs="Arial"/>
            <w:szCs w:val="24"/>
          </w:rPr>
          <w:t>https://books.google.com.br/books?hl=pt-BR&amp;lr=&amp;id=u0Tuh5vixLkC&amp;oi=fnd&amp;pg=PR6&amp;dq=HELFAT,+C.+E.+et+al.+(Org.).+Dynamic+Capabilities:+Understanding+Strategic+Change+in+Organizations.+Malden,+MA:+Blackwell,+2007&amp;ots=uLn-3U8oqC&amp;sig=i9bcWtzFrx29TpUcS64g2ukrtvQ</w:t>
        </w:r>
      </w:hyperlink>
      <w:r w:rsidRPr="0093608A">
        <w:rPr>
          <w:rFonts w:cs="Arial"/>
          <w:szCs w:val="24"/>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14/08/2025.</w:t>
      </w:r>
    </w:p>
    <w:p w14:paraId="27FFD7B8" w14:textId="77777777" w:rsidR="0093608A" w:rsidRPr="0093608A" w:rsidRDefault="0093608A" w:rsidP="00E20A79">
      <w:pPr>
        <w:spacing w:after="0" w:line="240" w:lineRule="auto"/>
        <w:jc w:val="both"/>
        <w:rPr>
          <w:rFonts w:cs="Arial"/>
          <w:szCs w:val="24"/>
          <w:lang w:val="en-US"/>
        </w:rPr>
      </w:pPr>
    </w:p>
    <w:p w14:paraId="1D037B2C" w14:textId="77777777" w:rsidR="0093608A" w:rsidRPr="0093608A" w:rsidRDefault="0093608A" w:rsidP="00E20A79">
      <w:pPr>
        <w:spacing w:after="0" w:line="240" w:lineRule="auto"/>
        <w:jc w:val="both"/>
        <w:rPr>
          <w:rFonts w:cs="Arial"/>
          <w:szCs w:val="24"/>
        </w:rPr>
      </w:pPr>
      <w:r w:rsidRPr="0093608A">
        <w:rPr>
          <w:rFonts w:cs="Arial"/>
          <w:szCs w:val="24"/>
          <w:lang w:val="en-US"/>
        </w:rPr>
        <w:t xml:space="preserve">HELFAT, Constance E.; PETERAF, Margaret A. Managerial cognitive capabilities and the </w:t>
      </w:r>
      <w:proofErr w:type="spellStart"/>
      <w:r w:rsidRPr="0093608A">
        <w:rPr>
          <w:rFonts w:cs="Arial"/>
          <w:szCs w:val="24"/>
          <w:lang w:val="en-US"/>
        </w:rPr>
        <w:t>microfoundations</w:t>
      </w:r>
      <w:proofErr w:type="spellEnd"/>
      <w:r w:rsidRPr="0093608A">
        <w:rPr>
          <w:rFonts w:cs="Arial"/>
          <w:szCs w:val="24"/>
          <w:lang w:val="en-US"/>
        </w:rPr>
        <w:t xml:space="preserve"> of dynamic capabilities. </w:t>
      </w:r>
      <w:proofErr w:type="spellStart"/>
      <w:r w:rsidRPr="0093608A">
        <w:rPr>
          <w:rFonts w:cs="Arial"/>
          <w:b/>
          <w:bCs/>
          <w:szCs w:val="24"/>
        </w:rPr>
        <w:t>Strategic</w:t>
      </w:r>
      <w:proofErr w:type="spellEnd"/>
      <w:r w:rsidRPr="0093608A">
        <w:rPr>
          <w:rFonts w:cs="Arial"/>
          <w:b/>
          <w:bCs/>
          <w:szCs w:val="24"/>
        </w:rPr>
        <w:t xml:space="preserve"> Management </w:t>
      </w:r>
      <w:proofErr w:type="spellStart"/>
      <w:r w:rsidRPr="0093608A">
        <w:rPr>
          <w:rFonts w:cs="Arial"/>
          <w:b/>
          <w:bCs/>
          <w:szCs w:val="24"/>
        </w:rPr>
        <w:t>Journal</w:t>
      </w:r>
      <w:proofErr w:type="spellEnd"/>
      <w:r w:rsidRPr="0093608A">
        <w:rPr>
          <w:rFonts w:cs="Arial"/>
          <w:szCs w:val="24"/>
        </w:rPr>
        <w:t xml:space="preserve">, v. 36, n. 6, p. 831-850, 2015. Disponível em &lt; </w:t>
      </w:r>
      <w:hyperlink r:id="rId24" w:history="1">
        <w:r w:rsidRPr="0093608A">
          <w:rPr>
            <w:rStyle w:val="Hyperlink"/>
            <w:rFonts w:cs="Arial"/>
            <w:szCs w:val="24"/>
          </w:rPr>
          <w:t>https://sms.onlinelibrary.wiley.com/doi/abs/10.1002/smj.2247</w:t>
        </w:r>
      </w:hyperlink>
      <w:r w:rsidRPr="0093608A">
        <w:rPr>
          <w:rFonts w:cs="Arial"/>
          <w:szCs w:val="24"/>
        </w:rPr>
        <w:t xml:space="preserve"> &gt;. Acesso em: 15/05/2025.</w:t>
      </w:r>
    </w:p>
    <w:p w14:paraId="29990BD8" w14:textId="77777777" w:rsidR="0093608A" w:rsidRPr="0093608A" w:rsidRDefault="0093608A" w:rsidP="00E20A79">
      <w:pPr>
        <w:spacing w:after="0" w:line="240" w:lineRule="auto"/>
        <w:jc w:val="both"/>
        <w:rPr>
          <w:rFonts w:cs="Arial"/>
          <w:szCs w:val="24"/>
        </w:rPr>
      </w:pPr>
    </w:p>
    <w:p w14:paraId="6F683488"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 xml:space="preserve">HODGKINSON, Gerard P.; HEALEY, Mark P. Psychological foundations of dynamic capabilities: </w:t>
      </w:r>
      <w:proofErr w:type="spellStart"/>
      <w:r w:rsidRPr="0093608A">
        <w:rPr>
          <w:rFonts w:cs="Arial"/>
          <w:szCs w:val="24"/>
          <w:lang w:val="en-US"/>
        </w:rPr>
        <w:t>Reflexion</w:t>
      </w:r>
      <w:proofErr w:type="spellEnd"/>
      <w:r w:rsidRPr="0093608A">
        <w:rPr>
          <w:rFonts w:cs="Arial"/>
          <w:szCs w:val="24"/>
          <w:lang w:val="en-US"/>
        </w:rPr>
        <w:t xml:space="preserve"> and reflection in strategic management. </w:t>
      </w:r>
      <w:r w:rsidRPr="0093608A">
        <w:rPr>
          <w:rFonts w:cs="Arial"/>
          <w:b/>
          <w:bCs/>
          <w:szCs w:val="24"/>
          <w:lang w:val="en-US"/>
        </w:rPr>
        <w:t xml:space="preserve">Strategic </w:t>
      </w:r>
      <w:r w:rsidRPr="0093608A">
        <w:rPr>
          <w:rFonts w:cs="Arial"/>
          <w:b/>
          <w:bCs/>
          <w:szCs w:val="24"/>
          <w:lang w:val="en-US"/>
        </w:rPr>
        <w:lastRenderedPageBreak/>
        <w:t>Management Journal</w:t>
      </w:r>
      <w:r w:rsidRPr="0093608A">
        <w:rPr>
          <w:rFonts w:cs="Arial"/>
          <w:szCs w:val="24"/>
          <w:lang w:val="en-US"/>
        </w:rPr>
        <w:t xml:space="preserve">, v. 32, n. 13, p. 1500-1516, 2011. </w:t>
      </w:r>
      <w:proofErr w:type="spellStart"/>
      <w:r w:rsidRPr="0093608A">
        <w:rPr>
          <w:rFonts w:cs="Arial"/>
          <w:szCs w:val="24"/>
          <w:lang w:val="en-US"/>
        </w:rPr>
        <w:t>Disponível</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xml:space="preserve">: &lt; </w:t>
      </w:r>
      <w:hyperlink r:id="rId25" w:history="1">
        <w:r w:rsidRPr="0093608A">
          <w:rPr>
            <w:rStyle w:val="Hyperlink"/>
            <w:rFonts w:cs="Arial"/>
            <w:szCs w:val="24"/>
            <w:lang w:val="en-US"/>
          </w:rPr>
          <w:t>https://books.google.com.br/books?hl=pt-BR&amp;lr=&amp;id=UzuTAwAAQBAJ&amp;oi=fnd&amp;pg=PP1&amp;dq=OSTERWALDER,+A.%3B+PIGNEUR,+Y.+Business+Model+Generation:+A+Handbook+for+Visionaries,+Game+Changers,+and+Challengers.+Hoboken:+Wiley,+2010.+&amp;ots=yZGSBaF6Xx&amp;sig=Udo-RrOE0vEBfO6gNmjVwU3-cp4</w:t>
        </w:r>
      </w:hyperlink>
      <w:r w:rsidRPr="0093608A">
        <w:rPr>
          <w:rFonts w:cs="Arial"/>
          <w:szCs w:val="24"/>
          <w:lang w:val="en-US"/>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23/07/2025.</w:t>
      </w:r>
    </w:p>
    <w:p w14:paraId="0BB44829" w14:textId="77777777" w:rsidR="0093608A" w:rsidRPr="0093608A" w:rsidRDefault="0093608A" w:rsidP="00E20A79">
      <w:pPr>
        <w:spacing w:after="0" w:line="240" w:lineRule="auto"/>
        <w:jc w:val="both"/>
        <w:rPr>
          <w:rFonts w:cs="Arial"/>
          <w:szCs w:val="24"/>
          <w:lang w:val="en-US"/>
        </w:rPr>
      </w:pPr>
    </w:p>
    <w:p w14:paraId="1E40FF06"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OSTERWALDER, Alexander; PIGNEUR, Yves. </w:t>
      </w:r>
      <w:r w:rsidRPr="0093608A">
        <w:rPr>
          <w:rFonts w:cs="Arial"/>
          <w:b/>
          <w:bCs/>
          <w:szCs w:val="24"/>
          <w:lang w:val="en-US"/>
        </w:rPr>
        <w:t>Business model generation: a handbook for visionaries, game changers, and challengers</w:t>
      </w:r>
      <w:r w:rsidRPr="0093608A">
        <w:rPr>
          <w:rFonts w:cs="Arial"/>
          <w:szCs w:val="24"/>
          <w:lang w:val="en-US"/>
        </w:rPr>
        <w:t xml:space="preserve">. </w:t>
      </w:r>
      <w:r w:rsidRPr="0093608A">
        <w:rPr>
          <w:rFonts w:cs="Arial"/>
          <w:szCs w:val="24"/>
        </w:rPr>
        <w:t xml:space="preserve">John </w:t>
      </w:r>
      <w:proofErr w:type="spellStart"/>
      <w:r w:rsidRPr="0093608A">
        <w:rPr>
          <w:rFonts w:cs="Arial"/>
          <w:szCs w:val="24"/>
        </w:rPr>
        <w:t>Wiley</w:t>
      </w:r>
      <w:proofErr w:type="spellEnd"/>
      <w:r w:rsidRPr="0093608A">
        <w:rPr>
          <w:rFonts w:cs="Arial"/>
          <w:szCs w:val="24"/>
        </w:rPr>
        <w:t xml:space="preserve"> &amp; Sons, 2010. Disponível em: &lt; </w:t>
      </w:r>
      <w:hyperlink r:id="rId26" w:history="1">
        <w:r w:rsidRPr="0093608A">
          <w:rPr>
            <w:rStyle w:val="Hyperlink"/>
            <w:rFonts w:cs="Arial"/>
            <w:szCs w:val="24"/>
          </w:rPr>
          <w:t>https://books.google.com.br/books?hl=ptBR&amp;lr=&amp;id=UzuTAwAAQBAJ&amp;oi=fnd&amp;pg=PP1&amp;dq=OSTERWALDER,+Alexander%3B+PIGNEUR,+Yves.+Business+model+generation:+a+handbook+for+visionaries,+game+changers,+and+challengers.+John+Wiley+%26+Sons,+2010.+&amp;ots=yZGSBaF6_A&amp;sig=nNBBZCYGZIBW2jSaH3IxcsVvJ80</w:t>
        </w:r>
      </w:hyperlink>
      <w:r w:rsidRPr="0093608A">
        <w:rPr>
          <w:rFonts w:cs="Arial"/>
          <w:szCs w:val="24"/>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23/06/2025.</w:t>
      </w:r>
    </w:p>
    <w:p w14:paraId="3E845083" w14:textId="77777777" w:rsidR="0093608A" w:rsidRDefault="0093608A" w:rsidP="00E20A79">
      <w:pPr>
        <w:spacing w:after="0" w:line="240" w:lineRule="auto"/>
        <w:jc w:val="both"/>
        <w:rPr>
          <w:rFonts w:cs="Arial"/>
          <w:szCs w:val="24"/>
          <w:lang w:val="en-US"/>
        </w:rPr>
      </w:pPr>
    </w:p>
    <w:p w14:paraId="01C80B0D" w14:textId="1EA127B9" w:rsidR="00C92DE0" w:rsidRDefault="00C92DE0" w:rsidP="00E20A79">
      <w:pPr>
        <w:spacing w:after="0" w:line="240" w:lineRule="auto"/>
        <w:jc w:val="both"/>
        <w:rPr>
          <w:rFonts w:cs="Arial"/>
          <w:szCs w:val="24"/>
          <w:lang w:val="en-US"/>
        </w:rPr>
      </w:pPr>
      <w:r w:rsidRPr="00C92DE0">
        <w:rPr>
          <w:rFonts w:cs="Arial"/>
          <w:szCs w:val="24"/>
          <w:lang w:val="en-US"/>
        </w:rPr>
        <w:t>PORTER, M</w:t>
      </w:r>
      <w:r>
        <w:rPr>
          <w:rFonts w:cs="Arial"/>
          <w:szCs w:val="24"/>
          <w:lang w:val="en-US"/>
        </w:rPr>
        <w:t>ichael</w:t>
      </w:r>
      <w:r w:rsidRPr="00C92DE0">
        <w:rPr>
          <w:rFonts w:cs="Arial"/>
          <w:szCs w:val="24"/>
          <w:lang w:val="en-US"/>
        </w:rPr>
        <w:t xml:space="preserve"> E. </w:t>
      </w:r>
      <w:r w:rsidRPr="00C92DE0">
        <w:rPr>
          <w:rFonts w:cs="Arial"/>
          <w:b/>
          <w:bCs/>
          <w:szCs w:val="24"/>
          <w:lang w:val="en-US"/>
        </w:rPr>
        <w:t>Competitive strategy</w:t>
      </w:r>
      <w:r>
        <w:rPr>
          <w:rFonts w:cs="Arial"/>
          <w:szCs w:val="24"/>
          <w:lang w:val="en-US"/>
        </w:rPr>
        <w:t xml:space="preserve">. </w:t>
      </w:r>
      <w:r w:rsidRPr="00C92DE0">
        <w:rPr>
          <w:rFonts w:cs="Arial"/>
          <w:szCs w:val="24"/>
          <w:lang w:val="en-US"/>
        </w:rPr>
        <w:t>New York: Free Press, 1980.</w:t>
      </w:r>
    </w:p>
    <w:p w14:paraId="643DC99A" w14:textId="77777777" w:rsidR="00C92DE0" w:rsidRDefault="00C92DE0" w:rsidP="00E20A79">
      <w:pPr>
        <w:spacing w:after="0" w:line="240" w:lineRule="auto"/>
        <w:jc w:val="both"/>
        <w:rPr>
          <w:rFonts w:cs="Arial"/>
          <w:szCs w:val="24"/>
          <w:lang w:val="en-US"/>
        </w:rPr>
      </w:pPr>
    </w:p>
    <w:p w14:paraId="18FFDCF0" w14:textId="7D7D8BE4" w:rsidR="00C92DE0" w:rsidRDefault="00C92DE0" w:rsidP="00E20A79">
      <w:pPr>
        <w:spacing w:after="0" w:line="240" w:lineRule="auto"/>
        <w:jc w:val="both"/>
        <w:rPr>
          <w:rFonts w:cs="Arial"/>
          <w:szCs w:val="24"/>
        </w:rPr>
      </w:pPr>
      <w:r w:rsidRPr="00C92DE0">
        <w:rPr>
          <w:rFonts w:cs="Arial"/>
          <w:szCs w:val="24"/>
        </w:rPr>
        <w:t xml:space="preserve">PORTER, Michael E. </w:t>
      </w:r>
      <w:r w:rsidRPr="00C92DE0">
        <w:rPr>
          <w:rFonts w:cs="Arial"/>
          <w:b/>
          <w:bCs/>
          <w:szCs w:val="24"/>
        </w:rPr>
        <w:t>Vantagem competitiva</w:t>
      </w:r>
      <w:r w:rsidRPr="00C92DE0">
        <w:rPr>
          <w:rFonts w:cs="Arial"/>
          <w:szCs w:val="24"/>
        </w:rPr>
        <w:t xml:space="preserve">: </w:t>
      </w:r>
      <w:r>
        <w:rPr>
          <w:rFonts w:cs="Arial"/>
          <w:szCs w:val="24"/>
        </w:rPr>
        <w:t>c</w:t>
      </w:r>
      <w:r w:rsidRPr="00C92DE0">
        <w:rPr>
          <w:rFonts w:cs="Arial"/>
          <w:szCs w:val="24"/>
        </w:rPr>
        <w:t xml:space="preserve">riando e </w:t>
      </w:r>
      <w:r>
        <w:rPr>
          <w:rFonts w:cs="Arial"/>
          <w:szCs w:val="24"/>
        </w:rPr>
        <w:t>s</w:t>
      </w:r>
      <w:r w:rsidRPr="00C92DE0">
        <w:rPr>
          <w:rFonts w:cs="Arial"/>
          <w:szCs w:val="24"/>
        </w:rPr>
        <w:t xml:space="preserve">ustentando um </w:t>
      </w:r>
      <w:r>
        <w:rPr>
          <w:rFonts w:cs="Arial"/>
          <w:szCs w:val="24"/>
        </w:rPr>
        <w:t>d</w:t>
      </w:r>
      <w:r w:rsidRPr="00C92DE0">
        <w:rPr>
          <w:rFonts w:cs="Arial"/>
          <w:szCs w:val="24"/>
        </w:rPr>
        <w:t xml:space="preserve">esempenho </w:t>
      </w:r>
      <w:r>
        <w:rPr>
          <w:rFonts w:cs="Arial"/>
          <w:szCs w:val="24"/>
        </w:rPr>
        <w:t>s</w:t>
      </w:r>
      <w:r w:rsidRPr="00C92DE0">
        <w:rPr>
          <w:rFonts w:cs="Arial"/>
          <w:szCs w:val="24"/>
        </w:rPr>
        <w:t>uperior</w:t>
      </w:r>
      <w:r>
        <w:rPr>
          <w:rFonts w:cs="Arial"/>
          <w:szCs w:val="24"/>
        </w:rPr>
        <w:t>. 23 ed. Rio de Janeiro: Campus, 1989.</w:t>
      </w:r>
    </w:p>
    <w:p w14:paraId="19F3506A" w14:textId="77777777" w:rsidR="007D1619" w:rsidRPr="00C92DE0" w:rsidRDefault="007D1619" w:rsidP="00E20A79">
      <w:pPr>
        <w:spacing w:after="0" w:line="240" w:lineRule="auto"/>
        <w:jc w:val="both"/>
        <w:rPr>
          <w:rFonts w:cs="Arial"/>
          <w:szCs w:val="24"/>
        </w:rPr>
      </w:pPr>
    </w:p>
    <w:p w14:paraId="60D5789E" w14:textId="10AADDA8" w:rsidR="00C92DE0" w:rsidRPr="00C92DE0" w:rsidRDefault="00C92DE0" w:rsidP="00E20A79">
      <w:pPr>
        <w:spacing w:after="0" w:line="240" w:lineRule="auto"/>
        <w:jc w:val="both"/>
        <w:rPr>
          <w:rFonts w:cs="Arial"/>
          <w:szCs w:val="24"/>
        </w:rPr>
      </w:pPr>
      <w:r w:rsidRPr="00C92DE0">
        <w:rPr>
          <w:rFonts w:cs="Arial"/>
          <w:szCs w:val="24"/>
        </w:rPr>
        <w:t>PORTER, Michael E. Estratégia De Empresas</w:t>
      </w:r>
      <w:r>
        <w:rPr>
          <w:rFonts w:cs="Arial"/>
          <w:szCs w:val="24"/>
        </w:rPr>
        <w:t>: técnicas para análise de indústrias e da concorrência. Rio de Janeiro: Campus, 2003.</w:t>
      </w:r>
    </w:p>
    <w:p w14:paraId="2A5CEAD0" w14:textId="77777777" w:rsidR="00C92DE0" w:rsidRPr="00C92DE0" w:rsidRDefault="00C92DE0" w:rsidP="00E20A79">
      <w:pPr>
        <w:spacing w:after="0" w:line="240" w:lineRule="auto"/>
        <w:jc w:val="both"/>
        <w:rPr>
          <w:rFonts w:cs="Arial"/>
          <w:szCs w:val="24"/>
        </w:rPr>
      </w:pPr>
    </w:p>
    <w:p w14:paraId="7511886E" w14:textId="77777777" w:rsidR="0093608A" w:rsidRPr="0093608A" w:rsidRDefault="0093608A" w:rsidP="00E20A79">
      <w:pPr>
        <w:spacing w:after="0" w:line="240" w:lineRule="auto"/>
        <w:jc w:val="both"/>
        <w:rPr>
          <w:rFonts w:cs="Arial"/>
          <w:szCs w:val="24"/>
        </w:rPr>
      </w:pPr>
      <w:r w:rsidRPr="0093608A">
        <w:rPr>
          <w:rFonts w:cs="Arial"/>
          <w:szCs w:val="24"/>
          <w:lang w:val="en-US"/>
        </w:rPr>
        <w:t xml:space="preserve">PORTER, Michael E. </w:t>
      </w:r>
      <w:r w:rsidRPr="00C92DE0">
        <w:rPr>
          <w:rFonts w:cs="Arial"/>
          <w:i/>
          <w:iCs/>
          <w:szCs w:val="24"/>
          <w:lang w:val="en-US"/>
        </w:rPr>
        <w:t>et al</w:t>
      </w:r>
      <w:r w:rsidRPr="0093608A">
        <w:rPr>
          <w:rFonts w:cs="Arial"/>
          <w:szCs w:val="24"/>
          <w:lang w:val="en-US"/>
        </w:rPr>
        <w:t>. The link between competitive advantage and corporate social responsibility. </w:t>
      </w:r>
      <w:r w:rsidRPr="0093608A">
        <w:rPr>
          <w:rFonts w:cs="Arial"/>
          <w:b/>
          <w:bCs/>
          <w:szCs w:val="24"/>
        </w:rPr>
        <w:t>Harvard Business Review</w:t>
      </w:r>
      <w:r w:rsidRPr="0093608A">
        <w:rPr>
          <w:rFonts w:cs="Arial"/>
          <w:szCs w:val="24"/>
        </w:rPr>
        <w:t xml:space="preserve">, v. 84, n. 12, p. 78-92, 2006. Disponível em: &lt; </w:t>
      </w:r>
      <w:hyperlink r:id="rId27" w:history="1">
        <w:r w:rsidRPr="0093608A">
          <w:rPr>
            <w:rStyle w:val="Hyperlink"/>
            <w:rFonts w:cs="Arial"/>
            <w:szCs w:val="24"/>
          </w:rPr>
          <w:t>https://www.academia.edu/download/39684170/Porter_Business_Case_for_CSR.pdf</w:t>
        </w:r>
      </w:hyperlink>
      <w:r w:rsidRPr="0093608A">
        <w:rPr>
          <w:rFonts w:cs="Arial"/>
          <w:szCs w:val="24"/>
        </w:rPr>
        <w:t xml:space="preserve"> &gt;. Acesso em: 16/05/2025.</w:t>
      </w:r>
    </w:p>
    <w:p w14:paraId="3CABD1CE" w14:textId="77777777" w:rsidR="0093608A" w:rsidRPr="0093608A" w:rsidRDefault="0093608A" w:rsidP="00E20A79">
      <w:pPr>
        <w:spacing w:after="0" w:line="240" w:lineRule="auto"/>
        <w:jc w:val="both"/>
        <w:rPr>
          <w:rFonts w:cs="Arial"/>
          <w:szCs w:val="24"/>
        </w:rPr>
      </w:pPr>
    </w:p>
    <w:p w14:paraId="269CB0C4" w14:textId="77777777" w:rsidR="0093608A" w:rsidRPr="0093608A" w:rsidRDefault="0093608A" w:rsidP="00E20A79">
      <w:pPr>
        <w:spacing w:after="0" w:line="240" w:lineRule="auto"/>
        <w:jc w:val="both"/>
        <w:rPr>
          <w:rFonts w:cs="Arial"/>
          <w:szCs w:val="24"/>
          <w:lang w:val="en-US"/>
        </w:rPr>
      </w:pPr>
      <w:r w:rsidRPr="0093608A">
        <w:rPr>
          <w:rFonts w:cs="Arial"/>
          <w:szCs w:val="24"/>
        </w:rPr>
        <w:t xml:space="preserve">PROTOGEROU, </w:t>
      </w:r>
      <w:proofErr w:type="spellStart"/>
      <w:r w:rsidRPr="0093608A">
        <w:rPr>
          <w:rFonts w:cs="Arial"/>
          <w:szCs w:val="24"/>
        </w:rPr>
        <w:t>Aimilia</w:t>
      </w:r>
      <w:proofErr w:type="spellEnd"/>
      <w:r w:rsidRPr="0093608A">
        <w:rPr>
          <w:rFonts w:cs="Arial"/>
          <w:szCs w:val="24"/>
        </w:rPr>
        <w:t xml:space="preserve">; CALOGHIROU, </w:t>
      </w:r>
      <w:proofErr w:type="spellStart"/>
      <w:r w:rsidRPr="0093608A">
        <w:rPr>
          <w:rFonts w:cs="Arial"/>
          <w:szCs w:val="24"/>
        </w:rPr>
        <w:t>Yannis</w:t>
      </w:r>
      <w:proofErr w:type="spellEnd"/>
      <w:r w:rsidRPr="0093608A">
        <w:rPr>
          <w:rFonts w:cs="Arial"/>
          <w:szCs w:val="24"/>
        </w:rPr>
        <w:t xml:space="preserve">; LIOUKAS, </w:t>
      </w:r>
      <w:proofErr w:type="spellStart"/>
      <w:r w:rsidRPr="0093608A">
        <w:rPr>
          <w:rFonts w:cs="Arial"/>
          <w:szCs w:val="24"/>
        </w:rPr>
        <w:t>Spyros</w:t>
      </w:r>
      <w:proofErr w:type="spellEnd"/>
      <w:r w:rsidRPr="0093608A">
        <w:rPr>
          <w:rFonts w:cs="Arial"/>
          <w:szCs w:val="24"/>
        </w:rPr>
        <w:t xml:space="preserve">. </w:t>
      </w:r>
      <w:r w:rsidRPr="0093608A">
        <w:rPr>
          <w:rFonts w:cs="Arial"/>
          <w:szCs w:val="24"/>
          <w:lang w:val="en-US"/>
        </w:rPr>
        <w:t>Dynamic capabilities and their indirect impact on firm performance. </w:t>
      </w:r>
      <w:r w:rsidRPr="0093608A">
        <w:rPr>
          <w:rFonts w:cs="Arial"/>
          <w:b/>
          <w:bCs/>
          <w:szCs w:val="24"/>
        </w:rPr>
        <w:t xml:space="preserve">Industrial </w:t>
      </w:r>
      <w:proofErr w:type="spellStart"/>
      <w:r w:rsidRPr="0093608A">
        <w:rPr>
          <w:rFonts w:cs="Arial"/>
          <w:b/>
          <w:bCs/>
          <w:szCs w:val="24"/>
        </w:rPr>
        <w:t>and</w:t>
      </w:r>
      <w:proofErr w:type="spellEnd"/>
      <w:r w:rsidRPr="0093608A">
        <w:rPr>
          <w:rFonts w:cs="Arial"/>
          <w:b/>
          <w:bCs/>
          <w:szCs w:val="24"/>
        </w:rPr>
        <w:t xml:space="preserve"> Corporate </w:t>
      </w:r>
      <w:proofErr w:type="spellStart"/>
      <w:r w:rsidRPr="0093608A">
        <w:rPr>
          <w:rFonts w:cs="Arial"/>
          <w:b/>
          <w:bCs/>
          <w:szCs w:val="24"/>
        </w:rPr>
        <w:t>Change</w:t>
      </w:r>
      <w:proofErr w:type="spellEnd"/>
      <w:r w:rsidRPr="0093608A">
        <w:rPr>
          <w:rFonts w:cs="Arial"/>
          <w:szCs w:val="24"/>
        </w:rPr>
        <w:t xml:space="preserve">, v. 21, n. 3, p. 615-647, 2012. Disponível em: &lt; </w:t>
      </w:r>
      <w:hyperlink r:id="rId28" w:history="1">
        <w:r w:rsidRPr="0093608A">
          <w:rPr>
            <w:rStyle w:val="Hyperlink"/>
            <w:rFonts w:cs="Arial"/>
            <w:szCs w:val="24"/>
          </w:rPr>
          <w:t>https://academic.oup.com/icc/article-abstract/21/3/615/744711</w:t>
        </w:r>
      </w:hyperlink>
      <w:r w:rsidRPr="0093608A">
        <w:rPr>
          <w:rFonts w:cs="Arial"/>
          <w:szCs w:val="24"/>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06/08/2025.</w:t>
      </w:r>
    </w:p>
    <w:p w14:paraId="64361C61" w14:textId="77777777" w:rsidR="0093608A" w:rsidRPr="0093608A" w:rsidRDefault="0093608A" w:rsidP="00E20A79">
      <w:pPr>
        <w:spacing w:after="0" w:line="240" w:lineRule="auto"/>
        <w:jc w:val="both"/>
        <w:rPr>
          <w:rFonts w:cs="Arial"/>
          <w:szCs w:val="24"/>
          <w:lang w:val="en-US"/>
        </w:rPr>
      </w:pPr>
    </w:p>
    <w:p w14:paraId="0AEB9287" w14:textId="77777777" w:rsidR="0093608A" w:rsidRPr="0093608A" w:rsidRDefault="0093608A" w:rsidP="00E20A79">
      <w:pPr>
        <w:spacing w:after="0" w:line="240" w:lineRule="auto"/>
        <w:jc w:val="both"/>
        <w:rPr>
          <w:rFonts w:cs="Arial"/>
          <w:szCs w:val="24"/>
        </w:rPr>
      </w:pPr>
      <w:r w:rsidRPr="0093608A">
        <w:rPr>
          <w:rFonts w:cs="Arial"/>
          <w:szCs w:val="24"/>
          <w:lang w:val="en-US"/>
        </w:rPr>
        <w:t xml:space="preserve">TEECE, David J. Explicating dynamic capabilities: the nature and </w:t>
      </w:r>
      <w:proofErr w:type="spellStart"/>
      <w:r w:rsidRPr="0093608A">
        <w:rPr>
          <w:rFonts w:cs="Arial"/>
          <w:szCs w:val="24"/>
          <w:lang w:val="en-US"/>
        </w:rPr>
        <w:t>microfoundations</w:t>
      </w:r>
      <w:proofErr w:type="spellEnd"/>
      <w:r w:rsidRPr="0093608A">
        <w:rPr>
          <w:rFonts w:cs="Arial"/>
          <w:szCs w:val="24"/>
          <w:lang w:val="en-US"/>
        </w:rPr>
        <w:t xml:space="preserve"> of (sustainable) enterprise performance. </w:t>
      </w:r>
      <w:proofErr w:type="spellStart"/>
      <w:r w:rsidRPr="0093608A">
        <w:rPr>
          <w:rFonts w:cs="Arial"/>
          <w:b/>
          <w:bCs/>
          <w:szCs w:val="24"/>
        </w:rPr>
        <w:t>Strategic</w:t>
      </w:r>
      <w:proofErr w:type="spellEnd"/>
      <w:r w:rsidRPr="0093608A">
        <w:rPr>
          <w:rFonts w:cs="Arial"/>
          <w:b/>
          <w:bCs/>
          <w:szCs w:val="24"/>
        </w:rPr>
        <w:t xml:space="preserve"> Management </w:t>
      </w:r>
      <w:proofErr w:type="spellStart"/>
      <w:r w:rsidRPr="0093608A">
        <w:rPr>
          <w:rFonts w:cs="Arial"/>
          <w:b/>
          <w:bCs/>
          <w:szCs w:val="24"/>
        </w:rPr>
        <w:t>Journal</w:t>
      </w:r>
      <w:proofErr w:type="spellEnd"/>
      <w:r w:rsidRPr="0093608A">
        <w:rPr>
          <w:rFonts w:cs="Arial"/>
          <w:szCs w:val="24"/>
        </w:rPr>
        <w:t xml:space="preserve">, v. 28, n. 13, p. 1319-1350, 2007. Disponível em: &lt; </w:t>
      </w:r>
      <w:hyperlink r:id="rId29" w:history="1">
        <w:r w:rsidRPr="0093608A">
          <w:rPr>
            <w:rStyle w:val="Hyperlink"/>
            <w:rFonts w:cs="Arial"/>
            <w:szCs w:val="24"/>
          </w:rPr>
          <w:t>https://sms.onlinelibrary.wiley.com/doi/abs/10.1002/smj.640</w:t>
        </w:r>
      </w:hyperlink>
      <w:r w:rsidRPr="0093608A">
        <w:rPr>
          <w:rFonts w:cs="Arial"/>
          <w:szCs w:val="24"/>
        </w:rPr>
        <w:t xml:space="preserve"> &gt;. Acesso em: 06/05/2025.</w:t>
      </w:r>
    </w:p>
    <w:p w14:paraId="0A60FDFE" w14:textId="77777777" w:rsidR="0093608A" w:rsidRPr="0093608A" w:rsidRDefault="0093608A" w:rsidP="00E20A79">
      <w:pPr>
        <w:spacing w:after="0" w:line="240" w:lineRule="auto"/>
        <w:jc w:val="both"/>
        <w:rPr>
          <w:rFonts w:cs="Arial"/>
          <w:szCs w:val="24"/>
        </w:rPr>
      </w:pPr>
    </w:p>
    <w:p w14:paraId="45FCAE8C"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TEECE, David J.; PISANO, Gary; SHUEN, Amy. Dynamic capabilities and strategic management. </w:t>
      </w:r>
      <w:proofErr w:type="spellStart"/>
      <w:r w:rsidRPr="0093608A">
        <w:rPr>
          <w:rFonts w:cs="Arial"/>
          <w:b/>
          <w:bCs/>
          <w:szCs w:val="24"/>
        </w:rPr>
        <w:t>Strategic</w:t>
      </w:r>
      <w:proofErr w:type="spellEnd"/>
      <w:r w:rsidRPr="0093608A">
        <w:rPr>
          <w:rFonts w:cs="Arial"/>
          <w:b/>
          <w:bCs/>
          <w:szCs w:val="24"/>
        </w:rPr>
        <w:t xml:space="preserve"> Management </w:t>
      </w:r>
      <w:proofErr w:type="spellStart"/>
      <w:r w:rsidRPr="0093608A">
        <w:rPr>
          <w:rFonts w:cs="Arial"/>
          <w:b/>
          <w:bCs/>
          <w:szCs w:val="24"/>
        </w:rPr>
        <w:t>Journal</w:t>
      </w:r>
      <w:proofErr w:type="spellEnd"/>
      <w:r w:rsidRPr="0093608A">
        <w:rPr>
          <w:rFonts w:cs="Arial"/>
          <w:szCs w:val="24"/>
        </w:rPr>
        <w:t xml:space="preserve">, v. 18, n. 7, p. 509-533, 1997. Disponível em: DOI: &lt; </w:t>
      </w:r>
      <w:hyperlink r:id="rId30" w:history="1">
        <w:r w:rsidRPr="0093608A">
          <w:rPr>
            <w:rStyle w:val="Hyperlink"/>
            <w:rFonts w:cs="Arial"/>
            <w:szCs w:val="24"/>
          </w:rPr>
          <w:t>https://sms.onlinelibrary.wiley.com/doi/abs/10.1002/(SICI)1097-0266(199708)18:7%3C509::AID-SMJ882%3E3.0.CO;2-Z</w:t>
        </w:r>
      </w:hyperlink>
      <w:r w:rsidRPr="0093608A">
        <w:rPr>
          <w:rFonts w:cs="Arial"/>
          <w:szCs w:val="24"/>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27/07/2025.</w:t>
      </w:r>
    </w:p>
    <w:p w14:paraId="09C11052" w14:textId="77777777" w:rsidR="0093608A" w:rsidRDefault="0093608A" w:rsidP="00E20A79">
      <w:pPr>
        <w:spacing w:after="0" w:line="240" w:lineRule="auto"/>
        <w:jc w:val="both"/>
        <w:rPr>
          <w:rFonts w:cs="Arial"/>
          <w:szCs w:val="24"/>
          <w:lang w:val="en-US"/>
        </w:rPr>
      </w:pPr>
    </w:p>
    <w:p w14:paraId="5E8F97E5" w14:textId="2FB4DC88" w:rsidR="00C92DE0" w:rsidRPr="00C92DE0" w:rsidRDefault="00C92DE0" w:rsidP="00E20A79">
      <w:pPr>
        <w:spacing w:after="0" w:line="240" w:lineRule="auto"/>
        <w:jc w:val="both"/>
        <w:rPr>
          <w:rFonts w:cs="Arial"/>
          <w:szCs w:val="24"/>
        </w:rPr>
      </w:pPr>
      <w:r w:rsidRPr="00C92DE0">
        <w:rPr>
          <w:rFonts w:cs="Arial"/>
          <w:szCs w:val="24"/>
        </w:rPr>
        <w:t xml:space="preserve">VASCONCELOS, </w:t>
      </w:r>
      <w:r>
        <w:rPr>
          <w:rFonts w:cs="Arial"/>
          <w:szCs w:val="24"/>
        </w:rPr>
        <w:t xml:space="preserve">Flávio C.; CYRINO, Álvaro B. </w:t>
      </w:r>
      <w:r w:rsidRPr="00C92DE0">
        <w:rPr>
          <w:rFonts w:cs="Arial"/>
          <w:b/>
          <w:bCs/>
          <w:szCs w:val="24"/>
        </w:rPr>
        <w:t>Vantagem Competitiva</w:t>
      </w:r>
      <w:r>
        <w:rPr>
          <w:rFonts w:cs="Arial"/>
          <w:szCs w:val="24"/>
        </w:rPr>
        <w:t xml:space="preserve">: </w:t>
      </w:r>
      <w:r w:rsidRPr="00C92DE0">
        <w:rPr>
          <w:rFonts w:cs="Arial"/>
          <w:szCs w:val="24"/>
        </w:rPr>
        <w:t>os modelos teóricos atuais e a convergência entre estratégia e teoria organizacional</w:t>
      </w:r>
      <w:r>
        <w:rPr>
          <w:rFonts w:cs="Arial"/>
          <w:szCs w:val="24"/>
        </w:rPr>
        <w:t>.</w:t>
      </w:r>
      <w:r w:rsidRPr="00C92DE0">
        <w:rPr>
          <w:rFonts w:cs="Arial"/>
          <w:szCs w:val="24"/>
        </w:rPr>
        <w:t xml:space="preserve"> RAE - </w:t>
      </w:r>
      <w:r w:rsidRPr="00C92DE0">
        <w:rPr>
          <w:rFonts w:cs="Arial"/>
          <w:szCs w:val="24"/>
        </w:rPr>
        <w:lastRenderedPageBreak/>
        <w:t>Revista de Administração de Empresas</w:t>
      </w:r>
      <w:r>
        <w:rPr>
          <w:rFonts w:cs="Arial"/>
          <w:szCs w:val="24"/>
        </w:rPr>
        <w:t>. São Paulo: o</w:t>
      </w:r>
      <w:r w:rsidRPr="00C92DE0">
        <w:rPr>
          <w:rFonts w:cs="Arial"/>
          <w:szCs w:val="24"/>
        </w:rPr>
        <w:t>ut./</w:t>
      </w:r>
      <w:r>
        <w:rPr>
          <w:rFonts w:cs="Arial"/>
          <w:szCs w:val="24"/>
        </w:rPr>
        <w:t>d</w:t>
      </w:r>
      <w:r w:rsidRPr="00C92DE0">
        <w:rPr>
          <w:rFonts w:cs="Arial"/>
          <w:szCs w:val="24"/>
        </w:rPr>
        <w:t>ez.</w:t>
      </w:r>
      <w:r>
        <w:rPr>
          <w:rFonts w:cs="Arial"/>
          <w:szCs w:val="24"/>
        </w:rPr>
        <w:t xml:space="preserve">, 2000, </w:t>
      </w:r>
      <w:r w:rsidRPr="00C92DE0">
        <w:rPr>
          <w:rFonts w:cs="Arial"/>
          <w:szCs w:val="24"/>
        </w:rPr>
        <w:t>v. 40</w:t>
      </w:r>
      <w:r>
        <w:rPr>
          <w:rFonts w:cs="Arial"/>
          <w:szCs w:val="24"/>
        </w:rPr>
        <w:t xml:space="preserve">, </w:t>
      </w:r>
      <w:r w:rsidRPr="00C92DE0">
        <w:rPr>
          <w:rFonts w:cs="Arial"/>
          <w:szCs w:val="24"/>
        </w:rPr>
        <w:t>n. 4</w:t>
      </w:r>
      <w:r>
        <w:rPr>
          <w:rFonts w:cs="Arial"/>
          <w:szCs w:val="24"/>
        </w:rPr>
        <w:t xml:space="preserve">. Disponível em: &lt; &lt; </w:t>
      </w:r>
      <w:hyperlink r:id="rId31" w:history="1">
        <w:r w:rsidRPr="005E45CC">
          <w:rPr>
            <w:rStyle w:val="Hyperlink"/>
            <w:rFonts w:cs="Arial"/>
            <w:szCs w:val="24"/>
          </w:rPr>
          <w:t>https://www.scielo.br/j/rae/a/MN7C5t7BLHf8vLvdjqm3sLj/?format=html&amp;lang=pt</w:t>
        </w:r>
      </w:hyperlink>
      <w:r>
        <w:rPr>
          <w:rFonts w:cs="Arial"/>
          <w:szCs w:val="24"/>
        </w:rPr>
        <w:t xml:space="preserve"> &gt;. </w:t>
      </w:r>
      <w:r w:rsidRPr="00C92DE0">
        <w:rPr>
          <w:rFonts w:cs="Arial"/>
          <w:szCs w:val="24"/>
        </w:rPr>
        <w:t>Acesso em: 2</w:t>
      </w:r>
      <w:r>
        <w:rPr>
          <w:rFonts w:cs="Arial"/>
          <w:szCs w:val="24"/>
        </w:rPr>
        <w:t>8</w:t>
      </w:r>
      <w:r w:rsidRPr="00C92DE0">
        <w:rPr>
          <w:rFonts w:cs="Arial"/>
          <w:szCs w:val="24"/>
        </w:rPr>
        <w:t>/0</w:t>
      </w:r>
      <w:r>
        <w:rPr>
          <w:rFonts w:cs="Arial"/>
          <w:szCs w:val="24"/>
        </w:rPr>
        <w:t>6</w:t>
      </w:r>
      <w:r w:rsidRPr="00C92DE0">
        <w:rPr>
          <w:rFonts w:cs="Arial"/>
          <w:szCs w:val="24"/>
        </w:rPr>
        <w:t>/2025.</w:t>
      </w:r>
    </w:p>
    <w:p w14:paraId="66CDE6F0" w14:textId="77777777" w:rsidR="00C92DE0" w:rsidRPr="00C92DE0" w:rsidRDefault="00C92DE0" w:rsidP="00E20A79">
      <w:pPr>
        <w:spacing w:after="0" w:line="240" w:lineRule="auto"/>
        <w:jc w:val="both"/>
        <w:rPr>
          <w:rFonts w:cs="Arial"/>
          <w:szCs w:val="24"/>
        </w:rPr>
      </w:pPr>
    </w:p>
    <w:p w14:paraId="4E9BDD00"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VIAL, Gregory. Understanding digital transformation: A review and a research agenda. </w:t>
      </w:r>
      <w:proofErr w:type="spellStart"/>
      <w:r w:rsidRPr="0093608A">
        <w:rPr>
          <w:rFonts w:cs="Arial"/>
          <w:b/>
          <w:bCs/>
          <w:szCs w:val="24"/>
        </w:rPr>
        <w:t>Managing</w:t>
      </w:r>
      <w:proofErr w:type="spellEnd"/>
      <w:r w:rsidRPr="0093608A">
        <w:rPr>
          <w:rFonts w:cs="Arial"/>
          <w:b/>
          <w:bCs/>
          <w:szCs w:val="24"/>
        </w:rPr>
        <w:t xml:space="preserve"> Digital </w:t>
      </w:r>
      <w:proofErr w:type="spellStart"/>
      <w:r w:rsidRPr="0093608A">
        <w:rPr>
          <w:rFonts w:cs="Arial"/>
          <w:b/>
          <w:bCs/>
          <w:szCs w:val="24"/>
        </w:rPr>
        <w:t>Transformation</w:t>
      </w:r>
      <w:proofErr w:type="spellEnd"/>
      <w:r w:rsidRPr="0093608A">
        <w:rPr>
          <w:rFonts w:cs="Arial"/>
          <w:szCs w:val="24"/>
        </w:rPr>
        <w:t xml:space="preserve">, p. 13-66, 2021. Disponível em: &lt; </w:t>
      </w:r>
      <w:hyperlink r:id="rId32" w:history="1">
        <w:r w:rsidRPr="0093608A">
          <w:rPr>
            <w:rStyle w:val="Hyperlink"/>
            <w:rFonts w:cs="Arial"/>
            <w:szCs w:val="24"/>
          </w:rPr>
          <w:t>https://www.taylorfrancis.com/chapters/edit/10.4324/9781003008637-4/understanding-digital-transformation-gregory-vial</w:t>
        </w:r>
      </w:hyperlink>
      <w:r w:rsidRPr="0093608A">
        <w:rPr>
          <w:rFonts w:cs="Arial"/>
          <w:szCs w:val="24"/>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19/08/2025.</w:t>
      </w:r>
    </w:p>
    <w:p w14:paraId="4C7A2037" w14:textId="77777777" w:rsidR="0093608A" w:rsidRPr="0093608A" w:rsidRDefault="0093608A" w:rsidP="00E20A79">
      <w:pPr>
        <w:spacing w:after="0" w:line="240" w:lineRule="auto"/>
        <w:jc w:val="both"/>
        <w:rPr>
          <w:rFonts w:cs="Arial"/>
          <w:szCs w:val="24"/>
          <w:lang w:val="en-US"/>
        </w:rPr>
      </w:pPr>
    </w:p>
    <w:p w14:paraId="0432C84F"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WANG, Catherine L.; AHMED, Pervaiz K. Dynamic capabilities: A review and research agenda. </w:t>
      </w:r>
      <w:r w:rsidRPr="0093608A">
        <w:rPr>
          <w:rFonts w:cs="Arial"/>
          <w:b/>
          <w:bCs/>
          <w:szCs w:val="24"/>
          <w:lang w:val="en-US"/>
        </w:rPr>
        <w:t>International Journal of Management Reviews</w:t>
      </w:r>
      <w:r w:rsidRPr="0093608A">
        <w:rPr>
          <w:rFonts w:cs="Arial"/>
          <w:szCs w:val="24"/>
          <w:lang w:val="en-US"/>
        </w:rPr>
        <w:t xml:space="preserve">, v. 9, n. 1, p. 31-51, 2007. </w:t>
      </w:r>
      <w:proofErr w:type="spellStart"/>
      <w:r w:rsidRPr="0093608A">
        <w:rPr>
          <w:rFonts w:cs="Arial"/>
          <w:szCs w:val="24"/>
          <w:lang w:val="en-US"/>
        </w:rPr>
        <w:t>Disponível</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xml:space="preserve">: &lt; </w:t>
      </w:r>
      <w:hyperlink r:id="rId33" w:history="1">
        <w:r w:rsidRPr="0093608A">
          <w:rPr>
            <w:rStyle w:val="Hyperlink"/>
            <w:rFonts w:cs="Arial"/>
            <w:szCs w:val="24"/>
            <w:lang w:val="en-US"/>
          </w:rPr>
          <w:t>https://onlinelibrary.wiley.com/doi/abs/10.1111/j.1468-2370.2007.00201.x</w:t>
        </w:r>
      </w:hyperlink>
      <w:r w:rsidRPr="0093608A">
        <w:rPr>
          <w:rFonts w:cs="Arial"/>
          <w:szCs w:val="24"/>
          <w:lang w:val="en-US"/>
        </w:rPr>
        <w:t xml:space="preserve"> &gt;.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18/06/2025.</w:t>
      </w:r>
    </w:p>
    <w:p w14:paraId="2B3B2883" w14:textId="77777777" w:rsidR="0093608A" w:rsidRPr="0093608A" w:rsidRDefault="0093608A" w:rsidP="00E20A79">
      <w:pPr>
        <w:spacing w:after="0" w:line="240" w:lineRule="auto"/>
        <w:jc w:val="both"/>
        <w:rPr>
          <w:rFonts w:cs="Arial"/>
          <w:szCs w:val="24"/>
          <w:lang w:val="en-US"/>
        </w:rPr>
      </w:pPr>
    </w:p>
    <w:p w14:paraId="178DEAB5" w14:textId="77777777" w:rsidR="0093608A" w:rsidRPr="0093608A" w:rsidRDefault="0093608A" w:rsidP="00E20A79">
      <w:pPr>
        <w:spacing w:after="0" w:line="240" w:lineRule="auto"/>
        <w:jc w:val="both"/>
        <w:rPr>
          <w:rFonts w:cs="Arial"/>
          <w:szCs w:val="24"/>
          <w:lang w:val="en-US"/>
        </w:rPr>
      </w:pPr>
      <w:r w:rsidRPr="0093608A">
        <w:rPr>
          <w:rFonts w:cs="Arial"/>
          <w:szCs w:val="24"/>
          <w:lang w:val="en-US"/>
        </w:rPr>
        <w:t xml:space="preserve">WINTER, Sidney G. Understanding dynamic </w:t>
      </w:r>
      <w:proofErr w:type="spellStart"/>
      <w:r w:rsidRPr="0093608A">
        <w:rPr>
          <w:rFonts w:cs="Arial"/>
          <w:szCs w:val="24"/>
          <w:lang w:val="en-US"/>
        </w:rPr>
        <w:t>apabilities</w:t>
      </w:r>
      <w:proofErr w:type="spellEnd"/>
      <w:r w:rsidRPr="0093608A">
        <w:rPr>
          <w:rFonts w:cs="Arial"/>
          <w:szCs w:val="24"/>
          <w:lang w:val="en-US"/>
        </w:rPr>
        <w:t>. </w:t>
      </w:r>
      <w:r w:rsidRPr="0093608A">
        <w:rPr>
          <w:rFonts w:cs="Arial"/>
          <w:b/>
          <w:bCs/>
          <w:szCs w:val="24"/>
          <w:lang w:val="en-US"/>
        </w:rPr>
        <w:t>Strategic Management Journal</w:t>
      </w:r>
      <w:r w:rsidRPr="0093608A">
        <w:rPr>
          <w:rFonts w:cs="Arial"/>
          <w:szCs w:val="24"/>
          <w:lang w:val="en-US"/>
        </w:rPr>
        <w:t xml:space="preserve">, v. 24, n. 10, p. 991-995, 2003. </w:t>
      </w:r>
      <w:r w:rsidRPr="0093608A">
        <w:rPr>
          <w:rFonts w:cs="Arial"/>
          <w:szCs w:val="24"/>
        </w:rPr>
        <w:t xml:space="preserve">Disponível em: &lt; </w:t>
      </w:r>
      <w:hyperlink r:id="rId34" w:history="1">
        <w:r w:rsidRPr="0093608A">
          <w:rPr>
            <w:rStyle w:val="Hyperlink"/>
            <w:rFonts w:cs="Arial"/>
            <w:szCs w:val="24"/>
          </w:rPr>
          <w:t>https://sms.onlinelibrary.wiley.com/doi/abs/10.1002/smj.318</w:t>
        </w:r>
      </w:hyperlink>
      <w:r w:rsidRPr="0093608A">
        <w:rPr>
          <w:rFonts w:cs="Arial"/>
        </w:rPr>
        <w:t xml:space="preserve"> &gt;</w:t>
      </w:r>
      <w:r w:rsidRPr="0093608A">
        <w:rPr>
          <w:rFonts w:cs="Arial"/>
          <w:szCs w:val="24"/>
        </w:rPr>
        <w:t xml:space="preserve">. </w:t>
      </w:r>
      <w:proofErr w:type="spellStart"/>
      <w:r w:rsidRPr="0093608A">
        <w:rPr>
          <w:rFonts w:cs="Arial"/>
          <w:szCs w:val="24"/>
          <w:lang w:val="en-US"/>
        </w:rPr>
        <w:t>Acesso</w:t>
      </w:r>
      <w:proofErr w:type="spellEnd"/>
      <w:r w:rsidRPr="0093608A">
        <w:rPr>
          <w:rFonts w:cs="Arial"/>
          <w:szCs w:val="24"/>
          <w:lang w:val="en-US"/>
        </w:rPr>
        <w:t xml:space="preserve"> </w:t>
      </w:r>
      <w:proofErr w:type="spellStart"/>
      <w:r w:rsidRPr="0093608A">
        <w:rPr>
          <w:rFonts w:cs="Arial"/>
          <w:szCs w:val="24"/>
          <w:lang w:val="en-US"/>
        </w:rPr>
        <w:t>em</w:t>
      </w:r>
      <w:proofErr w:type="spellEnd"/>
      <w:r w:rsidRPr="0093608A">
        <w:rPr>
          <w:rFonts w:cs="Arial"/>
          <w:szCs w:val="24"/>
          <w:lang w:val="en-US"/>
        </w:rPr>
        <w:t>: 14/05/2025.</w:t>
      </w:r>
    </w:p>
    <w:p w14:paraId="3A71CF50" w14:textId="77777777" w:rsidR="0093608A" w:rsidRPr="0093608A" w:rsidRDefault="0093608A" w:rsidP="00E20A79">
      <w:pPr>
        <w:spacing w:after="0" w:line="240" w:lineRule="auto"/>
        <w:jc w:val="both"/>
        <w:rPr>
          <w:rFonts w:cs="Arial"/>
          <w:szCs w:val="24"/>
          <w:lang w:val="en-US"/>
        </w:rPr>
      </w:pPr>
    </w:p>
    <w:p w14:paraId="3B2AF453" w14:textId="77777777" w:rsidR="0093608A" w:rsidRPr="0093608A" w:rsidRDefault="0093608A" w:rsidP="00E20A79">
      <w:pPr>
        <w:spacing w:after="0" w:line="240" w:lineRule="auto"/>
        <w:jc w:val="both"/>
        <w:rPr>
          <w:rFonts w:cs="Arial"/>
          <w:szCs w:val="24"/>
        </w:rPr>
      </w:pPr>
      <w:r w:rsidRPr="0093608A">
        <w:rPr>
          <w:rFonts w:cs="Arial"/>
          <w:szCs w:val="24"/>
          <w:lang w:val="en-US"/>
        </w:rPr>
        <w:t>ZOLLO, Maurizio; WINTER, Sidney G. Deliberate learning and the evolution of dynamic capabilities. </w:t>
      </w:r>
      <w:proofErr w:type="spellStart"/>
      <w:r w:rsidRPr="0093608A">
        <w:rPr>
          <w:rFonts w:cs="Arial"/>
          <w:b/>
          <w:bCs/>
          <w:szCs w:val="24"/>
        </w:rPr>
        <w:t>Organization</w:t>
      </w:r>
      <w:proofErr w:type="spellEnd"/>
      <w:r w:rsidRPr="0093608A">
        <w:rPr>
          <w:rFonts w:cs="Arial"/>
          <w:b/>
          <w:bCs/>
          <w:szCs w:val="24"/>
        </w:rPr>
        <w:t xml:space="preserve"> Science</w:t>
      </w:r>
      <w:r w:rsidRPr="0093608A">
        <w:rPr>
          <w:rFonts w:cs="Arial"/>
          <w:szCs w:val="24"/>
        </w:rPr>
        <w:t xml:space="preserve">, v. 13, n. 3, p. 339-351, 2002. Disponível em: &lt; </w:t>
      </w:r>
      <w:hyperlink r:id="rId35" w:history="1">
        <w:r w:rsidRPr="0093608A">
          <w:rPr>
            <w:rStyle w:val="Hyperlink"/>
            <w:rFonts w:cs="Arial"/>
            <w:szCs w:val="24"/>
          </w:rPr>
          <w:t>https://pubsonline.informs.org/doi/abs/10.1287/orsc.13.3.339.2780</w:t>
        </w:r>
      </w:hyperlink>
      <w:r w:rsidRPr="0093608A">
        <w:rPr>
          <w:rFonts w:cs="Arial"/>
          <w:szCs w:val="24"/>
        </w:rPr>
        <w:t xml:space="preserve"> &gt;. Acesso em: 15/05/2025.</w:t>
      </w:r>
    </w:p>
    <w:p w14:paraId="708B31C5" w14:textId="77777777" w:rsidR="00854A3C" w:rsidRPr="0093608A" w:rsidRDefault="00854A3C" w:rsidP="00854A3C">
      <w:pPr>
        <w:spacing w:after="0" w:line="240" w:lineRule="auto"/>
        <w:jc w:val="both"/>
        <w:rPr>
          <w:rFonts w:cs="Arial"/>
          <w:szCs w:val="24"/>
        </w:rPr>
      </w:pPr>
    </w:p>
    <w:sectPr w:rsidR="00854A3C" w:rsidRPr="0093608A" w:rsidSect="00854A3C">
      <w:headerReference w:type="default" r:id="rId36"/>
      <w:pgSz w:w="11906" w:h="16838"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88EF" w14:textId="77777777" w:rsidR="00AC7103" w:rsidRPr="00854A3C" w:rsidRDefault="00AC7103" w:rsidP="005753F9">
      <w:pPr>
        <w:spacing w:after="0" w:line="240" w:lineRule="auto"/>
      </w:pPr>
      <w:r w:rsidRPr="00854A3C">
        <w:separator/>
      </w:r>
    </w:p>
  </w:endnote>
  <w:endnote w:type="continuationSeparator" w:id="0">
    <w:p w14:paraId="49ACE407" w14:textId="77777777" w:rsidR="00AC7103" w:rsidRPr="00854A3C" w:rsidRDefault="00AC7103" w:rsidP="005753F9">
      <w:pPr>
        <w:spacing w:after="0" w:line="240" w:lineRule="auto"/>
      </w:pPr>
      <w:r w:rsidRPr="00854A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74DE5" w14:textId="77777777" w:rsidR="00AC7103" w:rsidRPr="00854A3C" w:rsidRDefault="00AC7103" w:rsidP="005753F9">
      <w:pPr>
        <w:spacing w:after="0" w:line="240" w:lineRule="auto"/>
      </w:pPr>
      <w:r w:rsidRPr="00854A3C">
        <w:separator/>
      </w:r>
    </w:p>
  </w:footnote>
  <w:footnote w:type="continuationSeparator" w:id="0">
    <w:p w14:paraId="4201B41C" w14:textId="77777777" w:rsidR="00AC7103" w:rsidRPr="00854A3C" w:rsidRDefault="00AC7103" w:rsidP="005753F9">
      <w:pPr>
        <w:spacing w:after="0" w:line="240" w:lineRule="auto"/>
      </w:pPr>
      <w:r w:rsidRPr="00854A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C607" w14:textId="5F153166" w:rsidR="005753F9" w:rsidRPr="00854A3C" w:rsidRDefault="002C6613" w:rsidP="005753F9">
    <w:pPr>
      <w:pStyle w:val="Cabealho"/>
      <w:tabs>
        <w:tab w:val="clear" w:pos="4680"/>
        <w:tab w:val="clear" w:pos="9360"/>
        <w:tab w:val="left" w:pos="2692"/>
      </w:tabs>
    </w:pPr>
    <w:r w:rsidRPr="00854A3C">
      <w:rPr>
        <w:noProof/>
      </w:rPr>
      <w:drawing>
        <wp:anchor distT="0" distB="0" distL="114300" distR="114300" simplePos="0" relativeHeight="251658240" behindDoc="1" locked="0" layoutInCell="1" allowOverlap="1" wp14:anchorId="4B1507F2" wp14:editId="6A4134FB">
          <wp:simplePos x="0" y="0"/>
          <wp:positionH relativeFrom="column">
            <wp:posOffset>-1261883</wp:posOffset>
          </wp:positionH>
          <wp:positionV relativeFrom="paragraph">
            <wp:posOffset>-639445</wp:posOffset>
          </wp:positionV>
          <wp:extent cx="7784327" cy="11008271"/>
          <wp:effectExtent l="0" t="0" r="7620"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rsidR="005753F9" w:rsidRPr="00854A3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0A963D0B"/>
    <w:multiLevelType w:val="hybridMultilevel"/>
    <w:tmpl w:val="054EB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DB727A9"/>
    <w:multiLevelType w:val="hybridMultilevel"/>
    <w:tmpl w:val="643E2B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2D61C8A"/>
    <w:multiLevelType w:val="multilevel"/>
    <w:tmpl w:val="43B4E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812BFA"/>
    <w:multiLevelType w:val="hybridMultilevel"/>
    <w:tmpl w:val="9A0654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D9B23AA"/>
    <w:multiLevelType w:val="hybridMultilevel"/>
    <w:tmpl w:val="EC3666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46145B4"/>
    <w:multiLevelType w:val="multilevel"/>
    <w:tmpl w:val="B666E6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FB30FFD"/>
    <w:multiLevelType w:val="hybridMultilevel"/>
    <w:tmpl w:val="2DA2F6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3AD30C2"/>
    <w:multiLevelType w:val="hybridMultilevel"/>
    <w:tmpl w:val="87449B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92862BF"/>
    <w:multiLevelType w:val="hybridMultilevel"/>
    <w:tmpl w:val="E4A64098"/>
    <w:lvl w:ilvl="0" w:tplc="71567D98">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48865F2"/>
    <w:multiLevelType w:val="hybridMultilevel"/>
    <w:tmpl w:val="A0508C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78F7AB3"/>
    <w:multiLevelType w:val="hybridMultilevel"/>
    <w:tmpl w:val="F086C5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00782698">
    <w:abstractNumId w:val="8"/>
  </w:num>
  <w:num w:numId="2" w16cid:durableId="1001541098">
    <w:abstractNumId w:val="6"/>
  </w:num>
  <w:num w:numId="3" w16cid:durableId="326640767">
    <w:abstractNumId w:val="5"/>
  </w:num>
  <w:num w:numId="4" w16cid:durableId="1787196869">
    <w:abstractNumId w:val="4"/>
  </w:num>
  <w:num w:numId="5" w16cid:durableId="1366830093">
    <w:abstractNumId w:val="7"/>
  </w:num>
  <w:num w:numId="6" w16cid:durableId="144857964">
    <w:abstractNumId w:val="3"/>
  </w:num>
  <w:num w:numId="7" w16cid:durableId="866454192">
    <w:abstractNumId w:val="2"/>
  </w:num>
  <w:num w:numId="8" w16cid:durableId="1298417307">
    <w:abstractNumId w:val="1"/>
  </w:num>
  <w:num w:numId="9" w16cid:durableId="554395060">
    <w:abstractNumId w:val="0"/>
  </w:num>
  <w:num w:numId="10" w16cid:durableId="47152274">
    <w:abstractNumId w:val="10"/>
  </w:num>
  <w:num w:numId="11" w16cid:durableId="2013757181">
    <w:abstractNumId w:val="23"/>
  </w:num>
  <w:num w:numId="12" w16cid:durableId="1400059779">
    <w:abstractNumId w:val="20"/>
  </w:num>
  <w:num w:numId="13" w16cid:durableId="711729513">
    <w:abstractNumId w:val="14"/>
  </w:num>
  <w:num w:numId="14" w16cid:durableId="1498770162">
    <w:abstractNumId w:val="11"/>
  </w:num>
  <w:num w:numId="15" w16cid:durableId="1666783183">
    <w:abstractNumId w:val="16"/>
  </w:num>
  <w:num w:numId="16" w16cid:durableId="504638854">
    <w:abstractNumId w:val="13"/>
  </w:num>
  <w:num w:numId="17" w16cid:durableId="1002047830">
    <w:abstractNumId w:val="18"/>
  </w:num>
  <w:num w:numId="18" w16cid:durableId="884219220">
    <w:abstractNumId w:val="19"/>
  </w:num>
  <w:num w:numId="19" w16cid:durableId="52703241">
    <w:abstractNumId w:val="22"/>
  </w:num>
  <w:num w:numId="20" w16cid:durableId="262305826">
    <w:abstractNumId w:val="9"/>
  </w:num>
  <w:num w:numId="21" w16cid:durableId="621691">
    <w:abstractNumId w:val="17"/>
  </w:num>
  <w:num w:numId="22" w16cid:durableId="906304759">
    <w:abstractNumId w:val="21"/>
  </w:num>
  <w:num w:numId="23" w16cid:durableId="2005041135">
    <w:abstractNumId w:val="15"/>
  </w:num>
  <w:num w:numId="24" w16cid:durableId="357583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5808"/>
    <w:rsid w:val="001149AD"/>
    <w:rsid w:val="00120035"/>
    <w:rsid w:val="00135F24"/>
    <w:rsid w:val="0015074B"/>
    <w:rsid w:val="00177DCC"/>
    <w:rsid w:val="00181D9C"/>
    <w:rsid w:val="0018359B"/>
    <w:rsid w:val="00275717"/>
    <w:rsid w:val="0029639D"/>
    <w:rsid w:val="002C6613"/>
    <w:rsid w:val="002F1603"/>
    <w:rsid w:val="00300162"/>
    <w:rsid w:val="003003C2"/>
    <w:rsid w:val="00300B9F"/>
    <w:rsid w:val="00326F90"/>
    <w:rsid w:val="00365924"/>
    <w:rsid w:val="003B66C3"/>
    <w:rsid w:val="003F6F7F"/>
    <w:rsid w:val="0045266B"/>
    <w:rsid w:val="00572D56"/>
    <w:rsid w:val="005753F9"/>
    <w:rsid w:val="00590E16"/>
    <w:rsid w:val="00592DDF"/>
    <w:rsid w:val="00655770"/>
    <w:rsid w:val="006949C4"/>
    <w:rsid w:val="00694CA6"/>
    <w:rsid w:val="006F4F0A"/>
    <w:rsid w:val="00702865"/>
    <w:rsid w:val="00706772"/>
    <w:rsid w:val="007D1619"/>
    <w:rsid w:val="007F21FE"/>
    <w:rsid w:val="00825848"/>
    <w:rsid w:val="00831610"/>
    <w:rsid w:val="00854A3C"/>
    <w:rsid w:val="00864F57"/>
    <w:rsid w:val="008A7CA5"/>
    <w:rsid w:val="008F50BC"/>
    <w:rsid w:val="0093608A"/>
    <w:rsid w:val="0097416A"/>
    <w:rsid w:val="00A33A9D"/>
    <w:rsid w:val="00AA1D8D"/>
    <w:rsid w:val="00AC0B5D"/>
    <w:rsid w:val="00AC7103"/>
    <w:rsid w:val="00AD51FF"/>
    <w:rsid w:val="00AD57FF"/>
    <w:rsid w:val="00B01BF8"/>
    <w:rsid w:val="00B27FDF"/>
    <w:rsid w:val="00B47730"/>
    <w:rsid w:val="00B833FC"/>
    <w:rsid w:val="00BB1709"/>
    <w:rsid w:val="00BE7D33"/>
    <w:rsid w:val="00C32781"/>
    <w:rsid w:val="00C72A84"/>
    <w:rsid w:val="00C92DE0"/>
    <w:rsid w:val="00CB0664"/>
    <w:rsid w:val="00CF1272"/>
    <w:rsid w:val="00D6431A"/>
    <w:rsid w:val="00D70619"/>
    <w:rsid w:val="00E20A79"/>
    <w:rsid w:val="00E461A6"/>
    <w:rsid w:val="00F141EF"/>
    <w:rsid w:val="00F31946"/>
    <w:rsid w:val="00F34C19"/>
    <w:rsid w:val="00F76614"/>
    <w:rsid w:val="00F77C65"/>
    <w:rsid w:val="00FC693F"/>
    <w:rsid w:val="00FF2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F231E"/>
  <w14:defaultImageDpi w14:val="300"/>
  <w15:docId w15:val="{0EC34E5F-93DA-46D6-8075-ADC813C4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lang w:val="pt-BR"/>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styleId="MenoPendente">
    <w:name w:val="Unresolved Mention"/>
    <w:basedOn w:val="Fontepargpadro"/>
    <w:uiPriority w:val="99"/>
    <w:semiHidden/>
    <w:unhideWhenUsed/>
    <w:rsid w:val="00E461A6"/>
    <w:rPr>
      <w:color w:val="605E5C"/>
      <w:shd w:val="clear" w:color="auto" w:fill="E1DFDD"/>
    </w:rPr>
  </w:style>
  <w:style w:type="paragraph" w:styleId="NormalWeb">
    <w:name w:val="Normal (Web)"/>
    <w:basedOn w:val="Normal"/>
    <w:uiPriority w:val="99"/>
    <w:semiHidden/>
    <w:unhideWhenUsed/>
    <w:rsid w:val="00854A3C"/>
    <w:pPr>
      <w:spacing w:before="100" w:beforeAutospacing="1" w:after="100" w:afterAutospacing="1" w:line="240" w:lineRule="auto"/>
    </w:pPr>
    <w:rPr>
      <w:rFonts w:ascii="Times New Roman" w:eastAsia="Times New Roman" w:hAnsi="Times New Roman" w:cs="Times New Roman"/>
      <w:szCs w:val="24"/>
      <w:lang w:eastAsia="pt-BR"/>
    </w:rPr>
  </w:style>
  <w:style w:type="table" w:styleId="TabeladeGradeClara">
    <w:name w:val="Grid Table Light"/>
    <w:basedOn w:val="Tabelanormal"/>
    <w:uiPriority w:val="40"/>
    <w:rsid w:val="0093608A"/>
    <w:pPr>
      <w:spacing w:after="0" w:line="240" w:lineRule="auto"/>
    </w:pPr>
    <w:rPr>
      <w:rFonts w:eastAsiaTheme="minorHAnsi"/>
      <w:kern w:val="2"/>
      <w:lang w:val="pt-B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notaderodap">
    <w:name w:val="footnote text"/>
    <w:basedOn w:val="Normal"/>
    <w:link w:val="TextodenotaderodapChar"/>
    <w:uiPriority w:val="99"/>
    <w:semiHidden/>
    <w:unhideWhenUsed/>
    <w:rsid w:val="0093608A"/>
    <w:pPr>
      <w:spacing w:after="0" w:line="240" w:lineRule="auto"/>
    </w:pPr>
    <w:rPr>
      <w:rFonts w:asciiTheme="minorHAnsi" w:eastAsiaTheme="minorHAnsi" w:hAnsiTheme="minorHAnsi"/>
      <w:kern w:val="2"/>
      <w:sz w:val="20"/>
      <w:szCs w:val="20"/>
      <w14:ligatures w14:val="standardContextual"/>
    </w:rPr>
  </w:style>
  <w:style w:type="character" w:customStyle="1" w:styleId="TextodenotaderodapChar">
    <w:name w:val="Texto de nota de rodapé Char"/>
    <w:basedOn w:val="Fontepargpadro"/>
    <w:link w:val="Textodenotaderodap"/>
    <w:uiPriority w:val="99"/>
    <w:semiHidden/>
    <w:rsid w:val="0093608A"/>
    <w:rPr>
      <w:rFonts w:eastAsiaTheme="minorHAnsi"/>
      <w:kern w:val="2"/>
      <w:sz w:val="20"/>
      <w:szCs w:val="20"/>
      <w:lang w:val="pt-BR"/>
      <w14:ligatures w14:val="standardContextual"/>
    </w:rPr>
  </w:style>
  <w:style w:type="character" w:styleId="Refdenotaderodap">
    <w:name w:val="footnote reference"/>
    <w:basedOn w:val="Fontepargpadro"/>
    <w:uiPriority w:val="99"/>
    <w:semiHidden/>
    <w:unhideWhenUsed/>
    <w:rsid w:val="009360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sonline.informs.org/doi/abs/10.1287/orsc.10.3.216" TargetMode="External"/><Relationship Id="rId18" Type="http://schemas.openxmlformats.org/officeDocument/2006/relationships/hyperlink" Target="https://journals.sagepub.com/doi/abs/10.1177/1086026615575176" TargetMode="External"/><Relationship Id="rId26" Type="http://schemas.openxmlformats.org/officeDocument/2006/relationships/hyperlink" Target="https://books.google.com.br/books?hl=ptBR&amp;lr=&amp;id=UzuTAwAAQBAJ&amp;oi=fnd&amp;pg=PP1&amp;dq=OSTERWALDER,+Alexander%3B+PIGNEUR,+Yves.+Business+model+generation:+a+handbook+for+visionaries,+game+changers,+and+challengers.+John+Wiley+%26+Sons,+2010.+&amp;ots=yZGSBaF6_A&amp;sig=nNBBZCYGZIBW2jSaH3IxcsVvJ80" TargetMode="External"/><Relationship Id="rId21" Type="http://schemas.openxmlformats.org/officeDocument/2006/relationships/hyperlink" Target="https://link.springer.com/article/10.1007/S10551-014-2047-5" TargetMode="External"/><Relationship Id="rId34" Type="http://schemas.openxmlformats.org/officeDocument/2006/relationships/hyperlink" Target="https://sms.onlinelibrary.wiley.com/doi/abs/10.1002/smj.318" TargetMode="External"/><Relationship Id="rId7" Type="http://schemas.openxmlformats.org/officeDocument/2006/relationships/endnotes" Target="endnotes.xml"/><Relationship Id="rId12" Type="http://schemas.openxmlformats.org/officeDocument/2006/relationships/hyperlink" Target="https://sloanreview.mit.edu/article/creating-value-through-business-model-innovation/" TargetMode="External"/><Relationship Id="rId17" Type="http://schemas.openxmlformats.org/officeDocument/2006/relationships/hyperlink" Target="https://www.sciencedirect.com/science/article/pii/S0024630109000570" TargetMode="External"/><Relationship Id="rId25" Type="http://schemas.openxmlformats.org/officeDocument/2006/relationships/hyperlink" Target="https://books.google.com.br/books?hl=pt-BR&amp;lr=&amp;id=UzuTAwAAQBAJ&amp;oi=fnd&amp;pg=PP1&amp;dq=OSTERWALDER,+A.%3B+PIGNEUR,+Y.+Business+Model+Generation:+A+Handbook+for+Visionaries,+Game+Changers,+and+Challengers.+Hoboken:+Wiley,+2010.+&amp;ots=yZGSBaF6Xx&amp;sig=Udo-RrOE0vEBfO6gNmjVwU3-cp4" TargetMode="External"/><Relationship Id="rId33" Type="http://schemas.openxmlformats.org/officeDocument/2006/relationships/hyperlink" Target="https://onlinelibrary.wiley.com/doi/abs/10.1111/j.1468-2370.2007.00201.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ncedirect.com/science/article/pii/S0024630109000569" TargetMode="External"/><Relationship Id="rId20" Type="http://schemas.openxmlformats.org/officeDocument/2006/relationships/hyperlink" Target="https://search.proquest.com/openview/804cc9d98196ef6e26d88748e89f8db0/1?pq-origsite=gscholar&amp;cbl=35934" TargetMode="External"/><Relationship Id="rId29" Type="http://schemas.openxmlformats.org/officeDocument/2006/relationships/hyperlink" Target="https://sms.onlinelibrary.wiley.com/doi/abs/10.1002/smj.6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aom.org/doi/abs/10.5465/amr.2014.0394" TargetMode="External"/><Relationship Id="rId24" Type="http://schemas.openxmlformats.org/officeDocument/2006/relationships/hyperlink" Target="https://sms.onlinelibrary.wiley.com/doi/abs/10.1002/smj.2247" TargetMode="External"/><Relationship Id="rId32" Type="http://schemas.openxmlformats.org/officeDocument/2006/relationships/hyperlink" Target="https://www.taylorfrancis.com/chapters/edit/10.4324/9781003008637-4/understanding-digital-transformation-gregory-via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jstor.org/stable/43825919" TargetMode="External"/><Relationship Id="rId23" Type="http://schemas.openxmlformats.org/officeDocument/2006/relationships/hyperlink" Target="https://books.google.com.br/books?hl=pt-BR&amp;lr=&amp;id=u0Tuh5vixLkC&amp;oi=fnd&amp;pg=PR6&amp;dq=HELFAT,+C.+E.+et+al.+(Org.).+Dynamic+Capabilities:+Understanding+Strategic+Change+in+Organizations.+Malden,+MA:+Blackwell,+2007&amp;ots=uLn-3U8oqC&amp;sig=i9bcWtzFrx29TpUcS64g2ukrtvQ" TargetMode="External"/><Relationship Id="rId28" Type="http://schemas.openxmlformats.org/officeDocument/2006/relationships/hyperlink" Target="https://academic.oup.com/icc/article-abstract/21/3/615/744711" TargetMode="External"/><Relationship Id="rId36" Type="http://schemas.openxmlformats.org/officeDocument/2006/relationships/header" Target="header1.xml"/><Relationship Id="rId10" Type="http://schemas.openxmlformats.org/officeDocument/2006/relationships/hyperlink" Target="https://sms.onlinelibrary.wiley.com/doi/abs/10.1002/smj.331" TargetMode="External"/><Relationship Id="rId19" Type="http://schemas.openxmlformats.org/officeDocument/2006/relationships/hyperlink" Target="https://onlinelibrary.wiley.com/doi/abs/10.1002/9781405164054.ch21" TargetMode="External"/><Relationship Id="rId31" Type="http://schemas.openxmlformats.org/officeDocument/2006/relationships/hyperlink" Target="https://www.scielo.br/j/rae/a/MN7C5t7BLHf8vLvdjqm3sLj/?format=html&amp;lang=pt" TargetMode="External"/><Relationship Id="rId4" Type="http://schemas.openxmlformats.org/officeDocument/2006/relationships/settings" Target="settings.xml"/><Relationship Id="rId9" Type="http://schemas.openxmlformats.org/officeDocument/2006/relationships/hyperlink" Target="https://journals.sagepub.com/doi/abs/10.1177/0149206316678451" TargetMode="External"/><Relationship Id="rId14" Type="http://schemas.openxmlformats.org/officeDocument/2006/relationships/hyperlink" Target="https://journals.sagepub.com/doi/abs/10.1177/014920639101700108" TargetMode="External"/><Relationship Id="rId22" Type="http://schemas.openxmlformats.org/officeDocument/2006/relationships/hyperlink" Target="https://journals.aom.org/doi/abs/10.5465/AME.2003.10025194" TargetMode="External"/><Relationship Id="rId27" Type="http://schemas.openxmlformats.org/officeDocument/2006/relationships/hyperlink" Target="https://www.academia.edu/download/39684170/Porter_Business_Case_for_CSR.pdf" TargetMode="External"/><Relationship Id="rId30" Type="http://schemas.openxmlformats.org/officeDocument/2006/relationships/hyperlink" Target="https://sms.onlinelibrary.wiley.com/doi/abs/10.1002/(SICI)1097-0266(199708)18:7%3C509::AID-SMJ882%3E3.0.CO;2-Z" TargetMode="External"/><Relationship Id="rId35" Type="http://schemas.openxmlformats.org/officeDocument/2006/relationships/hyperlink" Target="https://pubsonline.informs.org/doi/abs/10.1287/orsc.13.3.339.2780" TargetMode="Externa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5548</Words>
  <Characters>29965</Characters>
  <Application>Microsoft Office Word</Application>
  <DocSecurity>0</DocSecurity>
  <Lines>249</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ANGRAD</dc:creator>
  <cp:keywords/>
  <dc:description>generated by python-docx</dc:description>
  <cp:lastModifiedBy>Eder Moreira de Freitas</cp:lastModifiedBy>
  <cp:revision>2</cp:revision>
  <cp:lastPrinted>2025-05-08T18:58:00Z</cp:lastPrinted>
  <dcterms:created xsi:type="dcterms:W3CDTF">2025-09-15T15:24:00Z</dcterms:created>
  <dcterms:modified xsi:type="dcterms:W3CDTF">2025-09-15T15:24:00Z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