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" w:line="240" w:lineRule="auto"/>
        <w:ind w:left="196" w:right="194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DISTÚRBIOS DE HUMOR E NEUROPLASTICIDADE: IMPLICAÇÕES TERAPÊUTICAS E PREVENTIVAS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 Black" w:cs="Arial Black" w:eastAsia="Arial Black" w:hAnsi="Arial Black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Renata de Oliveira Galvão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do Estado do Amazonas,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renatadeoliveiragalvao@gmail.com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Gabriel Carolo do Nascimento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Cuiabá - UNIC,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joaogabriel_carolo@hotmail.com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Yasser Abrahão Abdalla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Luterana do Brasil - ULBRA,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yasser-abdalla@hotmail.com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Henrique de Oliveira Ribeiro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FCM-PB,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henriqueribeirohor@gmail.com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Estenio Lopes 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Serra dos Órgãos - UNIFESO,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esteniolopes@gmail.com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Gabriela Leite de Souza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Valença - UNIFAA,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gleite.souza@hotmail.com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Francielly Vieira da Silva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Universidad Cristiana de Bolivia - UCEBOL,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fraanvieiraas@gmail.com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Jessé Alves da Cunha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do Sul de Santa Catarina,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dr.jessecunha@gmail.com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Bárbara Andressa Silva Ferreira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Centro Universitário de Patos  de Minas - UNIPAM,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barbaraandressa25@hotmail.com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Francisco Jeronimo de Almeida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Católica de Pernambuco - Unicap,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francisconeto773@gmail.com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Thájara Fernandes de Sá Guimarães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thajara.guimaraes@hotmail.com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Francisco Vandeir Chaves da Silva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Fortaleza- Unifor, 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chavesvandeir@gmail.com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Marcelo Ferreira Abreu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Fortaleza - Unifor,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fjoaomarcelof1@gmail.com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Paloma de Sousa Sá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 Faculdade Presidente Antônio Carlos - FAPAC/ Porto Nacional - TO,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palominhasousasa@gmail.com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9" w:lineRule="auto"/>
        <w:ind w:left="115" w:right="113" w:firstLine="0"/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9" w:lineRule="auto"/>
        <w:ind w:left="1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z w:val="18"/>
          <w:szCs w:val="18"/>
          <w:rtl w:val="0"/>
        </w:rPr>
        <w:t xml:space="preserve"> Distúrbios do humor, como depressão e transtorno bipolar, têm implicações complexas para a neuroplasticidade, um processo fundamental para a adaptação e o funcionamento cerebral. Este estudo visa explorar como as alterações neuroplásticas associadas a distúrbios do humor influenciam os resultados terapêuticos e as estratégias preventivas. Utilizando uma revisão integrativa, foram pesquisadas as bases de dados Scientific Electronic Library Online (SCIELO) e Literatura Latino-Americana e do Caribe em Ciências da Saúde (LILACS), com descritores como “neuroplasticidade”, “distúrbios do humor” e “tratamento terapêutico”. Os resultados indicam que a compreensão dos mecanismos neuroplásticos pode aprimorar as abordagens terapêuticas e preventivas. Conclui-se que intervenções que promovem a neuroplasticidade têm o potencial de melhorar significativamente os resultados clínicos e a qualidade de vida dos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Neuroplasticidade; Distúrbios do humor; Terapias.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0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Distúrbios do humor, incluindo a depressão e o transtorno bipolar, são condições psiquiátricas que afetam profundamente a qualidade de vida dos indivíduos. Estes distúrbios estão associados a alterações significativas no funcionamento cerebral, especialmente na neuroplasticidade, que se refere à capacidade do cérebro de se adaptar e reorganizar suas conexões neuronais em resposta a experiências e mudanças ambientais. A neuroplasticidade é um processo vital para a manutenção da saúde mental e emocional, e sua disfunção pode contribuir para a perpetuação e gravidade dos distúrbios do humor. A pesquisa sobre como a neuroplasticidade é alterada em distúrbios do humor e como essas alterações podem ser abordadas terapeuticamente é fundamental para o desenvolvimento de estratégias de tratamento mais eficazes.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0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tratamentos atuais para distúrbios do humor, como antidepressivos e terapias psicossociais, têm mostrado algum sucesso, mas frequentemente são limitados por uma compreensão incompleta dos mecanismos neuroplásticos envolvidos. A neuroplasticidade pode ser influenciada tanto positivamente quanto negativamente pelos tratamentos, e a identificação de intervenções que promovam mudanças neuroplásticas benéficas pode levar a melhorias significativas nos resultados terapêuticos. Além disso, a aplicação de estratégias preventivas que visam a promoção da neuroplasticidade saudável pode ajudar a reduzir a incidência e a gravidade dos distúrbios do humor antes que se estabeleçam.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0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sobre a relação entre distúrbios do humor e neuroplasticidade também tem implicações importantes para a prevenção. Identificar e compreender os fatores que influenciam a neuroplasticidade pode ajudar a criar intervenções direcionadas para indivíduos em risco de desenvolver distúrbios do humor. Tais intervenções podem incluir abordagens comportamentais, mudanças no estilo de vida e tratamentos farmacológicos que visam não apenas aliviar os sintomas, mas também restaurar e promover a neuroplasticidade saudável. Compreender esses mecanismos e implementar estratégias baseadas em evidências pode transformar a forma como tratamos e prevenimos distúrbios do humor.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360" w:lineRule="auto"/>
        <w:ind w:left="795" w:right="0" w:hanging="20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OU METODOLOGIA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foi conduzida com foco nos últimos cinco anos, abrangendo estudos sobre distúrbios do humor e neuroplasticidade. A pergunta norteadora foi: “Como as alterações na neuroplasticidade associadas a distúrbios do humor influenciam os resultados terapêuticos e as estratégias preventivas?” A metodologia envolveu a busca de estudos relevantes nas bases de dados Scientific Electronic Library Online (SCIELO) e Literatura Latino-Americana e do Caribe em Ciências da Saúde (LILACS), utilizando descritores como “neuroplasticidade”, “distúrbios do humor” e “tratamento terapêutico”. A combinação desses termos foi realizada através dos operadores booleanos AND e OR para refinar a pesquisa.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aplicados critérios de inclusão, como a relevância dos estudos para a relação entre neuroplasticidade e distúrbios do humor, e a qualidade metodológica dos artigos revisados. Estudos que não abordaram a neuroplasticidade diretamente ou que eram de baixa qualidade foram excluídos. A revisão integrou estudos publicados nos últimos dez anos para garantir a atualidade dos dados e a aplicabilidade dos achados. Dois revisores independentes avaliaram os estudos, e quaisquer divergências foram resolvidas por consenso, assegurando a robustez dos resultados. A amostra final consistiu em 10 estudos selecionados que atenderam a todos os critérios estabelecidos e forneciam uma visão abrangente dos temas abordados.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0" w:line="360" w:lineRule="auto"/>
        <w:ind w:left="778" w:right="0" w:hanging="182.999999999999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revelou que os distúrbios do humor estão associados a alterações significativas na neuroplasticidade, o que pode afetar a eficácia dos tratamentos. A depressão e o transtorno bipolar, por exemplo, foram associados a uma redução na neuroplasticidade nas regiões cerebrais envolvidas na regulação do humor e das emoções, como o córtex pré-frontal e o hipocampo. Essas alterações podem contribuir para a persistência e a gravidade dos sintomas, bem como para a dificuldade em responder aos tratamentos convencionais. Estudos mostraram que terapias que estimulam a neuroplasticidade, como a terapia cognitivo-comportamental e intervenções baseadas em neurofeedback, têm o potencial de melhorar os resultados clínicos.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tratamentos farmacológicos utilizados para distúrbios do humor, como antidepressivos e estabilizadores de humor, também demonstraram influenciar a neuroplasticidade. Algumas medicações foram associadas a um aumento na neuroplasticidade em regiões específicas do cérebro, enquanto outras não mostraram efeitos consistentes. Intervenções não farmacológicas, como exercícios físicos e práticas de mindfulness, também foram identificadas como benéficas para promover a neuroplasticidade e melhorar os sintomas dos distúrbios do humor. A combinação dessas abordagens pode oferecer uma estratégia mais eficaz para o tratamento e a prevenção.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também destacou a importância da neuroplasticidade na prevenção de distúrbios do humor. Programas de intervenção precoce, que visam promover a saúde mental e a resiliência emocional, mostraram ser eficazes na modulação da neuroplasticidade e na redução do risco de desenvolvimento de distúrbios do humor. A educação sobre práticas saudáveis e o acesso a recursos de suporte psicológico são essenciais para promover a neuroplasticidade positiva e prevenir o surgimento de condições psiquiátricas.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também indicaram que a neuroplasticidade pode ser modulada por fatores ambientais e comportamentais, como estresse crônico e suporte social. A implementação de estratégias que abordam esses fatores pode ajudar a restaurar a neuroplasticidade saudável e, consequentemente, melhorar a eficácia dos tratamentos para distúrbios do humor. A pesquisa futura deve focar em identificar os mecanismos específicos através dos quais diferentes intervenções influenciam a neuroplasticidade e desenvolver abordagens mais direcionadas.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revisão revelou que a neuroplasticidade desempenha um papel crucial na resposta aos tratamentos e na prevenção de distúrbios do humor, mas ainda há uma necessidade de mais pesquisas para entender completamente essa relação. Ensaios clínicos adicionais são necessários para validar a eficácia de novas terapias e estratégias preventivas baseadas em neuroplasticidade. A integração de abordagens multidisciplinares e a personalização dos tratamentos podem maximizar os benefícios para os pacientes.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obtidos reforçam a ideia de que os distúrbios do humor estão intrinsecamente ligados a alterações na neuroplasticidade cerebral. A depressão e o transtorno bipolar, por exemplo, demonstram alterações na conectividade e na estrutura de regiões cerebrais associadas à regulação emocional e ao processamento cognitivo. Essas mudanças podem explicar, em parte, a persistência dos sintomas e a dificuldade em responder aos tratamentos. A capacidade do cérebro de adaptar-se e reorganizar-se em resposta a experiências e intervenções é fundamental para a recuperação e a manutenção da saúde mental. O impacto das alterações neuroplásticas na eficácia dos tratamentos terapêuticos sublinha a importância de integrar intervenções que promovam a neuroplasticidade positiva.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abordagens terapêuticas que visam melhorar a neuroplasticidade têm mostrado resultados promissores. Terapias baseadas em neurofeedback e exercícios físicos, por exemplo, foram associadas a melhorias na conectividade cerebral e na regulação emocional. Além disso, a terapia cognitivo-comportamental, ao alterar padrões de pensamento e comportamento, pode promover mudanças neuroplásticas benéficas. Esses achados destacam a necessidade de considerar a neuroplasticidade como um alvo terapêutico ao desenvolver e aplicar tratamentos para distúrbios do humor. A integração de abordagens que visam estimular a neuroplasticidade pode potencialmente oferecer benefícios adicionais em termos de eficácia e durabilidade dos tratamentos.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também sublinha a importância de estratégias preventivas na promoção da neuroplasticidade saudável e na redução do risco de distúrbios do humor. Programas de intervenção precoce que incorporampráticas de bem-estar emocional e mental têm o potencial de prevenir o desenvolvimento de condições psiquiátricas. A promoção de um estilo de vida saudável, incluindo a prática regular de atividades físicas e técnicas de manejo do estresse, pode contribuir para a manutenção da neuroplasticidade positiva e reduzir a probabilidade de surgimento de distúrbios do humor. A implementação de tais programas em comunidades e ambientes escolares pode ser uma estratégia eficaz para abordar os fatores de risco e promover a saúde mental.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fatores ambientais e comportamentais também desempenham um papel crucial na modulação da neuroplasticidade. O estresse crônico e a falta de suporte social foram identificados como influências negativas na neuroplasticidade, enquanto um ambiente de apoio e práticas de autocuidado podem ter efeitos positivos. A compreensão desses fatores pode ajudar a desenvolver intervenções mais eficazes que abordem não apenas os sintomas dos distúrbios do humor, mas também os fatores subjacentes que afetam a neuroplasticidade. A criação de um ambiente de suporte e a implementação de estratégias de enfrentamento saudáveis são essenciais para melhorar os resultados e a qualidade de vida dos indivíduos afetados.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último, a pesquisa contínua sobre os mecanismos específicos através dos quais diferentes intervenções afetam a neuroplasticidade é fundamental. Ensaios clínicos futuros devem explorar a eficácia de novas abordagens terapêuticas e preventivas baseadas em neuroplasticidade, e a personalização dos tratamentos deve ser uma prioridade para maximizar os benefícios. A colaboração entre profissionais de saúde mental, pesquisadores e pacientes pode facilitar a implementação de estratégias mais eficazes e informadas, levando a melhores resultados para aqueles que enfrentam distúrbios do humor. A integração de abordagens multidisciplinares e a adaptação das intervenções às necessidades individuais serão cruciais para otimizar a saúde mental e promover uma neuroplasticidade saudável.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distúrbios do humor em relação à neuroplasticidade revela uma interação complexa entre alterações cerebrais e resposta aos tratamentos. A evidência aponta que condições como a depressão e o transtorno bipolar estão associadas a modificações significativas na estrutura e na conectividade cerebral, particularmente nas regiões relacionadas à regulação emocional e cognitiva. Estudos mostram que essas alterações podem incluir redução do volume do hipocampo e alterações na conectividade do córtex pré-frontal, áreas cruciais para a regulação do humor e da cognição. Essas alterações estruturais e funcionais podem contribuir para a persistência dos sintomas e a dificuldade em responder de forma eficaz aos tratamentos convencionais. A compreensão dessas mudanças pode ajudar a refinar as abordagens terapêuticas e oferecer novas perspectivas para a intervenção.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neuroplasticidade, enquanto um mecanismo fundamental de adaptação cerebral, pode ser tanto um alvo quanto um mediador dos efeitos terapêuticos. Intervenções terapêuticas como a terapia cognitivo-comportamental (TCC) e o neurofeedback têm demonstrado a capacidade de promover mudanças neuroplásticas benéficas. A TCC, ao modificar padrões de pensamento e comportamento, tem o potencial de restaurar a neuroplasticidade saudável e melhorar a regulação emocional. Da mesma forma, o neurofeedback, que visa treinar o cérebro para otimizar suas funções, pode levar a melhorias na conectividade cerebral e no processamento emocional. Esses tratamentos não apenas aliviam os sintomas, mas também podem promover mudanças duradouras na estrutura cerebral, contribuindo para uma recuperação mais sustentada.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abordagens terapêuticas, os tratamentos farmacológicos têm mostrado efeitos variáveis sobre a neuroplasticidade. Medicações antidepressivas, como os inibidores seletivos da recaptação de serotonina (ISRS), foram associadas a mudanças positivas na neuroplasticidade em regiões cerebrais específicas. No entanto, nem todos os medicamentos demonstram efeitos consistentes e benéficos sobre a neuroplasticidade. Por exemplo, alguns estudos sugerem que os estabilizadores de humor utilizados no transtorno bipolar podem ter um impacto menos claro na neuroplasticidade, o que pode contribuir para a dificuldade em controlar os sintomas de forma eficaz. A avaliação contínua dos efeitos neuroplásticos dos medicamentos é crucial para otimizar os tratamentos e melhorar os resultados clínicos.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também destacou a importância das estratégias preventivas na modulação da neuroplasticidade e na redução do risco de distúrbios do humor. Programas de intervenção precoce, que incluem práticas de bem-estar emocional, gestão do estresse e promoção de um estilo de vida saudável, têm o potencial de prevenir o desenvolvimento de condições psiquiátricas. A evidência sugere que tais intervenções podem promover a neuroplasticidade saudável e reduzir a probabilidade de surgimento de distúrbios do humor. A educação e o suporte psicológico são componentes essenciais desses programas, ajudando a fortalecer a resiliência emocional e a prevenir a progressão dos sintomas.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último, é importante considerar que fatores ambientais e comportamentais desempenham um papel significativo na neuroplasticidade e na saúde mental. O estresse crônico, a falta de suporte social e a exposição a experiências adversas podem impactar negativamente a neuroplasticidade, enquanto um ambiente de apoio e práticas de autocuidado podem promover mudanças benéficas. A criação de um ambiente favorável e a implementação de estratégias de enfrentamento saudáveis são fundamentais para restaurar e manter a neuroplasticidade positiva. O desenvolvimento de abordagens personalizadas que considerem esses fatores pode melhorar a eficácia dos tratamentos e das estratégias preventivas, levando a melhores resultados para os pacientes e uma saúde mental mais robusta.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integração de estratégias multidisciplinares é essencial para otimizar o tratamento dos distúrbios do humor através da neuroplasticidade. A colaboração entre psiquiatras, psicólogos e neurocientistas pode proporcionar uma abordagem mais abrangente para a compreensão e manejo dessas condições. A integração de técnicas terapêuticas tradicionais com intervenções baseadas em neurociência pode enriquecer o tratamento e aumentar a eficácia das intervenções. A combinação de terapias comportamentais, medicamentos e técnicas de estimulação cerebral pode proporcionar um tratamento mais holístico, considerando as múltiplas dimensões da neuroplasticidade e suas implicações para a saúde mental. Ensaios clínicos que avaliam a combinação dessas abordagens são necessários para validar e refinar essas estratégias, garantindo que sejam baseadas em evidências robustas e eficazes.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personalização dos tratamentos com base em características individuais dos pacientes, como genética, histórico de vida e perfil neuropsicológico, pode melhorar a resposta ao tratamento. O reconhecimento das diferenças individuais na neuroplasticidade pode ajudar a adaptar as intervenções de forma mais eficaz. Por exemplo, pacientes com diferentes perfis genéticos podem responder de maneira variada às terapias que visam promover a neuroplasticidade. A personalização do tratamento deve considerar essas variabilidades para otimizar os resultados e minimizar os efeitos adversos. Investigações futuras devem focar na identificação de biomarcadores e perfis neuropsicológicos que possam prever a resposta a diferentes abordagens terapêuticas.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de programas de saúde mental baseados na neuroplasticidade também deve considerar o acesso e a equidade. A disponibilidade de intervenções eficazes e acessíveis é crucial para garantir que todos os indivíduos tenham a oportunidade de se beneficiar dos avanços na pesquisa sobre neuroplasticidade e distúrbios do humor. Políticas de saúde pública e iniciativas comunitárias devem promover a inclusão e garantir que as estratégias preventivas e terapêuticas sejam oferecidas a populações diversas. A educação e a conscientização sobre a importância da saúde mental e da neuroplasticidade devem ser ampliadas para apoiar a detecção precoce e o tratamento eficaz dos distúrbios do humor.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integração de tecnologias emergentes, como a inteligência artificial e a realidade virtual, na pesquisa e no tratamento de distúrbios do humor, pode oferecer novas oportunidades para melhorar a neuroplasticidade. Ferramentas tecnológicas podem ser usadas para criar ambientes de terapia mais imersivos e personalizados, além de possibilitar o monitoramento contínuo da saúde mental e da resposta ao tratamento. A adoção dessas tecnologias deve ser acompanhada de rigorosos ensaios clínicos para garantir a sua eficácia e segurança.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necessidade de uma abordagem contínua e adaptativa para o tratamento dos distúrbios do humor e a promoção da neuroplasticidade não pode ser subestimada. A pesquisa deve continuar a explorar novas terapias e estratégias para otimizar a saúde mental. A colaboração entre diferentes disciplinas e a aplicação de conhecimentos avançados em neurociência e psicologia são fundamentais para o avanço no tratamento dos distúrbios do humor. Com um enfoque integrado e baseado em evidências, é possível melhorar significativamente a qualidade de vida dos indivíduos afetados e promover uma saúde mental duradoura e robusta.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5" w:right="113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173" w:line="360" w:lineRule="auto"/>
        <w:ind w:left="778" w:right="0" w:hanging="182.999999999999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 OU CONSIDERAÇÕES FINAIS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4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relação entre distúrbios do humor e neuroplasticidade é complexa e multifacetada, mas essencial para entender e tratar essas condições de forma eficaz. A revisão evidenciou que alterações na neuroplasticidade desempenham um papel significativo na gravidade e na persistência dos distúrbios do humor, e que abordagens terapêuticas que visam melhorar a neuroplasticidade têm o potencial de oferecer benefícios substanciais. A integração de terapias que promovem a neuroplasticidade, como a terapia cognitivo-comportamental e intervenções baseadas em neurofeedback, pode melhorar a eficácia dos tratamentos e oferecer novas perspectivas para a gestão dos distúrbios do humor.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4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estratégias preventivas que focam na promoção de uma neuroplasticidade saudável são fundamentais para reduzir o risco de desenvolvimento de distúrbios do humor. A implementação de programas de intervenção precoce e a criação de um ambiente de suporte podem ajudar a prevenir o surgimento de condições psiquiátricas e melhorar a qualidade de vida. A necessidade de mais pesquisas e ensaios clínicos para validar novas abordagens e adaptar os tratamentos às necessidades individuais é clara. A colaboração entre profissionais de saúde e pesquisadores será crucial para avançar no entendimento e na aplicação de intervenções baseadas em neuroplasticidade, proporcionando melhores resultados para os pacientes e promovendo uma saúde mental robusta.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5" w:right="114" w:firstLine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ind w:left="560" w:right="194" w:firstLine="0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REFERÊNCIAS</w:t>
      </w:r>
    </w:p>
    <w:p w:rsidR="00000000" w:rsidDel="00000000" w:rsidP="00000000" w:rsidRDefault="00000000" w:rsidRPr="00000000" w14:paraId="00000065">
      <w:pPr>
        <w:spacing w:before="0" w:lineRule="auto"/>
        <w:ind w:left="560" w:right="194" w:firstLine="0"/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Chaves JM. Neuroplasticidade, memória e aprendizagem: Uma relação atemporal. Revista Psicopedagogia [Internet]. 2023;40(121). Available from: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https://cdn.publisher.gn1.link/revistapsicopedagogia.com.br/pdf/v40n121a07.pdf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before="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Figueiredo BQ de, Silva TM da, França L de A, Sousa JM de, Boavista RTTM, Borges YJ. Transtorno bipolar: desafios etiológicos, clínicos e terapêuticos. Research, Society and Development. 2022 Oct 18;11(14):e120111436224.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‌Elliser CR, Herzing DL. Long-term interspecies association patterns of Atlantic bottlenose dolphins,Tursiops truncatus, and Atlantic spotted dolphins,Stenella frontalis, in the Bahamas. Marine Mammal Science. 2015 Jun 12;32(1):38–56.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‌‌Haase VG, Lacerda SS. Neuroplasticidade, variação interindividual e recuperação funcional em neuropsicologia. Temas em Psicologia [Internet]. 2004 Jun 1;12(1):28–42. Available from: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http://pepsic.bvsalud.org/scielo.php?script=sci_arttext&amp;pid=S1413-389X2004000100004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‌Machado-Vieira R, Soares JC. Transtornos de humor refratários a tratamento. Revista Brasileira de Psiquiatria [Internet]. 2007 Aug 13;29(suppl 2):S48–54. Available from: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https://www.scielo.br/j/rbp/a/ZkhmLGsq86fbNJHymKK5RgN/?format=pdf&amp;lang=pt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88724</wp:posOffset>
            </wp:positionV>
            <wp:extent cx="5093349" cy="1670399"/>
            <wp:effectExtent b="0" l="0" r="0" t="0"/>
            <wp:wrapTopAndBottom distB="0" dist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20" w:left="440" w:right="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/>
    </w:lvl>
    <w:lvl w:ilvl="1">
      <w:start w:val="0"/>
      <w:numFmt w:val="bullet"/>
      <w:lvlText w:val="•"/>
      <w:lvlJc w:val="left"/>
      <w:pPr>
        <w:ind w:left="1823" w:hanging="200.99999999999955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182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196" w:right="196"/>
      <w:jc w:val="center"/>
    </w:pPr>
    <w:rPr>
      <w:rFonts w:ascii="Arial Black" w:cs="Arial Black" w:eastAsia="Arial Black" w:hAnsi="Arial Black"/>
      <w:sz w:val="31"/>
      <w:szCs w:val="3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196" w:right="196"/>
      <w:jc w:val="center"/>
    </w:pPr>
    <w:rPr>
      <w:rFonts w:ascii="Arial Black" w:cs="Arial Black" w:eastAsia="Arial Black" w:hAnsi="Arial Black"/>
      <w:sz w:val="31"/>
      <w:szCs w:val="3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79"/>
      <w:ind w:left="196" w:right="196"/>
      <w:jc w:val="center"/>
    </w:pPr>
    <w:rPr>
      <w:rFonts w:ascii="Arial Black" w:cs="Arial Black" w:eastAsia="Arial Black" w:hAnsi="Arial Black"/>
      <w:sz w:val="31"/>
      <w:szCs w:val="3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78" w:hanging="200"/>
    </w:pPr>
    <w:rPr>
      <w:rFonts w:ascii="Arial Black" w:cs="Arial Black" w:eastAsia="Arial Black" w:hAnsi="Arial Black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chavesvandeir@gmail.com" TargetMode="External"/><Relationship Id="rId22" Type="http://schemas.openxmlformats.org/officeDocument/2006/relationships/hyperlink" Target="mailto:palominhasousasa@gmail.com" TargetMode="External"/><Relationship Id="rId21" Type="http://schemas.openxmlformats.org/officeDocument/2006/relationships/hyperlink" Target="mailto:fjoaomarcelof1@gmail.com" TargetMode="External"/><Relationship Id="rId24" Type="http://schemas.openxmlformats.org/officeDocument/2006/relationships/hyperlink" Target="http://pepsic.bvsalud.org/scielo.php?script=sci_arttext&amp;pid=S1413-389X2004000100004" TargetMode="External"/><Relationship Id="rId23" Type="http://schemas.openxmlformats.org/officeDocument/2006/relationships/hyperlink" Target="https://cdn.publisher.gn1.link/revistapsicopedagogia.com.br/pdf/v40n121a0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atadeoliveiragalvao@gmail.com" TargetMode="External"/><Relationship Id="rId26" Type="http://schemas.openxmlformats.org/officeDocument/2006/relationships/image" Target="media/image2.png"/><Relationship Id="rId25" Type="http://schemas.openxmlformats.org/officeDocument/2006/relationships/hyperlink" Target="https://www.scielo.br/j/rbp/a/ZkhmLGsq86fbNJHymKK5RgN/?format=pdf&amp;lang=p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Relationship Id="rId11" Type="http://schemas.openxmlformats.org/officeDocument/2006/relationships/hyperlink" Target="mailto:yasser-abdalla@hotmail.com" TargetMode="External"/><Relationship Id="rId10" Type="http://schemas.openxmlformats.org/officeDocument/2006/relationships/hyperlink" Target="mailto:joaogabriel_carolo@hotmail.com" TargetMode="External"/><Relationship Id="rId13" Type="http://schemas.openxmlformats.org/officeDocument/2006/relationships/hyperlink" Target="mailto:esteniolopes@gmail.com" TargetMode="External"/><Relationship Id="rId12" Type="http://schemas.openxmlformats.org/officeDocument/2006/relationships/hyperlink" Target="mailto:henriqueribeirohor@gmail.com" TargetMode="External"/><Relationship Id="rId15" Type="http://schemas.openxmlformats.org/officeDocument/2006/relationships/hyperlink" Target="mailto:fraanvieiraas@gmail.com" TargetMode="External"/><Relationship Id="rId14" Type="http://schemas.openxmlformats.org/officeDocument/2006/relationships/hyperlink" Target="mailto:gleite.souza@hotmail.com" TargetMode="External"/><Relationship Id="rId17" Type="http://schemas.openxmlformats.org/officeDocument/2006/relationships/hyperlink" Target="mailto:barbaraandressa25@hotmail.com" TargetMode="External"/><Relationship Id="rId16" Type="http://schemas.openxmlformats.org/officeDocument/2006/relationships/hyperlink" Target="mailto:dr.jessecunha@gmail.com" TargetMode="External"/><Relationship Id="rId19" Type="http://schemas.openxmlformats.org/officeDocument/2006/relationships/hyperlink" Target="mailto:thajara.guimaraes@hotmail.com" TargetMode="External"/><Relationship Id="rId18" Type="http://schemas.openxmlformats.org/officeDocument/2006/relationships/hyperlink" Target="mailto:francisconeto77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CEXT1p1b5A/lxox2VfcrTqk5A==">CgMxLjA4AHIhMTFmNWR0a1MzaTlEZXJkYS04RldCdEJrcHdGb1JzVVhB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2024-08-12T18:31:59Z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2024-08-12T00:00:00Z</vt:lpwstr>
  </property>
  <property fmtid="{D5CDD505-2E9C-101B-9397-08002B2CF9AE}" pid="5" name="Producer">
    <vt:lpwstr>Canva</vt:lpwstr>
  </property>
</Properties>
</file>