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16EA" w14:textId="77777777" w:rsidR="005F28FC" w:rsidRDefault="005F28FC" w:rsidP="005F28FC">
      <w:pPr>
        <w:rPr>
          <w:rFonts w:ascii="Times New Roman" w:hAnsi="Times New Roman" w:cs="Times New Roman"/>
          <w:b/>
        </w:rPr>
      </w:pPr>
    </w:p>
    <w:p w14:paraId="3B9F95D3" w14:textId="5B75C5BE" w:rsidR="00F65717" w:rsidRDefault="00F65717" w:rsidP="007E4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17">
        <w:rPr>
          <w:rFonts w:ascii="Times New Roman" w:hAnsi="Times New Roman" w:cs="Times New Roman"/>
          <w:b/>
          <w:sz w:val="28"/>
          <w:szCs w:val="28"/>
        </w:rPr>
        <w:t>AVALIAÇÃO DA EFICÁCIA DA FOTOBIOMODULAÇÃO NO CONTROLE DA INFECÇÃO ÓSSEA EM ODONTOLOGIA</w:t>
      </w:r>
    </w:p>
    <w:p w14:paraId="6174C010" w14:textId="77777777" w:rsidR="005F28FC" w:rsidRDefault="005F28FC" w:rsidP="005F28FC">
      <w:pPr>
        <w:jc w:val="center"/>
        <w:rPr>
          <w:rFonts w:ascii="Times New Roman" w:hAnsi="Times New Roman" w:cs="Times New Roman"/>
          <w:b/>
        </w:rPr>
      </w:pPr>
    </w:p>
    <w:p w14:paraId="7256B273" w14:textId="60FD5BAF" w:rsidR="005613D5" w:rsidRPr="00EE3A55" w:rsidRDefault="00F2020A" w:rsidP="00F867ED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Italo George Leoncio Flexa</w:t>
      </w:r>
    </w:p>
    <w:p w14:paraId="300694F8" w14:textId="77777777" w:rsidR="00F2020A" w:rsidRDefault="00F2020A" w:rsidP="00F2020A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5263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is</w:t>
      </w:r>
      <w:r w:rsidRPr="00252638">
        <w:rPr>
          <w:rFonts w:ascii="Times New Roman" w:hAnsi="Times New Roman" w:cs="Times New Roman"/>
          <w:sz w:val="20"/>
          <w:szCs w:val="20"/>
        </w:rPr>
        <w:t xml:space="preserve">cente - Centro Universitário </w:t>
      </w:r>
      <w:proofErr w:type="spellStart"/>
      <w:r w:rsidRPr="00252638">
        <w:rPr>
          <w:rFonts w:ascii="Times New Roman" w:hAnsi="Times New Roman" w:cs="Times New Roman"/>
          <w:sz w:val="20"/>
          <w:szCs w:val="20"/>
        </w:rPr>
        <w:t>Fametro</w:t>
      </w:r>
      <w:proofErr w:type="spellEnd"/>
      <w:r w:rsidRPr="00252638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252638">
        <w:rPr>
          <w:rFonts w:ascii="Times New Roman" w:hAnsi="Times New Roman" w:cs="Times New Roman"/>
          <w:sz w:val="20"/>
          <w:szCs w:val="20"/>
        </w:rPr>
        <w:t>Fortaleza-CE</w:t>
      </w:r>
      <w:proofErr w:type="spellEnd"/>
    </w:p>
    <w:p w14:paraId="4556E135" w14:textId="7E7D1D8E" w:rsidR="005613D5" w:rsidRDefault="00F2020A" w:rsidP="0006025D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italo.flexa@aluno.unifametro.edu.br</w:t>
      </w:r>
    </w:p>
    <w:p w14:paraId="096F7D8D" w14:textId="381DABF8" w:rsidR="00FB551E" w:rsidRDefault="00FB551E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 w:rsidRPr="00FB551E">
        <w:rPr>
          <w:rFonts w:ascii="Times New Roman" w:hAnsi="Times New Roman" w:cs="Times New Roman"/>
          <w:b/>
        </w:rPr>
        <w:t xml:space="preserve">Joyce </w:t>
      </w:r>
      <w:r>
        <w:rPr>
          <w:rFonts w:ascii="Times New Roman" w:hAnsi="Times New Roman" w:cs="Times New Roman"/>
          <w:b/>
        </w:rPr>
        <w:t>V</w:t>
      </w:r>
      <w:r w:rsidRPr="00FB551E">
        <w:rPr>
          <w:rFonts w:ascii="Times New Roman" w:hAnsi="Times New Roman" w:cs="Times New Roman"/>
          <w:b/>
        </w:rPr>
        <w:t xml:space="preserve">ictória </w:t>
      </w:r>
      <w:r>
        <w:rPr>
          <w:rFonts w:ascii="Times New Roman" w:hAnsi="Times New Roman" w:cs="Times New Roman"/>
          <w:b/>
        </w:rPr>
        <w:t>R</w:t>
      </w:r>
      <w:r w:rsidRPr="00FB551E">
        <w:rPr>
          <w:rFonts w:ascii="Times New Roman" w:hAnsi="Times New Roman" w:cs="Times New Roman"/>
          <w:b/>
        </w:rPr>
        <w:t xml:space="preserve">amires </w:t>
      </w:r>
      <w:proofErr w:type="spellStart"/>
      <w:r>
        <w:rPr>
          <w:rFonts w:ascii="Times New Roman" w:hAnsi="Times New Roman" w:cs="Times New Roman"/>
          <w:b/>
        </w:rPr>
        <w:t>C</w:t>
      </w:r>
      <w:r w:rsidRPr="00FB551E">
        <w:rPr>
          <w:rFonts w:ascii="Times New Roman" w:hAnsi="Times New Roman" w:cs="Times New Roman"/>
          <w:b/>
        </w:rPr>
        <w:t>idrão</w:t>
      </w:r>
      <w:proofErr w:type="spellEnd"/>
      <w:r w:rsidRPr="00FB551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</w:t>
      </w:r>
      <w:r w:rsidRPr="00FB551E">
        <w:rPr>
          <w:rFonts w:ascii="Times New Roman" w:hAnsi="Times New Roman" w:cs="Times New Roman"/>
          <w:b/>
        </w:rPr>
        <w:t>orres</w:t>
      </w:r>
    </w:p>
    <w:p w14:paraId="6FD0D3C1" w14:textId="77777777" w:rsidR="00FB551E" w:rsidRDefault="00FB551E" w:rsidP="00FB551E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5263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is</w:t>
      </w:r>
      <w:r w:rsidRPr="00252638">
        <w:rPr>
          <w:rFonts w:ascii="Times New Roman" w:hAnsi="Times New Roman" w:cs="Times New Roman"/>
          <w:sz w:val="20"/>
          <w:szCs w:val="20"/>
        </w:rPr>
        <w:t xml:space="preserve">cente - Centro Universitário </w:t>
      </w:r>
      <w:proofErr w:type="spellStart"/>
      <w:r w:rsidRPr="00252638">
        <w:rPr>
          <w:rFonts w:ascii="Times New Roman" w:hAnsi="Times New Roman" w:cs="Times New Roman"/>
          <w:sz w:val="20"/>
          <w:szCs w:val="20"/>
        </w:rPr>
        <w:t>Fametro</w:t>
      </w:r>
      <w:proofErr w:type="spellEnd"/>
      <w:r w:rsidRPr="00252638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252638">
        <w:rPr>
          <w:rFonts w:ascii="Times New Roman" w:hAnsi="Times New Roman" w:cs="Times New Roman"/>
          <w:sz w:val="20"/>
          <w:szCs w:val="20"/>
        </w:rPr>
        <w:t>Fortaleza-CE</w:t>
      </w:r>
      <w:proofErr w:type="spellEnd"/>
    </w:p>
    <w:p w14:paraId="1BE9B4FB" w14:textId="450FFEEB" w:rsidR="00FB551E" w:rsidRPr="00FB551E" w:rsidRDefault="00FB551E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B551E">
        <w:rPr>
          <w:rFonts w:ascii="Times New Roman" w:hAnsi="Times New Roman" w:cs="Times New Roman"/>
          <w:bCs/>
          <w:sz w:val="20"/>
          <w:szCs w:val="20"/>
        </w:rPr>
        <w:t>j</w:t>
      </w:r>
      <w:r w:rsidRPr="00FB551E">
        <w:rPr>
          <w:rFonts w:ascii="Times New Roman" w:hAnsi="Times New Roman" w:cs="Times New Roman"/>
          <w:bCs/>
          <w:sz w:val="20"/>
          <w:szCs w:val="20"/>
        </w:rPr>
        <w:t>oyce.torres@aluno.unifametro.edu.br</w:t>
      </w:r>
    </w:p>
    <w:p w14:paraId="014327E5" w14:textId="3EFE0902" w:rsidR="00FB551E" w:rsidRDefault="00FB551E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 w:rsidRPr="00FB551E">
        <w:rPr>
          <w:rFonts w:ascii="Times New Roman" w:hAnsi="Times New Roman" w:cs="Times New Roman"/>
          <w:b/>
        </w:rPr>
        <w:t>Moisés Braga Alves Teixeira</w:t>
      </w:r>
    </w:p>
    <w:p w14:paraId="68F7CCD2" w14:textId="77777777" w:rsidR="00FB551E" w:rsidRDefault="00FB551E" w:rsidP="00FB551E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5263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is</w:t>
      </w:r>
      <w:r w:rsidRPr="00252638">
        <w:rPr>
          <w:rFonts w:ascii="Times New Roman" w:hAnsi="Times New Roman" w:cs="Times New Roman"/>
          <w:sz w:val="20"/>
          <w:szCs w:val="20"/>
        </w:rPr>
        <w:t xml:space="preserve">cente - Centro Universitário </w:t>
      </w:r>
      <w:proofErr w:type="spellStart"/>
      <w:r w:rsidRPr="00252638">
        <w:rPr>
          <w:rFonts w:ascii="Times New Roman" w:hAnsi="Times New Roman" w:cs="Times New Roman"/>
          <w:sz w:val="20"/>
          <w:szCs w:val="20"/>
        </w:rPr>
        <w:t>Fametro</w:t>
      </w:r>
      <w:proofErr w:type="spellEnd"/>
      <w:r w:rsidRPr="00252638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252638">
        <w:rPr>
          <w:rFonts w:ascii="Times New Roman" w:hAnsi="Times New Roman" w:cs="Times New Roman"/>
          <w:sz w:val="20"/>
          <w:szCs w:val="20"/>
        </w:rPr>
        <w:t>Fortaleza-CE</w:t>
      </w:r>
      <w:proofErr w:type="spellEnd"/>
    </w:p>
    <w:p w14:paraId="1CD53DC5" w14:textId="689DA4F4" w:rsidR="00FB551E" w:rsidRPr="00FB551E" w:rsidRDefault="00FB551E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B551E">
        <w:rPr>
          <w:rFonts w:ascii="Times New Roman" w:hAnsi="Times New Roman" w:cs="Times New Roman"/>
          <w:bCs/>
          <w:sz w:val="20"/>
          <w:szCs w:val="20"/>
        </w:rPr>
        <w:t>moises.teixeira@aluno.unifametro.edu.br</w:t>
      </w:r>
    </w:p>
    <w:p w14:paraId="34D374A6" w14:textId="7CE89258" w:rsidR="005F28FC" w:rsidRDefault="00B277D1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Barreira de Aguiar Filho</w:t>
      </w:r>
    </w:p>
    <w:p w14:paraId="45AEE9AC" w14:textId="77777777" w:rsidR="00F2020A" w:rsidRDefault="00F2020A" w:rsidP="00F2020A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5263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52638">
        <w:rPr>
          <w:rFonts w:ascii="Times New Roman" w:hAnsi="Times New Roman" w:cs="Times New Roman"/>
          <w:sz w:val="20"/>
          <w:szCs w:val="20"/>
        </w:rPr>
        <w:t xml:space="preserve">cente - Centro Universitário </w:t>
      </w:r>
      <w:proofErr w:type="spellStart"/>
      <w:r w:rsidRPr="00252638">
        <w:rPr>
          <w:rFonts w:ascii="Times New Roman" w:hAnsi="Times New Roman" w:cs="Times New Roman"/>
          <w:sz w:val="20"/>
          <w:szCs w:val="20"/>
        </w:rPr>
        <w:t>Fametro</w:t>
      </w:r>
      <w:proofErr w:type="spellEnd"/>
      <w:r w:rsidRPr="00252638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252638">
        <w:rPr>
          <w:rFonts w:ascii="Times New Roman" w:hAnsi="Times New Roman" w:cs="Times New Roman"/>
          <w:sz w:val="20"/>
          <w:szCs w:val="20"/>
        </w:rPr>
        <w:t>Fortaleza-CE</w:t>
      </w:r>
      <w:proofErr w:type="spellEnd"/>
    </w:p>
    <w:p w14:paraId="62474B04" w14:textId="7F76AC35" w:rsidR="00F2020A" w:rsidRDefault="00B277D1" w:rsidP="00F2020A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nereu.filho</w:t>
      </w:r>
      <w:r w:rsidR="00F2020A">
        <w:rPr>
          <w:rFonts w:ascii="Times New Roman" w:hAnsi="Times New Roman" w:cs="Times New Roman"/>
          <w:sz w:val="20"/>
          <w:szCs w:val="20"/>
        </w:rPr>
        <w:t>@professor.unifametro.edu.br</w:t>
      </w:r>
    </w:p>
    <w:p w14:paraId="3A4FA38C" w14:textId="77777777" w:rsidR="00F2020A" w:rsidRPr="0019190C" w:rsidRDefault="00F2020A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</w:p>
    <w:p w14:paraId="6F4CF085" w14:textId="3BDC4E3C" w:rsidR="00BB4E49" w:rsidRDefault="00BB4E49" w:rsidP="00BB4E49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b/>
        </w:rPr>
        <w:t>Área Temática: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Área temática"/>
          <w:tag w:val="Área temática"/>
          <w:id w:val="972713961"/>
          <w:placeholder>
            <w:docPart w:val="E29F9114AB174BCE908DA59CCCAC06C9"/>
          </w:placeholder>
          <w:dropDownList>
            <w:listItem w:value="Escolher um item."/>
            <w:listItem w:displayText="Alimentos, nutrição e saúde" w:value="Alimentos, nutrição e saúde"/>
            <w:listItem w:displayText="Análise e Cálculo Estrutural" w:value="Análise e Cálculo Estrutural"/>
            <w:listItem w:displayText="Análises Clínicas e Toxicológicas" w:value="Análises Clínicas e Toxicológicas"/>
            <w:listItem w:displayText="Arquitetura de interiores e design" w:value="Arquitetura de interiores e design"/>
            <w:listItem w:displayText="Assistência Farmacêutica" w:value="Assistência Farmacêutica"/>
            <w:listItem w:displayText="Auditoria nas Organizações" w:value="Auditoria nas Organizações"/>
            <w:listItem w:displayText="Bem-estar animal, medicina veterinária preventiva e saúde pública veterinária" w:value="Bem-estar animal, medicina veterinária preventiva e saúde pública veterinária"/>
            <w:listItem w:displayText="Biomecânica do movimento humano" w:value="Biomecânica do movimento humano"/>
            <w:listItem w:displayText="Business Inteligence Artificial e Sistemas de Apoio à decisão" w:value="Business Inteligence Artificial e Sistemas de Apoio à decisão"/>
            <w:listItem w:displayText="Clínica e biotecnologias aplicadas em medicina veterinária" w:value="Clínica e biotecnologias aplicadas em medicina veterinária"/>
            <w:listItem w:displayText="Clínica Odontológica, Odontologia Restauradora e Reabilitadora" w:value="Clínica Odontológica, Odontologia Restauradora e Reabilitadora"/>
            <w:listItem w:displayText="Condições de vida e saúde" w:value="Condições de vida e saúde"/>
            <w:listItem w:displayText="Constituição, Cidadania, Políticas Públicas e Efetivação de Direitos" w:value="Constituição, Cidadania, Políticas Públicas e Efetivação de Direitos"/>
            <w:listItem w:displayText="Contabilidade, Controladoria e Finanças" w:value="Contabilidade, Controladoria e Finanças"/>
            <w:listItem w:displayText="Desenvolvimento de Produtos e Projetos" w:value="Desenvolvimento de Produtos e Projetos"/>
            <w:listItem w:displayText="Direito privado, constitucionalização do direito e relações privadas" w:value="Direito privado, constitucionalização do direito e relações privadas"/>
            <w:listItem w:displayText="Direito processual, jurisdição e acesso à justiça" w:value="Direito processual, jurisdição e acesso à justiça"/>
            <w:listItem w:displayText="Direitos Fundamentais, Sustentabilidade e Democracia" w:value="Direitos Fundamentais, Sustentabilidade e Democracia"/>
            <w:listItem w:displayText="Doenças Crônicas Não-transmissíveis" w:value="Doenças Crônicas Não-transmissíveis"/>
            <w:listItem w:displayText="Engenharia de segurança e saúde do trabalho" w:value="Engenharia de segurança e saúde do trabalho"/>
            <w:listItem w:displayText="Engenharia de Software e Computação em Nuvem" w:value="Engenharia de Software e Computação em Nuvem"/>
            <w:listItem w:displayText="Ensino, Pesquisa e Extensão em Educação" w:value="Ensino, Pesquisa e Extensão em Educação"/>
            <w:listItem w:displayText="Estratégias Organizacionais" w:value="Estratégias Organizacionais"/>
            <w:listItem w:displayText="Estudos de Utilização de Medicamentos" w:value="Estudos de Utilização de Medicamentos"/>
            <w:listItem w:displayText="Exercício físico e desempenho no esporte" w:value="Exercício físico e desempenho no esporte"/>
            <w:listItem w:displayText="Farmácia Hospitalar e Clínica" w:value="Farmácia Hospitalar e Clínica"/>
            <w:listItem w:displayText="Fitoterapia" w:value="Fitoterapia"/>
            <w:listItem w:displayText="Gestão, Tecnologia, Inovação e Sustentabilidade na Construção Civil" w:value="Gestão, Tecnologia, Inovação e Sustentabilidade na Construção Civil"/>
            <w:listItem w:displayText="Hidrogênio verde e energias renováveis" w:value="Hidrogênio verde e energias renováveis"/>
            <w:listItem w:displayText="História, Patrimônio e Identidade" w:value="História, Patrimônio e Identidade"/>
            <w:listItem w:displayText="Inovação e Inteligência Artificial" w:value="Inovação e Inteligência Artificial"/>
            <w:listItem w:displayText="Lean Manufacturing e Gestão" w:value="Lean Manufacturing e Gestão"/>
            <w:listItem w:displayText="Meio Ambiente e Desenvolvimento Sustentável" w:value="Meio Ambiente e Desenvolvimento Sustentável"/>
            <w:listItem w:displayText="Movimentos Sociais, Conflito e Direitos humanos" w:value="Movimentos Sociais, Conflito e Direitos humanos"/>
            <w:listItem w:displayText="Planejamento, Modelos e Estratégias em Gestão de Pessoas" w:value="Planejamento, Modelos e Estratégias em Gestão de Pessoas"/>
            <w:listItem w:displayText="Políticas e Práticas em Saúde Mental" w:value="Políticas e Práticas em Saúde Mental"/>
            <w:listItem w:displayText="Políticas Públicas e Direitos Sociais" w:value="Políticas Públicas e Direitos Sociais"/>
            <w:listItem w:displayText="Prática docente e tecnologias educacionais" w:value="Prática docente e tecnologias educacionais"/>
            <w:listItem w:displayText="Procedimentos Físico-Químicos Utilizados em Estética" w:value="Procedimentos Físico-Químicos Utilizados em Estética"/>
            <w:listItem w:displayText="Processo de Cuidar" w:value="Processo de Cuidar"/>
            <w:listItem w:displayText="Produção do Espaço, Ocupação, Gestão e Cidadania" w:value="Produção do Espaço, Ocupação, Gestão e Cidadania"/>
            <w:listItem w:displayText="Produção e Processamento de Alimentos" w:value="Produção e Processamento de Alimentos"/>
            <w:listItem w:displayText="Produtos Naturais, Farmacológicos e Cosméticos" w:value="Produtos Naturais, Farmacológicos e Cosméticos"/>
            <w:listItem w:displayText="Projeto urbano e paisagismo" w:value="Projeto urbano e paisagismo"/>
            <w:listItem w:displayText="Promoção da Saúde e Tecnologias Aplicadas" w:value="Promoção da Saúde e Tecnologias Aplicadas"/>
            <w:listItem w:displayText="Promoção, Prevenção e Reabilitação em Fisioterapia" w:value="Promoção, Prevenção e Reabilitação em Fisioterapia"/>
            <w:listItem w:displayText="Psicologia da saúde e hospitalar" w:value="Psicologia da saúde e hospitalar"/>
            <w:listItem w:displayText="Psicologia do desenvolvimento humano" w:value="Psicologia do desenvolvimento humano"/>
            <w:listItem w:displayText="Psicologia escolar e educacional" w:value="Psicologia escolar e educacional"/>
            <w:listItem w:displayText="Psicologia jurídica" w:value="Psicologia jurídica"/>
            <w:listItem w:displayText="Psicologia organizacional e do trabalho" w:value="Psicologia organizacional e do trabalho"/>
            <w:listItem w:displayText="Psicologia social e comunitária" w:value="Psicologia social e comunitária"/>
            <w:listItem w:displayText="Qualidade e inovação em alimentos e nutrição" w:value="Qualidade e inovação em alimentos e nutrição"/>
            <w:listItem w:displayText="Saneamento Ambiental, Poluição do Ar, Recursos Hídricos e Geotecnia" w:value="Saneamento Ambiental, Poluição do Ar, Recursos Hídricos e Geotecnia"/>
            <w:listItem w:displayText="Saúde Coletiva, Promoção e Prevenção em Odontologia" w:value="Saúde Coletiva, Promoção e Prevenção em Odontologia"/>
            <w:listItem w:displayText="Saúde Mental e o processo de Adoecimento no Trabalho" w:value="Saúde Mental e o processo de Adoecimento no Trabalho"/>
            <w:listItem w:displayText="Tecnologia em Engenharia de Tráfego e Transporte" w:value="Tecnologia em Engenharia de Tráfego e Transporte"/>
            <w:listItem w:displayText="Teoria do Projeto, da Arquitetura e da Cidade" w:value="Teoria do Projeto, da Arquitetura e da Cidade"/>
            <w:listItem w:displayText="Teorias comportamentais" w:value="Teorias comportamentais"/>
            <w:listItem w:displayText="Teorias humanistas" w:value="Teorias humanistas"/>
            <w:listItem w:displayText="Teorias psicanalistas" w:value="Teorias psicanalistas"/>
          </w:dropDownList>
        </w:sdtPr>
        <w:sdtContent>
          <w:r w:rsidR="000D13B4">
            <w:rPr>
              <w:rFonts w:ascii="Times New Roman" w:hAnsi="Times New Roman" w:cs="Times New Roman"/>
            </w:rPr>
            <w:t>Clínica Odontológica, Odontologia Restauradora e Reabilitadora</w:t>
          </w:r>
        </w:sdtContent>
      </w:sdt>
    </w:p>
    <w:p w14:paraId="75B401BE" w14:textId="062C07CC" w:rsidR="00BB4E49" w:rsidRDefault="00BB4E49" w:rsidP="00BB4E49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Área de Conhecimento: </w:t>
      </w:r>
      <w:sdt>
        <w:sdtPr>
          <w:rPr>
            <w:rFonts w:ascii="Times New Roman" w:hAnsi="Times New Roman" w:cs="Times New Roman"/>
          </w:rPr>
          <w:id w:val="-1406149033"/>
          <w:placeholder>
            <w:docPart w:val="12C3A343D0E44B66AB651FC5E7FE9832"/>
          </w:placeholder>
          <w:dropDownList>
            <w:listItem w:value="Escolher um item."/>
            <w:listItem w:displayText="Ciências Tecnológicas" w:value="Ciências Tecnológicas"/>
            <w:listItem w:displayText="Ciências da Saúde" w:value="Ciências da Saúde"/>
            <w:listItem w:displayText="Ciências Sociais Aplicadas" w:value="Ciências Sociais Aplicadas"/>
          </w:dropDownList>
        </w:sdtPr>
        <w:sdtContent>
          <w:r w:rsidR="000D13B4">
            <w:rPr>
              <w:rFonts w:ascii="Times New Roman" w:hAnsi="Times New Roman" w:cs="Times New Roman"/>
            </w:rPr>
            <w:t>Ciências da Saúde</w:t>
          </w:r>
        </w:sdtContent>
      </w:sdt>
    </w:p>
    <w:p w14:paraId="15B3D7BA" w14:textId="16B6F9E7" w:rsidR="00BB4E49" w:rsidRDefault="00BB4E49" w:rsidP="00BB4E49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Encontro Científico:</w:t>
      </w:r>
      <w:r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alias w:val="Encontro Científico"/>
          <w:tag w:val="Encontro Científico"/>
          <w:id w:val="-720978530"/>
          <w:placeholder>
            <w:docPart w:val="E29F9114AB174BCE908DA59CCCAC06C9"/>
          </w:placeholder>
          <w:dropDownList>
            <w:listItem w:value="Escolher um item."/>
            <w:listItem w:displayText="XIII Encontro de Iniciação à Pesquisa" w:value="XIII Encontro de Iniciação à Pesquisa"/>
            <w:listItem w:displayText="XIII Encontro de Monitoria" w:value="XIII Encontro de Monitoria"/>
            <w:listItem w:displayText="XV Encontro de Pós-graduação" w:value="XV Encontro de Pós-graduação"/>
            <w:listItem w:displayText="VI Encontro de Experiências Docentes" w:value="VI Encontro de Experiências Docentes"/>
          </w:dropDownList>
        </w:sdtPr>
        <w:sdtContent>
          <w:r w:rsidR="009A7641">
            <w:rPr>
              <w:rFonts w:ascii="Times New Roman" w:hAnsi="Times New Roman" w:cs="Times New Roman"/>
              <w:bCs/>
            </w:rPr>
            <w:t>XIII Encontro de Monitoria</w:t>
          </w:r>
        </w:sdtContent>
      </w:sdt>
    </w:p>
    <w:p w14:paraId="31836058" w14:textId="187A3C52" w:rsidR="005F28FC" w:rsidRDefault="005F28FC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</w:p>
    <w:p w14:paraId="1813CDA3" w14:textId="77777777" w:rsidR="005F28FC" w:rsidRDefault="005F28FC" w:rsidP="005F28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E9C27DC" w14:textId="6BCF6ABC" w:rsidR="005613D5" w:rsidRPr="005613D5" w:rsidRDefault="005613D5" w:rsidP="00CE652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Introdução:</w:t>
      </w:r>
      <w:r w:rsidR="00F65717" w:rsidRPr="00F65717">
        <w:t xml:space="preserve"> </w:t>
      </w:r>
      <w:r w:rsidR="00F65717" w:rsidRPr="00F65717">
        <w:rPr>
          <w:rFonts w:ascii="Times New Roman" w:hAnsi="Times New Roman" w:cs="Times New Roman"/>
          <w:bCs/>
        </w:rPr>
        <w:t xml:space="preserve">A </w:t>
      </w:r>
      <w:r w:rsidR="00F65717" w:rsidRPr="00F65717">
        <w:rPr>
          <w:rFonts w:ascii="Times New Roman" w:hAnsi="Times New Roman" w:cs="Times New Roman"/>
        </w:rPr>
        <w:t>fotobiomodulação (FBM),</w:t>
      </w:r>
      <w:r w:rsidR="00F65717" w:rsidRPr="00F65717">
        <w:rPr>
          <w:rFonts w:ascii="Times New Roman" w:hAnsi="Times New Roman" w:cs="Times New Roman"/>
          <w:bCs/>
        </w:rPr>
        <w:t xml:space="preserve"> também conhecida como terapia a laser de baixa intensidade, tem emergido como uma alternativa terapêutica promissora no campo da Odontologia, especialmente no contexto das infecções ósseas da cavidade oral, como a osteomielite e a osteonecrose dos maxilares. Essas condições representam desafios significativos para a prática clínica devido à sua complexidade e resistência aos tratamentos convencionais. A FBM apresenta benefícios amplamente descritos na literatura, incluindo o estímulo à regeneração tecidual, a modulação da resposta inflamatória e a promoção da angiogênese.</w:t>
      </w:r>
      <w:r w:rsidR="00F411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Objetivo:</w:t>
      </w:r>
      <w:r w:rsidR="00F4118E" w:rsidRPr="00F4118E">
        <w:t xml:space="preserve"> </w:t>
      </w:r>
      <w:r w:rsidR="00F4118E">
        <w:rPr>
          <w:rFonts w:ascii="Times New Roman" w:hAnsi="Times New Roman" w:cs="Times New Roman"/>
          <w:bCs/>
        </w:rPr>
        <w:t>A</w:t>
      </w:r>
      <w:r w:rsidR="00F4118E" w:rsidRPr="00F4118E">
        <w:rPr>
          <w:rFonts w:ascii="Times New Roman" w:hAnsi="Times New Roman" w:cs="Times New Roman"/>
          <w:bCs/>
        </w:rPr>
        <w:t xml:space="preserve">valiar a eficácia da </w:t>
      </w:r>
      <w:r w:rsidR="00A86DEA">
        <w:rPr>
          <w:rFonts w:ascii="Times New Roman" w:hAnsi="Times New Roman" w:cs="Times New Roman"/>
          <w:bCs/>
        </w:rPr>
        <w:t>FBM</w:t>
      </w:r>
      <w:r w:rsidR="00F4118E" w:rsidRPr="00F4118E">
        <w:rPr>
          <w:rFonts w:ascii="Times New Roman" w:hAnsi="Times New Roman" w:cs="Times New Roman"/>
          <w:bCs/>
        </w:rPr>
        <w:t xml:space="preserve"> no controle e tratamento de infecções ósseas em Odontologia, com ênfase em sua aplicação na prevenção e manejo de condições como a osteonecrose induzida por medicamentos e a </w:t>
      </w:r>
      <w:proofErr w:type="spellStart"/>
      <w:r w:rsidR="00F4118E" w:rsidRPr="00F4118E">
        <w:rPr>
          <w:rFonts w:ascii="Times New Roman" w:hAnsi="Times New Roman" w:cs="Times New Roman"/>
          <w:bCs/>
        </w:rPr>
        <w:t>osteorradionecrose</w:t>
      </w:r>
      <w:proofErr w:type="spellEnd"/>
      <w:r w:rsidR="00F4118E" w:rsidRPr="00F4118E">
        <w:rPr>
          <w:rFonts w:ascii="Times New Roman" w:hAnsi="Times New Roman" w:cs="Times New Roman"/>
          <w:bCs/>
        </w:rPr>
        <w:t>, além de investigar sua influência na regeneração óssea em diferentes contextos experimentais e clínicos.</w:t>
      </w:r>
      <w:r w:rsidR="00F411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Metodologia:</w:t>
      </w:r>
      <w:r w:rsidR="00CE6525" w:rsidRPr="00CE6525">
        <w:t xml:space="preserve"> </w:t>
      </w:r>
      <w:r w:rsidR="00A86DEA">
        <w:t>C</w:t>
      </w:r>
      <w:r w:rsidR="00CE6525" w:rsidRPr="00CE6525">
        <w:rPr>
          <w:rFonts w:ascii="Times New Roman" w:hAnsi="Times New Roman" w:cs="Times New Roman"/>
          <w:bCs/>
        </w:rPr>
        <w:t xml:space="preserve">onsiste uma revisão de literatura, abrangendo estudos publicados entre 2017 e 2025. A seleção dos artigos foi realizada </w:t>
      </w:r>
      <w:r w:rsidR="00A86DEA">
        <w:rPr>
          <w:rFonts w:ascii="Times New Roman" w:hAnsi="Times New Roman" w:cs="Times New Roman"/>
          <w:bCs/>
        </w:rPr>
        <w:t>através</w:t>
      </w:r>
      <w:r w:rsidR="00CE6525" w:rsidRPr="00CE6525">
        <w:rPr>
          <w:rFonts w:ascii="Times New Roman" w:hAnsi="Times New Roman" w:cs="Times New Roman"/>
          <w:bCs/>
        </w:rPr>
        <w:t xml:space="preserve"> de buscas nas bases de dados </w:t>
      </w:r>
      <w:proofErr w:type="spellStart"/>
      <w:r w:rsidR="00CE6525" w:rsidRPr="00CE6525">
        <w:rPr>
          <w:rFonts w:ascii="Times New Roman" w:hAnsi="Times New Roman" w:cs="Times New Roman"/>
          <w:bCs/>
        </w:rPr>
        <w:t>PubMed</w:t>
      </w:r>
      <w:proofErr w:type="spellEnd"/>
      <w:r w:rsidR="00CE6525" w:rsidRPr="00CE6525">
        <w:rPr>
          <w:rFonts w:ascii="Times New Roman" w:hAnsi="Times New Roman" w:cs="Times New Roman"/>
          <w:bCs/>
        </w:rPr>
        <w:t>, Scopus</w:t>
      </w:r>
      <w:r w:rsidR="009A7641">
        <w:rPr>
          <w:rFonts w:ascii="Times New Roman" w:hAnsi="Times New Roman" w:cs="Times New Roman"/>
          <w:bCs/>
        </w:rPr>
        <w:t xml:space="preserve"> e</w:t>
      </w:r>
      <w:r w:rsidR="00CE6525" w:rsidRPr="00CE6525">
        <w:rPr>
          <w:rFonts w:ascii="Times New Roman" w:hAnsi="Times New Roman" w:cs="Times New Roman"/>
          <w:bCs/>
        </w:rPr>
        <w:t xml:space="preserve"> </w:t>
      </w:r>
      <w:proofErr w:type="spellStart"/>
      <w:r w:rsidR="00CE6525" w:rsidRPr="00CE6525">
        <w:rPr>
          <w:rFonts w:ascii="Times New Roman" w:hAnsi="Times New Roman" w:cs="Times New Roman"/>
          <w:bCs/>
        </w:rPr>
        <w:t>Scielo</w:t>
      </w:r>
      <w:proofErr w:type="spellEnd"/>
      <w:r w:rsidR="00CE6525" w:rsidRPr="00CE6525">
        <w:rPr>
          <w:rFonts w:ascii="Times New Roman" w:hAnsi="Times New Roman" w:cs="Times New Roman"/>
          <w:bCs/>
        </w:rPr>
        <w:t xml:space="preserve">, utilizando os </w:t>
      </w:r>
      <w:r w:rsidR="00CE6525" w:rsidRPr="000D13B4">
        <w:rPr>
          <w:rFonts w:ascii="Times New Roman" w:hAnsi="Times New Roman" w:cs="Times New Roman"/>
          <w:bCs/>
        </w:rPr>
        <w:t>descritores: "</w:t>
      </w:r>
      <w:r w:rsidR="000D13B4" w:rsidRPr="000D13B4">
        <w:rPr>
          <w:rFonts w:ascii="Times New Roman" w:hAnsi="Times New Roman" w:cs="Times New Roman"/>
          <w:bCs/>
        </w:rPr>
        <w:t xml:space="preserve">fotobiomodulação", "infecção óssea", "osteonecrose", </w:t>
      </w:r>
      <w:r w:rsidR="000D13B4" w:rsidRPr="000D13B4">
        <w:rPr>
          <w:rFonts w:ascii="Times New Roman" w:hAnsi="Times New Roman" w:cs="Times New Roman"/>
          <w:bCs/>
        </w:rPr>
        <w:lastRenderedPageBreak/>
        <w:t>"terapia a laser de baixa intensidade</w:t>
      </w:r>
      <w:r w:rsidR="00CE6525" w:rsidRPr="000D13B4">
        <w:rPr>
          <w:rFonts w:ascii="Times New Roman" w:hAnsi="Times New Roman" w:cs="Times New Roman"/>
          <w:bCs/>
        </w:rPr>
        <w:t>" e "dental". Foram incluídos</w:t>
      </w:r>
      <w:r w:rsidR="00CE6525" w:rsidRPr="00CE6525">
        <w:rPr>
          <w:rFonts w:ascii="Times New Roman" w:hAnsi="Times New Roman" w:cs="Times New Roman"/>
          <w:bCs/>
        </w:rPr>
        <w:t xml:space="preserve"> estudos que abordam a aplicação da FBM em contextos de infecção óssea, que apresentaram resultados relevantes sobre sua eficácia no controle da infecção e na promoção da regeneração óssea.</w:t>
      </w:r>
      <w:r w:rsidR="00CE652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Resultados e Discussão: </w:t>
      </w:r>
      <w:r w:rsidR="00A86DEA">
        <w:rPr>
          <w:bCs/>
        </w:rPr>
        <w:t>A</w:t>
      </w:r>
      <w:r w:rsidR="00CE6525" w:rsidRPr="00CE6525">
        <w:rPr>
          <w:bCs/>
        </w:rPr>
        <w:t xml:space="preserve">nálise dos trabalhos selecionados revelou um corpo de evidências crescente acerca do potencial terapêutico da fotobiomodulação. </w:t>
      </w:r>
      <w:r w:rsidR="00EA01FF">
        <w:rPr>
          <w:bCs/>
        </w:rPr>
        <w:t>D</w:t>
      </w:r>
      <w:r w:rsidR="00CE6525" w:rsidRPr="00CE6525">
        <w:rPr>
          <w:bCs/>
        </w:rPr>
        <w:t xml:space="preserve">emonstraram que a FBM pode desempenhar um papel fundamental na prevenção de lesões semelhantes à osteonecrose relacionada a medicamentos, o que reforça o papel da modulação imunológica como um dos principais mecanismos de ação da terapia. Este achado é relevante no contexto de pacientes que utilizam </w:t>
      </w:r>
      <w:proofErr w:type="spellStart"/>
      <w:r w:rsidR="00CE6525" w:rsidRPr="00CE6525">
        <w:rPr>
          <w:bCs/>
        </w:rPr>
        <w:t>bisfosfonatos</w:t>
      </w:r>
      <w:proofErr w:type="spellEnd"/>
      <w:r w:rsidR="00CE6525" w:rsidRPr="00CE6525">
        <w:rPr>
          <w:bCs/>
        </w:rPr>
        <w:t xml:space="preserve"> e apresentam alto risco de osteonecrose. Resultados observaram benefícios da FBM na </w:t>
      </w:r>
      <w:proofErr w:type="spellStart"/>
      <w:r w:rsidR="00CE6525" w:rsidRPr="00CE6525">
        <w:rPr>
          <w:bCs/>
        </w:rPr>
        <w:t>osseointegração</w:t>
      </w:r>
      <w:proofErr w:type="spellEnd"/>
      <w:r w:rsidR="00CE6525" w:rsidRPr="00CE6525">
        <w:rPr>
          <w:bCs/>
        </w:rPr>
        <w:t xml:space="preserve"> de implantes dentários, incluindo maior estabilidade inicial e menor perda óssea marginal, fenômenos que podem ser atribuídos ao estímulo da neoformação óssea e à melhora da microcirculação local.</w:t>
      </w:r>
      <w:r w:rsidR="00F2020A">
        <w:rPr>
          <w:bCs/>
        </w:rPr>
        <w:t xml:space="preserve"> </w:t>
      </w:r>
      <w:r w:rsidR="00CE6525" w:rsidRPr="00CE6525">
        <w:rPr>
          <w:rFonts w:ascii="Times New Roman" w:hAnsi="Times New Roman" w:cs="Times New Roman"/>
          <w:bCs/>
        </w:rPr>
        <w:t>No campo da periodontia</w:t>
      </w:r>
      <w:r w:rsidR="004017F6">
        <w:rPr>
          <w:rFonts w:ascii="Times New Roman" w:hAnsi="Times New Roman" w:cs="Times New Roman"/>
          <w:bCs/>
        </w:rPr>
        <w:t xml:space="preserve">, </w:t>
      </w:r>
      <w:r w:rsidR="00CE6525" w:rsidRPr="00CE6525">
        <w:rPr>
          <w:rFonts w:ascii="Times New Roman" w:hAnsi="Times New Roman" w:cs="Times New Roman"/>
          <w:bCs/>
        </w:rPr>
        <w:t xml:space="preserve">que a terapia com laser de baixa intensidade, quando utilizada como adjuvante ao tratamento periodontal convencional, contribuiu de maneira significativa para a redução da inflamação e para a promoção da regeneração tecidual. Esses efeitos foram atribuídos à ação direta da FBM sobre fibroblastos, osteoblastos e células inflamatórias.  Além disso, seus benefícios incluem a redução da resposta inflamatória e da dor, o estímulo à cicatrização, a prevenção de condições graves como a osteonecrose induzida por medicamentos e a melhoria da estabilidade e da integridade óssea </w:t>
      </w:r>
      <w:proofErr w:type="spellStart"/>
      <w:r w:rsidR="00CE6525" w:rsidRPr="00CE6525">
        <w:rPr>
          <w:rFonts w:ascii="Times New Roman" w:hAnsi="Times New Roman" w:cs="Times New Roman"/>
          <w:bCs/>
        </w:rPr>
        <w:t>peri</w:t>
      </w:r>
      <w:proofErr w:type="spellEnd"/>
      <w:r w:rsidR="00CE6525" w:rsidRPr="00CE6525">
        <w:rPr>
          <w:rFonts w:ascii="Times New Roman" w:hAnsi="Times New Roman" w:cs="Times New Roman"/>
          <w:bCs/>
        </w:rPr>
        <w:t>-implantar. Contudo, apesar dos avanços obtidos, ainda se faz necessário o desenvolvimento de ensaios clínicos randomizados e bem controlados que permitam definir parâmetros ideais de aplicação e consolidar diretrizes clínicas consistentes.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Considerações finais:</w:t>
      </w:r>
      <w:r>
        <w:rPr>
          <w:rFonts w:ascii="Times New Roman" w:hAnsi="Times New Roman" w:cs="Times New Roman"/>
          <w:bCs/>
        </w:rPr>
        <w:t xml:space="preserve"> </w:t>
      </w:r>
      <w:r w:rsidR="00A86DEA">
        <w:rPr>
          <w:rFonts w:ascii="Times New Roman" w:hAnsi="Times New Roman" w:cs="Times New Roman"/>
          <w:bCs/>
        </w:rPr>
        <w:t>A</w:t>
      </w:r>
      <w:r w:rsidR="00CE6525" w:rsidRPr="00CE6525">
        <w:rPr>
          <w:rFonts w:ascii="Times New Roman" w:hAnsi="Times New Roman" w:cs="Times New Roman"/>
          <w:bCs/>
        </w:rPr>
        <w:t xml:space="preserve"> fotobiomodulação pode ser considerada uma estratégia terapêutica promissora na Odontologia, especialmente no manejo de infecções ósseas e na promoção da regeneração tecidual. A consolidação de sua aplicabilidade clínica depende, entretanto, da padronização dos protocolos e da ampliação das evidências disponíveis, de modo a validar de forma robusta sua eficácia e garantir maior segurança e previsibilidade em sua utilização no cotidiano profissional.</w:t>
      </w:r>
    </w:p>
    <w:p w14:paraId="063FA84B" w14:textId="75EB31EA" w:rsidR="005613D5" w:rsidRDefault="005613D5" w:rsidP="005613D5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  <w:bCs/>
        </w:rPr>
        <w:t xml:space="preserve"> </w:t>
      </w:r>
      <w:r w:rsidR="000D13B4" w:rsidRPr="000D13B4">
        <w:rPr>
          <w:rFonts w:ascii="Times New Roman" w:hAnsi="Times New Roman" w:cs="Times New Roman"/>
          <w:bCs/>
        </w:rPr>
        <w:t>"fotobiomodulação", "infecção óssea", "osteonecrose", "terapia a laser de baixa intensidade" e "dental"</w:t>
      </w:r>
      <w:r>
        <w:rPr>
          <w:rFonts w:ascii="Times New Roman" w:hAnsi="Times New Roman" w:cs="Times New Roman"/>
          <w:bCs/>
        </w:rPr>
        <w:t>.</w:t>
      </w:r>
    </w:p>
    <w:p w14:paraId="0BF00119" w14:textId="77777777" w:rsidR="001711EF" w:rsidRDefault="001711EF" w:rsidP="005613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327EDC8" w14:textId="6E9BF8B2" w:rsidR="005613D5" w:rsidRDefault="005613D5" w:rsidP="005613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Referências: </w:t>
      </w:r>
    </w:p>
    <w:p w14:paraId="3F16A0A7" w14:textId="77777777" w:rsidR="00FB551E" w:rsidRDefault="00FB551E" w:rsidP="00FB551E">
      <w:pPr>
        <w:widowControl/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bookmarkStart w:id="0" w:name="_Hlk198921355"/>
      <w:bookmarkStart w:id="1" w:name="_Hlk198921023"/>
      <w:r w:rsidRPr="000B5B9D">
        <w:rPr>
          <w:rFonts w:ascii="Times New Roman" w:hAnsi="Times New Roman" w:cs="Times New Roman"/>
        </w:rPr>
        <w:t xml:space="preserve">Camolesi, F., et al. (2023). </w:t>
      </w:r>
      <w:proofErr w:type="spellStart"/>
      <w:r w:rsidRPr="000B5B9D">
        <w:rPr>
          <w:rFonts w:ascii="Times New Roman" w:hAnsi="Times New Roman" w:cs="Times New Roman"/>
        </w:rPr>
        <w:t>Photobiomodulation</w:t>
      </w:r>
      <w:proofErr w:type="spellEnd"/>
      <w:r w:rsidRPr="000B5B9D">
        <w:rPr>
          <w:rFonts w:ascii="Times New Roman" w:hAnsi="Times New Roman" w:cs="Times New Roman"/>
        </w:rPr>
        <w:t xml:space="preserve"> in dental </w:t>
      </w:r>
      <w:proofErr w:type="spellStart"/>
      <w:r w:rsidRPr="000B5B9D">
        <w:rPr>
          <w:rFonts w:ascii="Times New Roman" w:hAnsi="Times New Roman" w:cs="Times New Roman"/>
        </w:rPr>
        <w:t>implant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stability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and</w:t>
      </w:r>
      <w:proofErr w:type="spellEnd"/>
      <w:r w:rsidRPr="000B5B9D">
        <w:rPr>
          <w:rFonts w:ascii="Times New Roman" w:hAnsi="Times New Roman" w:cs="Times New Roman"/>
        </w:rPr>
        <w:t xml:space="preserve"> post-</w:t>
      </w:r>
      <w:proofErr w:type="spellStart"/>
      <w:r w:rsidRPr="000B5B9D">
        <w:rPr>
          <w:rFonts w:ascii="Times New Roman" w:hAnsi="Times New Roman" w:cs="Times New Roman"/>
        </w:rPr>
        <w:t>surgical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healing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and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inflammation</w:t>
      </w:r>
      <w:proofErr w:type="spellEnd"/>
      <w:r w:rsidRPr="000B5B9D">
        <w:rPr>
          <w:rFonts w:ascii="Times New Roman" w:hAnsi="Times New Roman" w:cs="Times New Roman"/>
        </w:rPr>
        <w:t xml:space="preserve">: A </w:t>
      </w:r>
      <w:proofErr w:type="spellStart"/>
      <w:r w:rsidRPr="000B5B9D">
        <w:rPr>
          <w:rFonts w:ascii="Times New Roman" w:hAnsi="Times New Roman" w:cs="Times New Roman"/>
        </w:rPr>
        <w:t>randomized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double-blind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study</w:t>
      </w:r>
      <w:proofErr w:type="spellEnd"/>
      <w:r w:rsidRPr="000B5B9D">
        <w:rPr>
          <w:rFonts w:ascii="Times New Roman" w:hAnsi="Times New Roman" w:cs="Times New Roman"/>
        </w:rPr>
        <w:t xml:space="preserve">. </w:t>
      </w:r>
      <w:r w:rsidRPr="000B5B9D">
        <w:rPr>
          <w:rFonts w:ascii="Times New Roman" w:hAnsi="Times New Roman" w:cs="Times New Roman"/>
          <w:i/>
          <w:iCs/>
        </w:rPr>
        <w:t xml:space="preserve">Clinical Oral </w:t>
      </w:r>
      <w:proofErr w:type="spellStart"/>
      <w:r w:rsidRPr="000B5B9D">
        <w:rPr>
          <w:rFonts w:ascii="Times New Roman" w:hAnsi="Times New Roman" w:cs="Times New Roman"/>
          <w:i/>
          <w:iCs/>
        </w:rPr>
        <w:t>Implants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Research</w:t>
      </w:r>
      <w:proofErr w:type="spellEnd"/>
      <w:r w:rsidRPr="000B5B9D">
        <w:rPr>
          <w:rFonts w:ascii="Times New Roman" w:hAnsi="Times New Roman" w:cs="Times New Roman"/>
        </w:rPr>
        <w:t xml:space="preserve">, 34(1), 45-54. </w:t>
      </w:r>
    </w:p>
    <w:p w14:paraId="1B0AC44D" w14:textId="77777777" w:rsidR="00FB551E" w:rsidRDefault="00FB551E" w:rsidP="00FB551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0B5B9D">
        <w:rPr>
          <w:rFonts w:ascii="Times New Roman" w:hAnsi="Times New Roman" w:cs="Times New Roman"/>
        </w:rPr>
        <w:lastRenderedPageBreak/>
        <w:t xml:space="preserve">González, A. M., et al. (2022). </w:t>
      </w:r>
      <w:proofErr w:type="spellStart"/>
      <w:r w:rsidRPr="000B5B9D">
        <w:rPr>
          <w:rFonts w:ascii="Times New Roman" w:hAnsi="Times New Roman" w:cs="Times New Roman"/>
        </w:rPr>
        <w:t>Effectiveness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of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photobiomodulation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therapy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on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human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bone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healing</w:t>
      </w:r>
      <w:proofErr w:type="spellEnd"/>
      <w:r w:rsidRPr="000B5B9D">
        <w:rPr>
          <w:rFonts w:ascii="Times New Roman" w:hAnsi="Times New Roman" w:cs="Times New Roman"/>
        </w:rPr>
        <w:t xml:space="preserve"> in </w:t>
      </w:r>
      <w:proofErr w:type="spellStart"/>
      <w:r w:rsidRPr="000B5B9D">
        <w:rPr>
          <w:rFonts w:ascii="Times New Roman" w:hAnsi="Times New Roman" w:cs="Times New Roman"/>
        </w:rPr>
        <w:t>dentistry</w:t>
      </w:r>
      <w:proofErr w:type="spellEnd"/>
      <w:r w:rsidRPr="000B5B9D">
        <w:rPr>
          <w:rFonts w:ascii="Times New Roman" w:hAnsi="Times New Roman" w:cs="Times New Roman"/>
        </w:rPr>
        <w:t xml:space="preserve">: A </w:t>
      </w:r>
      <w:proofErr w:type="spellStart"/>
      <w:r w:rsidRPr="000B5B9D">
        <w:rPr>
          <w:rFonts w:ascii="Times New Roman" w:hAnsi="Times New Roman" w:cs="Times New Roman"/>
        </w:rPr>
        <w:t>systematic</w:t>
      </w:r>
      <w:proofErr w:type="spellEnd"/>
      <w:r w:rsidRPr="000B5B9D">
        <w:rPr>
          <w:rFonts w:ascii="Times New Roman" w:hAnsi="Times New Roman" w:cs="Times New Roman"/>
        </w:rPr>
        <w:t xml:space="preserve"> review. </w:t>
      </w:r>
      <w:proofErr w:type="spellStart"/>
      <w:r w:rsidRPr="000B5B9D">
        <w:rPr>
          <w:rFonts w:ascii="Times New Roman" w:hAnsi="Times New Roman" w:cs="Times New Roman"/>
          <w:i/>
          <w:iCs/>
        </w:rPr>
        <w:t>Photomedicine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and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Laser </w:t>
      </w:r>
      <w:proofErr w:type="spellStart"/>
      <w:r w:rsidRPr="000B5B9D">
        <w:rPr>
          <w:rFonts w:ascii="Times New Roman" w:hAnsi="Times New Roman" w:cs="Times New Roman"/>
          <w:i/>
          <w:iCs/>
        </w:rPr>
        <w:t>Surgery</w:t>
      </w:r>
      <w:proofErr w:type="spellEnd"/>
      <w:r w:rsidRPr="000B5B9D">
        <w:rPr>
          <w:rFonts w:ascii="Times New Roman" w:hAnsi="Times New Roman" w:cs="Times New Roman"/>
        </w:rPr>
        <w:t>, 40(5), 287-295.</w:t>
      </w:r>
    </w:p>
    <w:p w14:paraId="10A23E32" w14:textId="77777777" w:rsidR="00FB551E" w:rsidRPr="000B5B9D" w:rsidRDefault="00FB551E" w:rsidP="00FB551E">
      <w:pPr>
        <w:widowControl/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bookmarkStart w:id="2" w:name="_Hlk198921109"/>
      <w:proofErr w:type="spellStart"/>
      <w:r w:rsidRPr="000B5B9D">
        <w:rPr>
          <w:rFonts w:ascii="Times New Roman" w:hAnsi="Times New Roman" w:cs="Times New Roman"/>
        </w:rPr>
        <w:t>Gulati</w:t>
      </w:r>
      <w:proofErr w:type="spellEnd"/>
      <w:r w:rsidRPr="000B5B9D">
        <w:rPr>
          <w:rFonts w:ascii="Times New Roman" w:hAnsi="Times New Roman" w:cs="Times New Roman"/>
        </w:rPr>
        <w:t xml:space="preserve">, P., Kumar, M., </w:t>
      </w:r>
      <w:proofErr w:type="spellStart"/>
      <w:r w:rsidRPr="000B5B9D">
        <w:rPr>
          <w:rFonts w:ascii="Times New Roman" w:hAnsi="Times New Roman" w:cs="Times New Roman"/>
        </w:rPr>
        <w:t>Issar</w:t>
      </w:r>
      <w:proofErr w:type="spellEnd"/>
      <w:r w:rsidRPr="000B5B9D">
        <w:rPr>
          <w:rFonts w:ascii="Times New Roman" w:hAnsi="Times New Roman" w:cs="Times New Roman"/>
        </w:rPr>
        <w:t xml:space="preserve">, G., &amp; </w:t>
      </w:r>
      <w:proofErr w:type="spellStart"/>
      <w:r w:rsidRPr="000B5B9D">
        <w:rPr>
          <w:rFonts w:ascii="Times New Roman" w:hAnsi="Times New Roman" w:cs="Times New Roman"/>
        </w:rPr>
        <w:t>Thakral</w:t>
      </w:r>
      <w:proofErr w:type="spellEnd"/>
      <w:r w:rsidRPr="000B5B9D">
        <w:rPr>
          <w:rFonts w:ascii="Times New Roman" w:hAnsi="Times New Roman" w:cs="Times New Roman"/>
        </w:rPr>
        <w:t xml:space="preserve">, A. (2020). </w:t>
      </w:r>
      <w:proofErr w:type="spellStart"/>
      <w:r w:rsidRPr="000B5B9D">
        <w:rPr>
          <w:rFonts w:ascii="Times New Roman" w:hAnsi="Times New Roman" w:cs="Times New Roman"/>
        </w:rPr>
        <w:t>Effect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of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low-level</w:t>
      </w:r>
      <w:proofErr w:type="spellEnd"/>
      <w:r w:rsidRPr="000B5B9D">
        <w:rPr>
          <w:rFonts w:ascii="Times New Roman" w:hAnsi="Times New Roman" w:cs="Times New Roman"/>
        </w:rPr>
        <w:t xml:space="preserve"> laser </w:t>
      </w:r>
      <w:proofErr w:type="spellStart"/>
      <w:r w:rsidRPr="000B5B9D">
        <w:rPr>
          <w:rFonts w:ascii="Times New Roman" w:hAnsi="Times New Roman" w:cs="Times New Roman"/>
        </w:rPr>
        <w:t>therapy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on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crestal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bone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levels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around</w:t>
      </w:r>
      <w:proofErr w:type="spellEnd"/>
      <w:r w:rsidRPr="000B5B9D">
        <w:rPr>
          <w:rFonts w:ascii="Times New Roman" w:hAnsi="Times New Roman" w:cs="Times New Roman"/>
        </w:rPr>
        <w:t xml:space="preserve"> dental </w:t>
      </w:r>
      <w:proofErr w:type="spellStart"/>
      <w:r w:rsidRPr="000B5B9D">
        <w:rPr>
          <w:rFonts w:ascii="Times New Roman" w:hAnsi="Times New Roman" w:cs="Times New Roman"/>
        </w:rPr>
        <w:t>implants</w:t>
      </w:r>
      <w:proofErr w:type="spellEnd"/>
      <w:r w:rsidRPr="000B5B9D">
        <w:rPr>
          <w:rFonts w:ascii="Times New Roman" w:hAnsi="Times New Roman" w:cs="Times New Roman"/>
        </w:rPr>
        <w:t xml:space="preserve">: A </w:t>
      </w:r>
      <w:proofErr w:type="spellStart"/>
      <w:r w:rsidRPr="000B5B9D">
        <w:rPr>
          <w:rFonts w:ascii="Times New Roman" w:hAnsi="Times New Roman" w:cs="Times New Roman"/>
        </w:rPr>
        <w:t>pilot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study</w:t>
      </w:r>
      <w:proofErr w:type="spellEnd"/>
      <w:r w:rsidRPr="000B5B9D">
        <w:rPr>
          <w:rFonts w:ascii="Times New Roman" w:hAnsi="Times New Roman" w:cs="Times New Roman"/>
        </w:rPr>
        <w:t xml:space="preserve">. </w:t>
      </w:r>
      <w:r w:rsidRPr="000B5B9D">
        <w:rPr>
          <w:rFonts w:ascii="Times New Roman" w:hAnsi="Times New Roman" w:cs="Times New Roman"/>
          <w:i/>
          <w:iCs/>
        </w:rPr>
        <w:t xml:space="preserve">Clinical </w:t>
      </w:r>
      <w:proofErr w:type="spellStart"/>
      <w:r w:rsidRPr="000B5B9D">
        <w:rPr>
          <w:rFonts w:ascii="Times New Roman" w:hAnsi="Times New Roman" w:cs="Times New Roman"/>
          <w:i/>
          <w:iCs/>
        </w:rPr>
        <w:t>Implant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Dentistry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and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Related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Research</w:t>
      </w:r>
      <w:proofErr w:type="spellEnd"/>
      <w:r w:rsidRPr="000B5B9D">
        <w:rPr>
          <w:rFonts w:ascii="Times New Roman" w:hAnsi="Times New Roman" w:cs="Times New Roman"/>
        </w:rPr>
        <w:t xml:space="preserve">, 22(6), 739-746. </w:t>
      </w:r>
    </w:p>
    <w:p w14:paraId="0BE6A95D" w14:textId="77777777" w:rsidR="00FB551E" w:rsidRPr="000B5B9D" w:rsidRDefault="00FB551E" w:rsidP="00FB551E">
      <w:pPr>
        <w:widowControl/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bookmarkStart w:id="3" w:name="_Hlk198921145"/>
      <w:bookmarkEnd w:id="2"/>
      <w:proofErr w:type="spellStart"/>
      <w:r w:rsidRPr="000B5B9D">
        <w:rPr>
          <w:rFonts w:ascii="Times New Roman" w:hAnsi="Times New Roman" w:cs="Times New Roman"/>
        </w:rPr>
        <w:t>Karakaya</w:t>
      </w:r>
      <w:proofErr w:type="spellEnd"/>
      <w:r w:rsidRPr="000B5B9D">
        <w:rPr>
          <w:rFonts w:ascii="Times New Roman" w:hAnsi="Times New Roman" w:cs="Times New Roman"/>
        </w:rPr>
        <w:t xml:space="preserve">, M., &amp; </w:t>
      </w:r>
      <w:proofErr w:type="spellStart"/>
      <w:r w:rsidRPr="000B5B9D">
        <w:rPr>
          <w:rFonts w:ascii="Times New Roman" w:hAnsi="Times New Roman" w:cs="Times New Roman"/>
        </w:rPr>
        <w:t>Demirbaş</w:t>
      </w:r>
      <w:proofErr w:type="spellEnd"/>
      <w:r w:rsidRPr="000B5B9D">
        <w:rPr>
          <w:rFonts w:ascii="Times New Roman" w:hAnsi="Times New Roman" w:cs="Times New Roman"/>
        </w:rPr>
        <w:t xml:space="preserve">, A. E. (2020). </w:t>
      </w:r>
      <w:proofErr w:type="spellStart"/>
      <w:r w:rsidRPr="000B5B9D">
        <w:rPr>
          <w:rFonts w:ascii="Times New Roman" w:hAnsi="Times New Roman" w:cs="Times New Roman"/>
        </w:rPr>
        <w:t>Effect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of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low-level</w:t>
      </w:r>
      <w:proofErr w:type="spellEnd"/>
      <w:r w:rsidRPr="000B5B9D">
        <w:rPr>
          <w:rFonts w:ascii="Times New Roman" w:hAnsi="Times New Roman" w:cs="Times New Roman"/>
        </w:rPr>
        <w:t xml:space="preserve"> laser </w:t>
      </w:r>
      <w:proofErr w:type="spellStart"/>
      <w:r w:rsidRPr="000B5B9D">
        <w:rPr>
          <w:rFonts w:ascii="Times New Roman" w:hAnsi="Times New Roman" w:cs="Times New Roman"/>
        </w:rPr>
        <w:t>therapy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on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osseointegration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of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titanium</w:t>
      </w:r>
      <w:proofErr w:type="spellEnd"/>
      <w:r w:rsidRPr="000B5B9D">
        <w:rPr>
          <w:rFonts w:ascii="Times New Roman" w:hAnsi="Times New Roman" w:cs="Times New Roman"/>
        </w:rPr>
        <w:t xml:space="preserve"> dental </w:t>
      </w:r>
      <w:proofErr w:type="spellStart"/>
      <w:r w:rsidRPr="000B5B9D">
        <w:rPr>
          <w:rFonts w:ascii="Times New Roman" w:hAnsi="Times New Roman" w:cs="Times New Roman"/>
        </w:rPr>
        <w:t>implants</w:t>
      </w:r>
      <w:proofErr w:type="spellEnd"/>
      <w:r w:rsidRPr="000B5B9D">
        <w:rPr>
          <w:rFonts w:ascii="Times New Roman" w:hAnsi="Times New Roman" w:cs="Times New Roman"/>
        </w:rPr>
        <w:t xml:space="preserve"> in </w:t>
      </w:r>
      <w:proofErr w:type="spellStart"/>
      <w:r w:rsidRPr="000B5B9D">
        <w:rPr>
          <w:rFonts w:ascii="Times New Roman" w:hAnsi="Times New Roman" w:cs="Times New Roman"/>
        </w:rPr>
        <w:t>ovariectomized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rabbits</w:t>
      </w:r>
      <w:proofErr w:type="spellEnd"/>
      <w:r w:rsidRPr="000B5B9D">
        <w:rPr>
          <w:rFonts w:ascii="Times New Roman" w:hAnsi="Times New Roman" w:cs="Times New Roman"/>
        </w:rPr>
        <w:t xml:space="preserve">: </w:t>
      </w:r>
      <w:proofErr w:type="spellStart"/>
      <w:r w:rsidRPr="000B5B9D">
        <w:rPr>
          <w:rFonts w:ascii="Times New Roman" w:hAnsi="Times New Roman" w:cs="Times New Roman"/>
        </w:rPr>
        <w:t>biomechanics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and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micro-CT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analysis</w:t>
      </w:r>
      <w:proofErr w:type="spellEnd"/>
      <w:r w:rsidRPr="000B5B9D">
        <w:rPr>
          <w:rFonts w:ascii="Times New Roman" w:hAnsi="Times New Roman" w:cs="Times New Roman"/>
        </w:rPr>
        <w:t xml:space="preserve">. </w:t>
      </w:r>
      <w:proofErr w:type="spellStart"/>
      <w:r w:rsidRPr="000B5B9D">
        <w:rPr>
          <w:rFonts w:ascii="Times New Roman" w:hAnsi="Times New Roman" w:cs="Times New Roman"/>
          <w:i/>
          <w:iCs/>
        </w:rPr>
        <w:t>International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Journal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of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Implant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Dentistry</w:t>
      </w:r>
      <w:proofErr w:type="spellEnd"/>
      <w:r w:rsidRPr="000B5B9D">
        <w:rPr>
          <w:rFonts w:ascii="Times New Roman" w:hAnsi="Times New Roman" w:cs="Times New Roman"/>
        </w:rPr>
        <w:t>, 6(1), 61.</w:t>
      </w:r>
    </w:p>
    <w:bookmarkEnd w:id="1"/>
    <w:bookmarkEnd w:id="3"/>
    <w:p w14:paraId="2A2ECDA0" w14:textId="23B7EF9E" w:rsidR="00F2020A" w:rsidRPr="000B5B9D" w:rsidRDefault="00F2020A" w:rsidP="00F2020A">
      <w:pPr>
        <w:widowControl/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 w:rsidRPr="000B5B9D">
        <w:rPr>
          <w:rFonts w:ascii="Times New Roman" w:hAnsi="Times New Roman" w:cs="Times New Roman"/>
        </w:rPr>
        <w:t>Ren</w:t>
      </w:r>
      <w:proofErr w:type="spellEnd"/>
      <w:r w:rsidRPr="000B5B9D">
        <w:rPr>
          <w:rFonts w:ascii="Times New Roman" w:hAnsi="Times New Roman" w:cs="Times New Roman"/>
        </w:rPr>
        <w:t xml:space="preserve">, C., McGrath, C., Jin, L., Zhang, C., &amp; Yang, Y. (2017). The </w:t>
      </w:r>
      <w:proofErr w:type="spellStart"/>
      <w:r w:rsidRPr="000B5B9D">
        <w:rPr>
          <w:rFonts w:ascii="Times New Roman" w:hAnsi="Times New Roman" w:cs="Times New Roman"/>
        </w:rPr>
        <w:t>effectiveness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of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low-level</w:t>
      </w:r>
      <w:proofErr w:type="spellEnd"/>
      <w:r w:rsidRPr="000B5B9D">
        <w:rPr>
          <w:rFonts w:ascii="Times New Roman" w:hAnsi="Times New Roman" w:cs="Times New Roman"/>
        </w:rPr>
        <w:t xml:space="preserve"> laser </w:t>
      </w:r>
      <w:proofErr w:type="spellStart"/>
      <w:r w:rsidRPr="000B5B9D">
        <w:rPr>
          <w:rFonts w:ascii="Times New Roman" w:hAnsi="Times New Roman" w:cs="Times New Roman"/>
        </w:rPr>
        <w:t>therapy</w:t>
      </w:r>
      <w:proofErr w:type="spellEnd"/>
      <w:r w:rsidRPr="000B5B9D">
        <w:rPr>
          <w:rFonts w:ascii="Times New Roman" w:hAnsi="Times New Roman" w:cs="Times New Roman"/>
        </w:rPr>
        <w:t xml:space="preserve"> as </w:t>
      </w:r>
      <w:proofErr w:type="spellStart"/>
      <w:r w:rsidRPr="000B5B9D">
        <w:rPr>
          <w:rFonts w:ascii="Times New Roman" w:hAnsi="Times New Roman" w:cs="Times New Roman"/>
        </w:rPr>
        <w:t>an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adjunct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to</w:t>
      </w:r>
      <w:proofErr w:type="spellEnd"/>
      <w:r w:rsidRPr="000B5B9D">
        <w:rPr>
          <w:rFonts w:ascii="Times New Roman" w:hAnsi="Times New Roman" w:cs="Times New Roman"/>
        </w:rPr>
        <w:t xml:space="preserve"> non-</w:t>
      </w:r>
      <w:proofErr w:type="spellStart"/>
      <w:r w:rsidRPr="000B5B9D">
        <w:rPr>
          <w:rFonts w:ascii="Times New Roman" w:hAnsi="Times New Roman" w:cs="Times New Roman"/>
        </w:rPr>
        <w:t>surgical</w:t>
      </w:r>
      <w:proofErr w:type="spellEnd"/>
      <w:r w:rsidRPr="000B5B9D">
        <w:rPr>
          <w:rFonts w:ascii="Times New Roman" w:hAnsi="Times New Roman" w:cs="Times New Roman"/>
        </w:rPr>
        <w:t xml:space="preserve"> periodontal </w:t>
      </w:r>
      <w:proofErr w:type="spellStart"/>
      <w:r w:rsidRPr="000B5B9D">
        <w:rPr>
          <w:rFonts w:ascii="Times New Roman" w:hAnsi="Times New Roman" w:cs="Times New Roman"/>
        </w:rPr>
        <w:t>treatment</w:t>
      </w:r>
      <w:proofErr w:type="spellEnd"/>
      <w:r w:rsidRPr="000B5B9D">
        <w:rPr>
          <w:rFonts w:ascii="Times New Roman" w:hAnsi="Times New Roman" w:cs="Times New Roman"/>
        </w:rPr>
        <w:t>: a meta-</w:t>
      </w:r>
      <w:proofErr w:type="spellStart"/>
      <w:r w:rsidRPr="000B5B9D">
        <w:rPr>
          <w:rFonts w:ascii="Times New Roman" w:hAnsi="Times New Roman" w:cs="Times New Roman"/>
        </w:rPr>
        <w:t>analysis</w:t>
      </w:r>
      <w:proofErr w:type="spellEnd"/>
      <w:r w:rsidRPr="000B5B9D">
        <w:rPr>
          <w:rFonts w:ascii="Times New Roman" w:hAnsi="Times New Roman" w:cs="Times New Roman"/>
        </w:rPr>
        <w:t xml:space="preserve">. </w:t>
      </w:r>
      <w:proofErr w:type="spellStart"/>
      <w:r w:rsidRPr="000B5B9D">
        <w:rPr>
          <w:rFonts w:ascii="Times New Roman" w:hAnsi="Times New Roman" w:cs="Times New Roman"/>
          <w:i/>
          <w:iCs/>
        </w:rPr>
        <w:t>Journal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5B9D">
        <w:rPr>
          <w:rFonts w:ascii="Times New Roman" w:hAnsi="Times New Roman" w:cs="Times New Roman"/>
          <w:i/>
          <w:iCs/>
        </w:rPr>
        <w:t>of</w:t>
      </w:r>
      <w:proofErr w:type="spellEnd"/>
      <w:r w:rsidRPr="000B5B9D">
        <w:rPr>
          <w:rFonts w:ascii="Times New Roman" w:hAnsi="Times New Roman" w:cs="Times New Roman"/>
          <w:i/>
          <w:iCs/>
        </w:rPr>
        <w:t xml:space="preserve"> Periodontal </w:t>
      </w:r>
      <w:proofErr w:type="spellStart"/>
      <w:r w:rsidRPr="000B5B9D">
        <w:rPr>
          <w:rFonts w:ascii="Times New Roman" w:hAnsi="Times New Roman" w:cs="Times New Roman"/>
          <w:i/>
          <w:iCs/>
        </w:rPr>
        <w:t>Research</w:t>
      </w:r>
      <w:proofErr w:type="spellEnd"/>
      <w:r w:rsidRPr="000B5B9D">
        <w:rPr>
          <w:rFonts w:ascii="Times New Roman" w:hAnsi="Times New Roman" w:cs="Times New Roman"/>
        </w:rPr>
        <w:t xml:space="preserve">, 52(1), 8-20. </w:t>
      </w:r>
    </w:p>
    <w:p w14:paraId="2C869AB6" w14:textId="77777777" w:rsidR="00FB551E" w:rsidRPr="000B5B9D" w:rsidRDefault="00FB551E" w:rsidP="00FB551E">
      <w:pPr>
        <w:widowControl/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bookmarkStart w:id="4" w:name="_Hlk198921212"/>
      <w:bookmarkEnd w:id="0"/>
      <w:r w:rsidRPr="000B5B9D">
        <w:rPr>
          <w:rFonts w:ascii="Times New Roman" w:hAnsi="Times New Roman" w:cs="Times New Roman"/>
        </w:rPr>
        <w:t xml:space="preserve">Zhang, Y., et al. (2022). </w:t>
      </w:r>
      <w:proofErr w:type="spellStart"/>
      <w:r w:rsidRPr="000B5B9D">
        <w:rPr>
          <w:rFonts w:ascii="Times New Roman" w:hAnsi="Times New Roman" w:cs="Times New Roman"/>
        </w:rPr>
        <w:t>Low-level</w:t>
      </w:r>
      <w:proofErr w:type="spellEnd"/>
      <w:r w:rsidRPr="000B5B9D">
        <w:rPr>
          <w:rFonts w:ascii="Times New Roman" w:hAnsi="Times New Roman" w:cs="Times New Roman"/>
        </w:rPr>
        <w:t xml:space="preserve"> laser </w:t>
      </w:r>
      <w:proofErr w:type="spellStart"/>
      <w:r w:rsidRPr="000B5B9D">
        <w:rPr>
          <w:rFonts w:ascii="Times New Roman" w:hAnsi="Times New Roman" w:cs="Times New Roman"/>
        </w:rPr>
        <w:t>therapy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prevents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medication-related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osteonecrosis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of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the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jaw</w:t>
      </w:r>
      <w:proofErr w:type="spellEnd"/>
      <w:r w:rsidRPr="000B5B9D">
        <w:rPr>
          <w:rFonts w:ascii="Times New Roman" w:hAnsi="Times New Roman" w:cs="Times New Roman"/>
        </w:rPr>
        <w:t xml:space="preserve">-like </w:t>
      </w:r>
      <w:proofErr w:type="spellStart"/>
      <w:r w:rsidRPr="000B5B9D">
        <w:rPr>
          <w:rFonts w:ascii="Times New Roman" w:hAnsi="Times New Roman" w:cs="Times New Roman"/>
        </w:rPr>
        <w:t>lesions</w:t>
      </w:r>
      <w:proofErr w:type="spellEnd"/>
      <w:r w:rsidRPr="000B5B9D">
        <w:rPr>
          <w:rFonts w:ascii="Times New Roman" w:hAnsi="Times New Roman" w:cs="Times New Roman"/>
        </w:rPr>
        <w:t xml:space="preserve"> via IL-1RA-mediated </w:t>
      </w:r>
      <w:proofErr w:type="spellStart"/>
      <w:r w:rsidRPr="000B5B9D">
        <w:rPr>
          <w:rFonts w:ascii="Times New Roman" w:hAnsi="Times New Roman" w:cs="Times New Roman"/>
        </w:rPr>
        <w:t>primary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gingival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wound</w:t>
      </w:r>
      <w:proofErr w:type="spellEnd"/>
      <w:r w:rsidRPr="000B5B9D">
        <w:rPr>
          <w:rFonts w:ascii="Times New Roman" w:hAnsi="Times New Roman" w:cs="Times New Roman"/>
        </w:rPr>
        <w:t xml:space="preserve"> </w:t>
      </w:r>
      <w:proofErr w:type="spellStart"/>
      <w:r w:rsidRPr="000B5B9D">
        <w:rPr>
          <w:rFonts w:ascii="Times New Roman" w:hAnsi="Times New Roman" w:cs="Times New Roman"/>
        </w:rPr>
        <w:t>healing</w:t>
      </w:r>
      <w:proofErr w:type="spellEnd"/>
      <w:r w:rsidRPr="000B5B9D">
        <w:rPr>
          <w:rFonts w:ascii="Times New Roman" w:hAnsi="Times New Roman" w:cs="Times New Roman"/>
        </w:rPr>
        <w:t xml:space="preserve">. </w:t>
      </w:r>
      <w:r w:rsidRPr="000B5B9D">
        <w:rPr>
          <w:rFonts w:ascii="Times New Roman" w:hAnsi="Times New Roman" w:cs="Times New Roman"/>
          <w:i/>
          <w:iCs/>
        </w:rPr>
        <w:t>BMC Oral Health</w:t>
      </w:r>
      <w:r w:rsidRPr="000B5B9D">
        <w:rPr>
          <w:rFonts w:ascii="Times New Roman" w:hAnsi="Times New Roman" w:cs="Times New Roman"/>
        </w:rPr>
        <w:t xml:space="preserve">, 22(1), 678. </w:t>
      </w:r>
    </w:p>
    <w:bookmarkEnd w:id="4"/>
    <w:p w14:paraId="18CC26F4" w14:textId="77777777" w:rsidR="005E7D8E" w:rsidRDefault="005E7D8E"/>
    <w:sectPr w:rsidR="005E7D8E" w:rsidSect="00E370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3597" w14:textId="77777777" w:rsidR="0017760C" w:rsidRDefault="0017760C">
      <w:r>
        <w:separator/>
      </w:r>
    </w:p>
  </w:endnote>
  <w:endnote w:type="continuationSeparator" w:id="0">
    <w:p w14:paraId="096A5EDB" w14:textId="77777777" w:rsidR="0017760C" w:rsidRDefault="0017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B9DC" w14:textId="4FCE9F9A" w:rsidR="001857B5" w:rsidRDefault="001857B5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8480" behindDoc="0" locked="0" layoutInCell="1" allowOverlap="1" wp14:anchorId="4F42E1CC" wp14:editId="72C31FF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528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A413" w14:textId="77777777" w:rsidR="005F1C3C" w:rsidRDefault="005F28FC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0DD04C83" wp14:editId="0B13E348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 wp14:anchorId="150302A6" wp14:editId="2F894457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C23E" w14:textId="77777777" w:rsidR="0017760C" w:rsidRDefault="0017760C">
      <w:r>
        <w:separator/>
      </w:r>
    </w:p>
  </w:footnote>
  <w:footnote w:type="continuationSeparator" w:id="0">
    <w:p w14:paraId="059CFCD1" w14:textId="77777777" w:rsidR="0017760C" w:rsidRDefault="0017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963C" w14:textId="24DF187C" w:rsidR="00E370D8" w:rsidRPr="00B7618E" w:rsidRDefault="009E00FB" w:rsidP="00E370D8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74624" behindDoc="0" locked="0" layoutInCell="1" allowOverlap="1" wp14:anchorId="34CE1576" wp14:editId="61712A75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598" cy="720000"/>
          <wp:effectExtent l="0" t="0" r="508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8-07 at 14.01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54F45" w14:textId="646B8F74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CONEXÃO UNIFAMETRO 202</w:t>
    </w:r>
    <w:r w:rsidR="00872124">
      <w:rPr>
        <w:rFonts w:ascii="Arial" w:hAnsi="Arial" w:cs="Arial"/>
        <w:b/>
        <w:bCs/>
        <w:kern w:val="24"/>
        <w:sz w:val="20"/>
        <w:szCs w:val="40"/>
      </w:rPr>
      <w:t>5</w:t>
    </w:r>
  </w:p>
  <w:p w14:paraId="1DFECAE2" w14:textId="0D6B40D1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X</w:t>
    </w:r>
    <w:r w:rsidR="009E00FB">
      <w:rPr>
        <w:rFonts w:ascii="Arial" w:hAnsi="Arial" w:cs="Arial"/>
        <w:b/>
        <w:bCs/>
        <w:kern w:val="24"/>
        <w:sz w:val="20"/>
        <w:szCs w:val="40"/>
      </w:rPr>
      <w:t>X</w:t>
    </w:r>
    <w:r w:rsidR="00872124">
      <w:rPr>
        <w:rFonts w:ascii="Arial" w:hAnsi="Arial" w:cs="Arial"/>
        <w:b/>
        <w:bCs/>
        <w:kern w:val="24"/>
        <w:sz w:val="20"/>
        <w:szCs w:val="40"/>
      </w:rPr>
      <w:t>I</w:t>
    </w:r>
    <w:r w:rsidRPr="00B7618E">
      <w:rPr>
        <w:rFonts w:ascii="Arial" w:hAnsi="Arial" w:cs="Arial"/>
        <w:b/>
        <w:bCs/>
        <w:kern w:val="24"/>
        <w:sz w:val="20"/>
        <w:szCs w:val="40"/>
      </w:rPr>
      <w:t xml:space="preserve"> SEMANA ACADÊMICA</w:t>
    </w:r>
  </w:p>
  <w:p w14:paraId="52B9F826" w14:textId="16217AD8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</w:pPr>
    <w:r w:rsidRPr="00B7618E">
      <w:rPr>
        <w:rFonts w:ascii="Arial" w:hAnsi="Arial" w:cs="Arial"/>
        <w:b/>
        <w:bCs/>
        <w:kern w:val="24"/>
        <w:sz w:val="20"/>
        <w:szCs w:val="40"/>
      </w:rPr>
      <w:t>ISSN: 2357-8645</w:t>
    </w:r>
  </w:p>
  <w:p w14:paraId="43719E8C" w14:textId="2D2D8337" w:rsidR="00E370D8" w:rsidRPr="00B7618E" w:rsidRDefault="00E370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F62F" w14:textId="77777777" w:rsidR="005F1C3C" w:rsidRDefault="005F28FC" w:rsidP="00687DD2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64F79547" wp14:editId="0926AD52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2BD3E52D" wp14:editId="7B0BC6A3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04504" w14:textId="77777777" w:rsidR="005F1C3C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14:paraId="6964590E" w14:textId="77777777" w:rsidR="005F1C3C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14:paraId="49B96D8A" w14:textId="77777777" w:rsidR="005F1C3C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6357"/>
    <w:multiLevelType w:val="multilevel"/>
    <w:tmpl w:val="A498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76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FC"/>
    <w:rsid w:val="000509F1"/>
    <w:rsid w:val="0006025D"/>
    <w:rsid w:val="000D13B4"/>
    <w:rsid w:val="00103813"/>
    <w:rsid w:val="00164E3B"/>
    <w:rsid w:val="001711EF"/>
    <w:rsid w:val="0017760C"/>
    <w:rsid w:val="00182704"/>
    <w:rsid w:val="001857B5"/>
    <w:rsid w:val="00186AD6"/>
    <w:rsid w:val="001C5CF1"/>
    <w:rsid w:val="002C73D2"/>
    <w:rsid w:val="0035039F"/>
    <w:rsid w:val="004017F6"/>
    <w:rsid w:val="004366B2"/>
    <w:rsid w:val="00473EAA"/>
    <w:rsid w:val="004901C7"/>
    <w:rsid w:val="004A7DC4"/>
    <w:rsid w:val="004B77FA"/>
    <w:rsid w:val="004E015D"/>
    <w:rsid w:val="004F0113"/>
    <w:rsid w:val="00504745"/>
    <w:rsid w:val="005518CB"/>
    <w:rsid w:val="005613D5"/>
    <w:rsid w:val="005C0C38"/>
    <w:rsid w:val="005E0099"/>
    <w:rsid w:val="005E7D8E"/>
    <w:rsid w:val="005F1C3C"/>
    <w:rsid w:val="005F28FC"/>
    <w:rsid w:val="006204D7"/>
    <w:rsid w:val="006223F8"/>
    <w:rsid w:val="00642AB1"/>
    <w:rsid w:val="00735513"/>
    <w:rsid w:val="007A279B"/>
    <w:rsid w:val="007A4126"/>
    <w:rsid w:val="007D7FC5"/>
    <w:rsid w:val="007E4969"/>
    <w:rsid w:val="00866A7F"/>
    <w:rsid w:val="00872124"/>
    <w:rsid w:val="00882CB9"/>
    <w:rsid w:val="008C7E2F"/>
    <w:rsid w:val="009A7641"/>
    <w:rsid w:val="009D20C6"/>
    <w:rsid w:val="009E00FB"/>
    <w:rsid w:val="00A12282"/>
    <w:rsid w:val="00A163C4"/>
    <w:rsid w:val="00A70859"/>
    <w:rsid w:val="00A86DEA"/>
    <w:rsid w:val="00AA3D7E"/>
    <w:rsid w:val="00B01E89"/>
    <w:rsid w:val="00B277D1"/>
    <w:rsid w:val="00B44349"/>
    <w:rsid w:val="00B64AA6"/>
    <w:rsid w:val="00B7618E"/>
    <w:rsid w:val="00B82B26"/>
    <w:rsid w:val="00BA226B"/>
    <w:rsid w:val="00BB4E49"/>
    <w:rsid w:val="00BC1C81"/>
    <w:rsid w:val="00C4405B"/>
    <w:rsid w:val="00CE4222"/>
    <w:rsid w:val="00CE6525"/>
    <w:rsid w:val="00D07AF6"/>
    <w:rsid w:val="00D7048E"/>
    <w:rsid w:val="00DB7613"/>
    <w:rsid w:val="00E370D8"/>
    <w:rsid w:val="00E92BEF"/>
    <w:rsid w:val="00EA01FF"/>
    <w:rsid w:val="00EE07DE"/>
    <w:rsid w:val="00EE3A55"/>
    <w:rsid w:val="00F2020A"/>
    <w:rsid w:val="00F239D5"/>
    <w:rsid w:val="00F4118E"/>
    <w:rsid w:val="00F65717"/>
    <w:rsid w:val="00F674AD"/>
    <w:rsid w:val="00F867ED"/>
    <w:rsid w:val="00FA5C9E"/>
    <w:rsid w:val="00FB551E"/>
    <w:rsid w:val="00F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F28AF"/>
  <w15:chartTrackingRefBased/>
  <w15:docId w15:val="{8F6A2D01-53D8-4D57-82C0-9E2EAB86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9F9114AB174BCE908DA59CCCAC0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D07EC-C4CF-4969-82A1-88745E533128}"/>
      </w:docPartPr>
      <w:docPartBody>
        <w:p w:rsidR="003E547C" w:rsidRDefault="009E25CF" w:rsidP="009E25CF">
          <w:pPr>
            <w:pStyle w:val="E29F9114AB174BCE908DA59CCCAC06C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2C3A343D0E44B66AB651FC5E7FE9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BE265-CE5A-41E7-AE4B-B7031D8AF43B}"/>
      </w:docPartPr>
      <w:docPartBody>
        <w:p w:rsidR="003E547C" w:rsidRDefault="009E25CF" w:rsidP="009E25CF">
          <w:pPr>
            <w:pStyle w:val="12C3A343D0E44B66AB651FC5E7FE9832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F6"/>
    <w:rsid w:val="000509F1"/>
    <w:rsid w:val="000A6FC9"/>
    <w:rsid w:val="00164E3B"/>
    <w:rsid w:val="00232C83"/>
    <w:rsid w:val="00252CB7"/>
    <w:rsid w:val="002A1A73"/>
    <w:rsid w:val="002A3AF6"/>
    <w:rsid w:val="00335A88"/>
    <w:rsid w:val="003E547C"/>
    <w:rsid w:val="00424030"/>
    <w:rsid w:val="00475335"/>
    <w:rsid w:val="004847C7"/>
    <w:rsid w:val="005C2AF5"/>
    <w:rsid w:val="00693F67"/>
    <w:rsid w:val="007F5B3A"/>
    <w:rsid w:val="00834552"/>
    <w:rsid w:val="00942F21"/>
    <w:rsid w:val="009875D5"/>
    <w:rsid w:val="009A1468"/>
    <w:rsid w:val="009E25CF"/>
    <w:rsid w:val="00A25FE9"/>
    <w:rsid w:val="00AD3F91"/>
    <w:rsid w:val="00B01E89"/>
    <w:rsid w:val="00C45ED4"/>
    <w:rsid w:val="00CE4222"/>
    <w:rsid w:val="00D94F10"/>
    <w:rsid w:val="00E4155B"/>
    <w:rsid w:val="00E9058C"/>
    <w:rsid w:val="00F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6FC9"/>
    <w:rPr>
      <w:color w:val="808080"/>
    </w:rPr>
  </w:style>
  <w:style w:type="paragraph" w:customStyle="1" w:styleId="E29F9114AB174BCE908DA59CCCAC06C9">
    <w:name w:val="E29F9114AB174BCE908DA59CCCAC06C9"/>
    <w:rsid w:val="009E25CF"/>
  </w:style>
  <w:style w:type="paragraph" w:customStyle="1" w:styleId="12C3A343D0E44B66AB651FC5E7FE9832">
    <w:name w:val="12C3A343D0E44B66AB651FC5E7FE9832"/>
    <w:rsid w:val="009E2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14FA-EDB4-412A-8A72-D0CF3EAD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Ciléia Henriques</dc:creator>
  <cp:keywords/>
  <dc:description/>
  <cp:lastModifiedBy>Italo</cp:lastModifiedBy>
  <cp:revision>5</cp:revision>
  <dcterms:created xsi:type="dcterms:W3CDTF">2025-09-23T20:55:00Z</dcterms:created>
  <dcterms:modified xsi:type="dcterms:W3CDTF">2025-10-02T02:29:00Z</dcterms:modified>
</cp:coreProperties>
</file>