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FD7E16" w:rsidRDefault="004F428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1peg4uwh3svg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Eixo Temático: Sistemas de Informação em Saúde.</w:t>
      </w:r>
    </w:p>
    <w:p w:rsidR="00FD7E16" w:rsidRDefault="004C2E6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ANÁ</w:t>
      </w:r>
      <w:r w:rsidR="004F428F">
        <w:rPr>
          <w:rFonts w:ascii="Times New Roman" w:eastAsia="Times New Roman" w:hAnsi="Times New Roman" w:cs="Times New Roman"/>
          <w:b/>
          <w:sz w:val="24"/>
          <w:szCs w:val="24"/>
        </w:rPr>
        <w:t>LISE DA MORTALIDADE MATERNA TARDIA NO BRASIL ENTRE OS ANOS DE 2020 E 2024</w:t>
      </w:r>
    </w:p>
    <w:p w:rsidR="00FD7E16" w:rsidRDefault="00FD7E1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7E16" w:rsidRDefault="00FD7E1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7E16" w:rsidRDefault="004F428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INTRODUÇÃO: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mortalidade materna tardia é definida como o óbito que ocorre entre 43 dias e até um ano após o término da gestação, mantendo vínculo causal com a gravidez. Os dados epidemiológicos da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World Health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Organization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(WHO) indicam que, em 2023, aproximadamente 260 mil mulheres morreram por causas maternas. Portanto, há necessidade de compreender e monitorar </w:t>
      </w:r>
      <w:r w:rsidR="002244EB">
        <w:rPr>
          <w:rFonts w:ascii="Times New Roman" w:eastAsia="Times New Roman" w:hAnsi="Times New Roman" w:cs="Times New Roman"/>
          <w:sz w:val="24"/>
          <w:szCs w:val="24"/>
        </w:rPr>
        <w:t xml:space="preserve">estes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óbitos no Brasil, buscando subsidiar as políticas públicas de saúde.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OBJETIVO: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Analisar a mortalidade materna tardia no </w:t>
      </w:r>
      <w:r>
        <w:rPr>
          <w:rFonts w:ascii="Times New Roman" w:eastAsia="Times New Roman" w:hAnsi="Times New Roman" w:cs="Times New Roman"/>
          <w:sz w:val="24"/>
          <w:szCs w:val="24"/>
        </w:rPr>
        <w:t>Brasil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entre os anos de 2020 e 2024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MÉTODOS: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Trata-se de um estudo ecológico de abordagem quantitativa, realizado com registros de óbitos maternos tardios ocorridos 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Brasil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entre 2020 e 2024, obtidos no Departamento de Informática do Sistema Único de Saúde (DATASUS), provenientes do Sistema de Informações sobre Mortalidade (SIM). As variáveis analisadas incluíram regi</w:t>
      </w:r>
      <w:r w:rsidR="002244EB">
        <w:rPr>
          <w:rFonts w:ascii="Times New Roman" w:eastAsia="Times New Roman" w:hAnsi="Times New Roman" w:cs="Times New Roman"/>
          <w:color w:val="000000"/>
          <w:sz w:val="24"/>
          <w:szCs w:val="24"/>
        </w:rPr>
        <w:t>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ano do óbito, características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sociodemográficas</w:t>
      </w:r>
      <w:proofErr w:type="spellEnd"/>
      <w:r w:rsidR="00DD0C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(raça/ cor e estado civil)</w:t>
      </w:r>
      <w:r w:rsidR="00553E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244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causas de morte segundo a Classificação Internacional de Doenças (CID-10) </w:t>
      </w:r>
      <w:r w:rsidR="002244EB"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morte de uma mulher por qualquer causa obstétrica que ocorre mais de 42 dias e menos de um ano após o término da gravidez </w:t>
      </w:r>
      <w:r w:rsidR="002244EB">
        <w:rPr>
          <w:rFonts w:ascii="Times New Roman" w:eastAsia="Times New Roman" w:hAnsi="Times New Roman" w:cs="Times New Roman"/>
          <w:color w:val="000000"/>
          <w:sz w:val="24"/>
          <w:szCs w:val="24"/>
        </w:rPr>
        <w:t>-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96</w:t>
      </w:r>
      <w:r w:rsidR="002244EB">
        <w:rPr>
          <w:rFonts w:ascii="Times New Roman" w:eastAsia="Times New Roman" w:hAnsi="Times New Roman" w:cs="Times New Roman"/>
          <w:color w:val="000000"/>
          <w:sz w:val="24"/>
          <w:szCs w:val="24"/>
        </w:rPr>
        <w:t>)”</w:t>
      </w:r>
      <w:proofErr w:type="gramEnd"/>
      <w:r w:rsidR="00553E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coleta de dados foi realizada em novembro de 2025. A análise, realizada no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Microsoft Excel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2019, utilizou estatística descritiva</w:t>
      </w:r>
      <w:r w:rsidR="002244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 frequências simples e relativas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RESULTADOS: </w:t>
      </w:r>
      <w:r>
        <w:rPr>
          <w:rFonts w:ascii="Times New Roman" w:eastAsia="Times New Roman" w:hAnsi="Times New Roman" w:cs="Times New Roman"/>
          <w:sz w:val="24"/>
          <w:szCs w:val="24"/>
        </w:rPr>
        <w:t>Conforme o SIM</w:t>
      </w:r>
      <w:r w:rsidR="002244EB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foram notificados 1.469 </w:t>
      </w:r>
      <w:r w:rsidR="00203C95">
        <w:rPr>
          <w:rFonts w:ascii="Times New Roman" w:eastAsia="Times New Roman" w:hAnsi="Times New Roman" w:cs="Times New Roman"/>
          <w:sz w:val="24"/>
          <w:szCs w:val="24"/>
        </w:rPr>
        <w:t xml:space="preserve">óbitos </w:t>
      </w:r>
      <w:r w:rsidR="00553E79">
        <w:rPr>
          <w:rFonts w:ascii="Times New Roman" w:eastAsia="Times New Roman" w:hAnsi="Times New Roman" w:cs="Times New Roman"/>
          <w:color w:val="000000"/>
          <w:sz w:val="24"/>
          <w:szCs w:val="24"/>
        </w:rPr>
        <w:t>ocorridos mais de 42 dias e menos de um ano após o término da gravidez</w:t>
      </w:r>
      <w:r w:rsidR="009977F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244EB">
        <w:rPr>
          <w:rFonts w:ascii="Times New Roman" w:eastAsia="Times New Roman" w:hAnsi="Times New Roman" w:cs="Times New Roman"/>
          <w:sz w:val="24"/>
          <w:szCs w:val="24"/>
        </w:rPr>
        <w:t>no somatório dos anos estudados</w:t>
      </w:r>
      <w:r>
        <w:rPr>
          <w:rFonts w:ascii="Times New Roman" w:eastAsia="Times New Roman" w:hAnsi="Times New Roman" w:cs="Times New Roman"/>
          <w:sz w:val="24"/>
          <w:szCs w:val="24"/>
        </w:rPr>
        <w:t>, sendo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03C95">
        <w:rPr>
          <w:rFonts w:ascii="Times New Roman" w:eastAsia="Times New Roman" w:hAnsi="Times New Roman" w:cs="Times New Roman"/>
          <w:sz w:val="24"/>
          <w:szCs w:val="24"/>
        </w:rPr>
        <w:t xml:space="preserve">a maior concentração </w:t>
      </w:r>
      <w:r>
        <w:rPr>
          <w:rFonts w:ascii="Times New Roman" w:eastAsia="Times New Roman" w:hAnsi="Times New Roman" w:cs="Times New Roman"/>
          <w:sz w:val="24"/>
          <w:szCs w:val="24"/>
        </w:rPr>
        <w:t>na Região Sudeste</w:t>
      </w:r>
      <w:r w:rsidR="00203C95">
        <w:rPr>
          <w:rFonts w:ascii="Times New Roman" w:eastAsia="Times New Roman" w:hAnsi="Times New Roman" w:cs="Times New Roman"/>
          <w:sz w:val="24"/>
          <w:szCs w:val="24"/>
        </w:rPr>
        <w:t xml:space="preserve"> com 586 (39,8%) casos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203C95">
        <w:rPr>
          <w:rFonts w:ascii="Times New Roman" w:eastAsia="Times New Roman" w:hAnsi="Times New Roman" w:cs="Times New Roman"/>
          <w:sz w:val="24"/>
          <w:szCs w:val="24"/>
        </w:rPr>
        <w:t xml:space="preserve"> seguidos dos 445 (30,2 %) na Região Nordeste,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193 (13,1%) na Região Sul</w:t>
      </w:r>
      <w:r w:rsidR="00203C95">
        <w:rPr>
          <w:rFonts w:ascii="Times New Roman" w:eastAsia="Times New Roman" w:hAnsi="Times New Roman" w:cs="Times New Roman"/>
          <w:sz w:val="24"/>
          <w:szCs w:val="24"/>
        </w:rPr>
        <w:t xml:space="preserve">, 127 (8,6 %) na Região Norte </w:t>
      </w:r>
      <w:r w:rsidR="002244EB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118 (8%) </w:t>
      </w:r>
      <w:r w:rsidR="00203C95">
        <w:rPr>
          <w:rFonts w:ascii="Times New Roman" w:eastAsia="Times New Roman" w:hAnsi="Times New Roman" w:cs="Times New Roman"/>
          <w:sz w:val="24"/>
          <w:szCs w:val="24"/>
        </w:rPr>
        <w:t xml:space="preserve">mortes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na Região Centro-Oeste. Acerca do ano, </w:t>
      </w:r>
      <w:r w:rsidR="00203C95">
        <w:rPr>
          <w:rFonts w:ascii="Times New Roman" w:eastAsia="Times New Roman" w:hAnsi="Times New Roman" w:cs="Times New Roman"/>
          <w:sz w:val="24"/>
          <w:szCs w:val="24"/>
        </w:rPr>
        <w:t>o maior percentual ocorreu em 2021 com 25,3% (373) dos casos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03C95">
        <w:rPr>
          <w:rFonts w:ascii="Times New Roman" w:eastAsia="Times New Roman" w:hAnsi="Times New Roman" w:cs="Times New Roman"/>
          <w:sz w:val="24"/>
          <w:szCs w:val="24"/>
        </w:rPr>
        <w:t>decresceu um pouco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em 2022</w:t>
      </w:r>
      <w:r w:rsidR="00203C95">
        <w:rPr>
          <w:rFonts w:ascii="Times New Roman" w:eastAsia="Times New Roman" w:hAnsi="Times New Roman" w:cs="Times New Roman"/>
          <w:sz w:val="24"/>
          <w:szCs w:val="24"/>
        </w:rPr>
        <w:t xml:space="preserve"> com 266 </w:t>
      </w:r>
      <w:r w:rsidR="00DD0C9F">
        <w:rPr>
          <w:rFonts w:ascii="Times New Roman" w:eastAsia="Times New Roman" w:hAnsi="Times New Roman" w:cs="Times New Roman"/>
          <w:sz w:val="24"/>
          <w:szCs w:val="24"/>
        </w:rPr>
        <w:t>(18,1%) óbitos e</w:t>
      </w:r>
      <w:r w:rsidR="00203C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261 (17,7%) em 2023 e</w:t>
      </w:r>
      <w:r w:rsidR="00DD0C9F">
        <w:rPr>
          <w:rFonts w:ascii="Times New Roman" w:eastAsia="Times New Roman" w:hAnsi="Times New Roman" w:cs="Times New Roman"/>
          <w:sz w:val="24"/>
          <w:szCs w:val="24"/>
        </w:rPr>
        <w:t xml:space="preserve"> continuou em tendência descente com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236 (16%) </w:t>
      </w:r>
      <w:r w:rsidR="00DD0C9F">
        <w:rPr>
          <w:rFonts w:ascii="Times New Roman" w:eastAsia="Times New Roman" w:hAnsi="Times New Roman" w:cs="Times New Roman"/>
          <w:sz w:val="24"/>
          <w:szCs w:val="24"/>
        </w:rPr>
        <w:t xml:space="preserve">mortes </w:t>
      </w:r>
      <w:r>
        <w:rPr>
          <w:rFonts w:ascii="Times New Roman" w:eastAsia="Times New Roman" w:hAnsi="Times New Roman" w:cs="Times New Roman"/>
          <w:sz w:val="24"/>
          <w:szCs w:val="24"/>
        </w:rPr>
        <w:t>em 2024</w:t>
      </w:r>
      <w:r w:rsidR="00DD0C9F">
        <w:rPr>
          <w:rFonts w:ascii="Times New Roman" w:eastAsia="Times New Roman" w:hAnsi="Times New Roman" w:cs="Times New Roman"/>
          <w:sz w:val="24"/>
          <w:szCs w:val="24"/>
        </w:rPr>
        <w:t>, mas os menores registros haviam sido em 2020 com 173 (11,7%) e</w:t>
      </w:r>
      <w:r w:rsidR="00203C95">
        <w:rPr>
          <w:rFonts w:ascii="Times New Roman" w:eastAsia="Times New Roman" w:hAnsi="Times New Roman" w:cs="Times New Roman"/>
          <w:sz w:val="24"/>
          <w:szCs w:val="24"/>
        </w:rPr>
        <w:t xml:space="preserve"> em 2019</w:t>
      </w:r>
      <w:r w:rsidR="00DD0C9F">
        <w:rPr>
          <w:rFonts w:ascii="Times New Roman" w:eastAsia="Times New Roman" w:hAnsi="Times New Roman" w:cs="Times New Roman"/>
          <w:sz w:val="24"/>
          <w:szCs w:val="24"/>
        </w:rPr>
        <w:t xml:space="preserve"> com 160 (10,8%)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Quanto raça/cor, </w:t>
      </w:r>
      <w:r w:rsidR="00DD0C9F">
        <w:rPr>
          <w:rFonts w:ascii="Times New Roman" w:eastAsia="Times New Roman" w:hAnsi="Times New Roman" w:cs="Times New Roman"/>
          <w:sz w:val="24"/>
          <w:szCs w:val="24"/>
        </w:rPr>
        <w:t>748 (50,9%) mulheres pardas constavam entre as notificações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D0C9F">
        <w:rPr>
          <w:rFonts w:ascii="Times New Roman" w:eastAsia="Times New Roman" w:hAnsi="Times New Roman" w:cs="Times New Roman"/>
          <w:sz w:val="24"/>
          <w:szCs w:val="24"/>
        </w:rPr>
        <w:t xml:space="preserve">seguidas de 475 (32,3%) mulheres brancas, </w:t>
      </w:r>
      <w:r>
        <w:rPr>
          <w:rFonts w:ascii="Times New Roman" w:eastAsia="Times New Roman" w:hAnsi="Times New Roman" w:cs="Times New Roman"/>
          <w:sz w:val="24"/>
          <w:szCs w:val="24"/>
        </w:rPr>
        <w:t>221 (15%) preta</w:t>
      </w:r>
      <w:r w:rsidR="00DD0C9F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12 (0,81%) indígena</w:t>
      </w:r>
      <w:r w:rsidR="00DD0C9F">
        <w:rPr>
          <w:rFonts w:ascii="Times New Roman" w:eastAsia="Times New Roman" w:hAnsi="Times New Roman" w:cs="Times New Roman"/>
          <w:sz w:val="24"/>
          <w:szCs w:val="24"/>
        </w:rPr>
        <w:t>s e 2 (0,13%) amarelas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A respeito do estado civil, 794 (54%) </w:t>
      </w:r>
      <w:r w:rsidR="00DD0C9F">
        <w:rPr>
          <w:rFonts w:ascii="Times New Roman" w:eastAsia="Times New Roman" w:hAnsi="Times New Roman" w:cs="Times New Roman"/>
          <w:sz w:val="24"/>
          <w:szCs w:val="24"/>
        </w:rPr>
        <w:t xml:space="preserve">eram </w:t>
      </w:r>
      <w:r>
        <w:rPr>
          <w:rFonts w:ascii="Times New Roman" w:eastAsia="Times New Roman" w:hAnsi="Times New Roman" w:cs="Times New Roman"/>
          <w:sz w:val="24"/>
          <w:szCs w:val="24"/>
        </w:rPr>
        <w:t>solteir</w:t>
      </w:r>
      <w:r w:rsidR="00DD0C9F"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>, 377 (25,6%) casad</w:t>
      </w:r>
      <w:r w:rsidR="00DD0C9F"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>, 290 (19,7%) outr</w:t>
      </w:r>
      <w:r w:rsidR="00DD0C9F">
        <w:rPr>
          <w:rFonts w:ascii="Times New Roman" w:eastAsia="Times New Roman" w:hAnsi="Times New Roman" w:cs="Times New Roman"/>
          <w:sz w:val="24"/>
          <w:szCs w:val="24"/>
        </w:rPr>
        <w:t>os tipos de união e 8 (0,54%) eram viúvas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No que tange ao local de ocorrência, 1.204 (81,9%) </w:t>
      </w:r>
      <w:r w:rsidR="00DD0C9F">
        <w:rPr>
          <w:rFonts w:ascii="Times New Roman" w:eastAsia="Times New Roman" w:hAnsi="Times New Roman" w:cs="Times New Roman"/>
          <w:sz w:val="24"/>
          <w:szCs w:val="24"/>
        </w:rPr>
        <w:t>das mortes aconteceram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 hospital, 115 (7,8%) </w:t>
      </w:r>
      <w:r w:rsidR="00DD0C9F">
        <w:rPr>
          <w:rFonts w:ascii="Times New Roman" w:eastAsia="Times New Roman" w:hAnsi="Times New Roman" w:cs="Times New Roman"/>
          <w:sz w:val="24"/>
          <w:szCs w:val="24"/>
        </w:rPr>
        <w:t xml:space="preserve">em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outro estabelecimento de saúde, 127 (8,6%) </w:t>
      </w:r>
      <w:r w:rsidR="00DD0C9F">
        <w:rPr>
          <w:rFonts w:ascii="Times New Roman" w:eastAsia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domicílio e 9 (0,61%) </w:t>
      </w:r>
      <w:r w:rsidR="00DD0C9F"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eastAsia="Times New Roman" w:hAnsi="Times New Roman" w:cs="Times New Roman"/>
          <w:sz w:val="24"/>
          <w:szCs w:val="24"/>
        </w:rPr>
        <w:t>via pública.</w:t>
      </w:r>
      <w:r w:rsidR="005815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CONCLUSÃO: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análise evidencia que a mortalidade materna tardia permanece elevada e concentrada em grupos socialmente vulneráveis, refletindo desigualdades no cuidado pós-parto. Deste modo, os achados reforçam a necessidade de fortalecer a vigilância em saúde materna e direcionar esforços estratégicos para a prevenção de óbitos evitáveis no puerpério tardio.</w:t>
      </w:r>
    </w:p>
    <w:p w:rsidR="00FD7E16" w:rsidRDefault="00FD7E16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7E16" w:rsidRDefault="004F428F" w:rsidP="00D771E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71E3">
        <w:rPr>
          <w:rFonts w:ascii="Times New Roman" w:eastAsia="Times New Roman" w:hAnsi="Times New Roman" w:cs="Times New Roman"/>
          <w:color w:val="000000"/>
          <w:sz w:val="24"/>
          <w:szCs w:val="24"/>
        </w:rPr>
        <w:t>Complicações na gravidez, Mortalidade materna,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Registros de mortalidade.</w:t>
      </w:r>
    </w:p>
    <w:p w:rsidR="00FD7E16" w:rsidRDefault="00FD7E1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7E16" w:rsidRDefault="004F428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REFERÊNCIAS: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D7E16" w:rsidRDefault="00FD7E1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7E16" w:rsidRPr="004C2E6E" w:rsidRDefault="004F428F" w:rsidP="004C2E6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2E6E">
        <w:rPr>
          <w:rFonts w:ascii="Times New Roman" w:eastAsia="Times New Roman" w:hAnsi="Times New Roman" w:cs="Times New Roman"/>
          <w:sz w:val="24"/>
          <w:szCs w:val="24"/>
        </w:rPr>
        <w:t xml:space="preserve">BORGONOVE, K. C. A.  </w:t>
      </w:r>
      <w:r w:rsidRPr="004C2E6E">
        <w:rPr>
          <w:rFonts w:ascii="Times New Roman" w:eastAsia="Times New Roman" w:hAnsi="Times New Roman" w:cs="Times New Roman"/>
          <w:i/>
          <w:sz w:val="24"/>
          <w:szCs w:val="24"/>
        </w:rPr>
        <w:t>et al</w:t>
      </w:r>
      <w:r w:rsidRPr="004C2E6E">
        <w:rPr>
          <w:rFonts w:ascii="Times New Roman" w:eastAsia="Times New Roman" w:hAnsi="Times New Roman" w:cs="Times New Roman"/>
          <w:sz w:val="24"/>
          <w:szCs w:val="24"/>
        </w:rPr>
        <w:t xml:space="preserve">. Análise de série temporal: tendência da mortalidade materna tardia no Brasil, 2010-2019. </w:t>
      </w:r>
      <w:r w:rsidRPr="004C2E6E">
        <w:rPr>
          <w:rFonts w:ascii="Times New Roman" w:eastAsia="Times New Roman" w:hAnsi="Times New Roman" w:cs="Times New Roman"/>
          <w:b/>
          <w:sz w:val="24"/>
          <w:szCs w:val="24"/>
        </w:rPr>
        <w:t>Cadernos de Saúde Pública</w:t>
      </w:r>
      <w:r w:rsidRPr="004C2E6E">
        <w:rPr>
          <w:rFonts w:ascii="Times New Roman" w:eastAsia="Times New Roman" w:hAnsi="Times New Roman" w:cs="Times New Roman"/>
          <w:sz w:val="24"/>
          <w:szCs w:val="24"/>
        </w:rPr>
        <w:t xml:space="preserve">, v. 40, n. 7, e00168223, 2024. DOI: </w:t>
      </w:r>
      <w:r w:rsidRPr="004C2E6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10.1590/0102-311xpt168223. Disponível em: </w:t>
      </w:r>
      <w:hyperlink r:id="rId6">
        <w:r w:rsidRPr="004C2E6E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https://www.scielo.br/j/csp/a/4XPwxbZSkjZc38jDxsBq8ND/?lang=pt</w:t>
        </w:r>
      </w:hyperlink>
      <w:r w:rsidRPr="004C2E6E">
        <w:rPr>
          <w:rFonts w:ascii="Times New Roman" w:eastAsia="Times New Roman" w:hAnsi="Times New Roman" w:cs="Times New Roman"/>
          <w:sz w:val="24"/>
          <w:szCs w:val="24"/>
        </w:rPr>
        <w:t>. Acesso em: 14 nov. 2025.</w:t>
      </w:r>
    </w:p>
    <w:p w:rsidR="00FD7E16" w:rsidRPr="004C2E6E" w:rsidRDefault="00FD7E16" w:rsidP="004C2E6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7E16" w:rsidRPr="004C2E6E" w:rsidRDefault="004C2E6E" w:rsidP="004C2E6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2E6E">
        <w:rPr>
          <w:rFonts w:ascii="Times New Roman" w:eastAsia="Times New Roman" w:hAnsi="Times New Roman" w:cs="Times New Roman"/>
          <w:sz w:val="24"/>
          <w:szCs w:val="24"/>
        </w:rPr>
        <w:t xml:space="preserve">DATASUS. </w:t>
      </w:r>
      <w:r w:rsidR="004F428F" w:rsidRPr="004C2E6E">
        <w:rPr>
          <w:rFonts w:ascii="Times New Roman" w:eastAsia="Times New Roman" w:hAnsi="Times New Roman" w:cs="Times New Roman"/>
          <w:sz w:val="24"/>
          <w:szCs w:val="24"/>
        </w:rPr>
        <w:t xml:space="preserve">Departamento de Informática do SUS. </w:t>
      </w:r>
      <w:r w:rsidR="004F428F" w:rsidRPr="004C2E6E">
        <w:rPr>
          <w:rFonts w:ascii="Times New Roman" w:eastAsia="Times New Roman" w:hAnsi="Times New Roman" w:cs="Times New Roman"/>
          <w:b/>
          <w:sz w:val="24"/>
          <w:szCs w:val="24"/>
        </w:rPr>
        <w:t>Óbitos de mulheres em idade fértil e óbitos maternos – Brasil</w:t>
      </w:r>
      <w:r w:rsidR="004F428F" w:rsidRPr="004C2E6E">
        <w:rPr>
          <w:rFonts w:ascii="Times New Roman" w:eastAsia="Times New Roman" w:hAnsi="Times New Roman" w:cs="Times New Roman"/>
          <w:sz w:val="24"/>
          <w:szCs w:val="24"/>
        </w:rPr>
        <w:t xml:space="preserve">. Brasília, DF: DATASUS, 2025. Disponível em: </w:t>
      </w:r>
      <w:r w:rsidRPr="004C2E6E">
        <w:rPr>
          <w:rFonts w:ascii="Times New Roman" w:eastAsia="Times New Roman" w:hAnsi="Times New Roman" w:cs="Times New Roman"/>
          <w:sz w:val="24"/>
          <w:szCs w:val="24"/>
        </w:rPr>
        <w:t>http://tabnet.datasus.gov.br/cgi/deftohtm.exe?sim/cnv/mat10uf.def. Acesso em: 01</w:t>
      </w:r>
      <w:r w:rsidR="004F428F" w:rsidRPr="004C2E6E">
        <w:rPr>
          <w:rFonts w:ascii="Times New Roman" w:eastAsia="Times New Roman" w:hAnsi="Times New Roman" w:cs="Times New Roman"/>
          <w:sz w:val="24"/>
          <w:szCs w:val="24"/>
        </w:rPr>
        <w:t xml:space="preserve"> nov. 2025.</w:t>
      </w:r>
    </w:p>
    <w:p w:rsidR="00FD7E16" w:rsidRPr="004C2E6E" w:rsidRDefault="00FD7E16" w:rsidP="004C2E6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7E16" w:rsidRPr="004C2E6E" w:rsidRDefault="004C2E6E" w:rsidP="004C2E6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WHO. World Health Organization. </w:t>
      </w:r>
      <w:r w:rsidR="004F428F" w:rsidRPr="004C2E6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Trends in maternal mortality estimates 2000 to 2023</w:t>
      </w:r>
      <w:r w:rsidR="004F428F" w:rsidRPr="004C2E6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estimates by WHO, UNICEF, UNFPA, World Bank Group and UNDESA/Population Division. </w:t>
      </w:r>
      <w:proofErr w:type="spellStart"/>
      <w:r w:rsidR="004F428F" w:rsidRPr="004C2E6E">
        <w:rPr>
          <w:rFonts w:ascii="Times New Roman" w:eastAsia="Times New Roman" w:hAnsi="Times New Roman" w:cs="Times New Roman"/>
          <w:sz w:val="24"/>
          <w:szCs w:val="24"/>
        </w:rPr>
        <w:t>Geneva</w:t>
      </w:r>
      <w:proofErr w:type="spellEnd"/>
      <w:r w:rsidR="004F428F" w:rsidRPr="004C2E6E">
        <w:rPr>
          <w:rFonts w:ascii="Times New Roman" w:eastAsia="Times New Roman" w:hAnsi="Times New Roman" w:cs="Times New Roman"/>
          <w:sz w:val="24"/>
          <w:szCs w:val="24"/>
        </w:rPr>
        <w:t>: WHO, 2025, p. 132. Disponível em: https://www.who.int/publications/i/i</w:t>
      </w:r>
      <w:r w:rsidRPr="004C2E6E">
        <w:rPr>
          <w:rFonts w:ascii="Times New Roman" w:eastAsia="Times New Roman" w:hAnsi="Times New Roman" w:cs="Times New Roman"/>
          <w:sz w:val="24"/>
          <w:szCs w:val="24"/>
        </w:rPr>
        <w:t>tem/9789240108462. Acesso em: 02</w:t>
      </w:r>
      <w:r w:rsidR="004F428F" w:rsidRPr="004C2E6E">
        <w:rPr>
          <w:rFonts w:ascii="Times New Roman" w:eastAsia="Times New Roman" w:hAnsi="Times New Roman" w:cs="Times New Roman"/>
          <w:sz w:val="24"/>
          <w:szCs w:val="24"/>
        </w:rPr>
        <w:t xml:space="preserve"> nov. 2025.</w:t>
      </w:r>
    </w:p>
    <w:sectPr w:rsidR="00FD7E16" w:rsidRPr="004C2E6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0" w:right="1133" w:bottom="1133" w:left="1700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1E61" w:rsidRDefault="00AB1E61">
      <w:pPr>
        <w:spacing w:line="240" w:lineRule="auto"/>
      </w:pPr>
      <w:r>
        <w:separator/>
      </w:r>
    </w:p>
  </w:endnote>
  <w:endnote w:type="continuationSeparator" w:id="0">
    <w:p w:rsidR="00AB1E61" w:rsidRDefault="00AB1E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54F9282-1AA1-489E-9C23-1B3F92F7D9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0776594-DD8F-4FE7-8BA6-BE5C7475E7A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4EB" w:rsidRDefault="002244E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4EB" w:rsidRDefault="002244E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4EB" w:rsidRDefault="002244E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1E61" w:rsidRDefault="00AB1E61">
      <w:pPr>
        <w:spacing w:line="240" w:lineRule="auto"/>
      </w:pPr>
      <w:r>
        <w:separator/>
      </w:r>
    </w:p>
  </w:footnote>
  <w:footnote w:type="continuationSeparator" w:id="0">
    <w:p w:rsidR="00AB1E61" w:rsidRDefault="00AB1E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4EB" w:rsidRDefault="002244E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E16" w:rsidRDefault="004F428F">
    <w:pPr>
      <w:jc w:val="center"/>
    </w:pPr>
    <w:r>
      <w:rPr>
        <w:noProof/>
      </w:rPr>
      <w:drawing>
        <wp:inline distT="0" distB="0" distL="0" distR="0">
          <wp:extent cx="2174400" cy="1537155"/>
          <wp:effectExtent l="0" t="0" r="0" b="0"/>
          <wp:docPr id="1" name="image1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4400" cy="15371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4EB" w:rsidRDefault="002244E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E16"/>
    <w:rsid w:val="00203C95"/>
    <w:rsid w:val="002244EB"/>
    <w:rsid w:val="002D3B31"/>
    <w:rsid w:val="004C2E6E"/>
    <w:rsid w:val="004F428F"/>
    <w:rsid w:val="005179C7"/>
    <w:rsid w:val="00553E79"/>
    <w:rsid w:val="0058154B"/>
    <w:rsid w:val="009977FC"/>
    <w:rsid w:val="00AB1E61"/>
    <w:rsid w:val="00CF482D"/>
    <w:rsid w:val="00D771E3"/>
    <w:rsid w:val="00DD0C9F"/>
    <w:rsid w:val="00FD7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51C2D7"/>
  <w15:docId w15:val="{9B050D59-139D-474D-AF2D-0EAFDDA54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2244E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44EB"/>
  </w:style>
  <w:style w:type="paragraph" w:styleId="Rodap">
    <w:name w:val="footer"/>
    <w:basedOn w:val="Normal"/>
    <w:link w:val="RodapChar"/>
    <w:uiPriority w:val="99"/>
    <w:unhideWhenUsed/>
    <w:rsid w:val="002244E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44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cielo.br/j/csp/a/4XPwxbZSkjZc38jDxsBq8ND/?lang=pt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628</Words>
  <Characters>3394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Kailane Silva</dc:creator>
  <cp:lastModifiedBy>Kailane Silva</cp:lastModifiedBy>
  <cp:revision>3</cp:revision>
  <dcterms:created xsi:type="dcterms:W3CDTF">2025-11-17T02:05:00Z</dcterms:created>
  <dcterms:modified xsi:type="dcterms:W3CDTF">2025-11-17T02:14:00Z</dcterms:modified>
</cp:coreProperties>
</file>