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F347" w14:textId="77777777" w:rsidR="00407F8E" w:rsidRDefault="00407F8E">
      <w:pPr>
        <w:spacing w:line="240" w:lineRule="auto"/>
        <w:ind w:firstLine="0"/>
        <w:jc w:val="left"/>
      </w:pPr>
    </w:p>
    <w:p w14:paraId="4A0BB8B8" w14:textId="2F9872D8" w:rsidR="00407F8E" w:rsidRDefault="009B490E">
      <w:pPr>
        <w:pStyle w:val="Ttulo"/>
        <w:widowControl w:val="0"/>
        <w:spacing w:before="107" w:line="259" w:lineRule="auto"/>
        <w:ind w:left="1299" w:right="1297"/>
      </w:pPr>
      <w:r>
        <w:t>Pensamento sistêmico na inovação em gestão: Desafios, lacunas e oportunidades</w:t>
      </w:r>
    </w:p>
    <w:p w14:paraId="3EBA4116" w14:textId="69636143" w:rsidR="00407F8E" w:rsidRDefault="00A5405B">
      <w:pPr>
        <w:pStyle w:val="Ttulo2"/>
        <w:keepNext w:val="0"/>
        <w:keepLines w:val="0"/>
        <w:widowControl w:val="0"/>
        <w:spacing w:before="195" w:line="240" w:lineRule="auto"/>
        <w:ind w:left="367" w:right="376"/>
        <w:jc w:val="center"/>
        <w:rPr>
          <w:rFonts w:ascii="Trebuchet MS" w:eastAsia="Trebuchet MS" w:hAnsi="Trebuchet MS" w:cs="Trebuchet MS"/>
          <w:b w:val="0"/>
          <w:sz w:val="16"/>
          <w:szCs w:val="16"/>
        </w:rPr>
      </w:pPr>
      <w:r>
        <w:t>Richard Alex da Cunha</w:t>
      </w:r>
      <w:r>
        <w:rPr>
          <w:rFonts w:ascii="Trebuchet MS" w:eastAsia="Trebuchet MS" w:hAnsi="Trebuchet MS" w:cs="Trebuchet MS"/>
          <w:b w:val="0"/>
          <w:sz w:val="26"/>
          <w:vertAlign w:val="superscript"/>
        </w:rPr>
        <w:t>1</w:t>
      </w:r>
      <w:r>
        <w:t>, Mischel Carmen N. Belderrain</w:t>
      </w:r>
      <w:r>
        <w:rPr>
          <w:rFonts w:ascii="Trebuchet MS" w:eastAsia="Trebuchet MS" w:hAnsi="Trebuchet MS" w:cs="Trebuchet MS"/>
          <w:b w:val="0"/>
          <w:sz w:val="26"/>
          <w:vertAlign w:val="superscript"/>
        </w:rPr>
        <w:t>2</w:t>
      </w:r>
    </w:p>
    <w:p w14:paraId="0A5FC575" w14:textId="36C794F0" w:rsidR="00407F8E" w:rsidRDefault="00000000">
      <w:pPr>
        <w:widowControl w:val="0"/>
        <w:spacing w:before="256" w:line="246" w:lineRule="auto"/>
        <w:ind w:left="367" w:right="365" w:firstLine="0"/>
        <w:jc w:val="center"/>
        <w:rPr>
          <w:rFonts w:ascii="Trebuchet MS" w:eastAsia="Trebuchet MS" w:hAnsi="Trebuchet MS" w:cs="Trebuchet MS"/>
          <w:vertAlign w:val="superscript"/>
        </w:rPr>
      </w:pPr>
      <w:r>
        <w:rPr>
          <w:rFonts w:ascii="Trebuchet MS" w:eastAsia="Trebuchet MS" w:hAnsi="Trebuchet MS" w:cs="Trebuchet MS"/>
          <w:vertAlign w:val="superscript"/>
        </w:rPr>
        <w:t>1</w:t>
      </w:r>
      <w:r w:rsidR="00A5405B" w:rsidRPr="00A5405B">
        <w:t xml:space="preserve"> Instituto Tecnológico de Aeronáutica (ITA) CEP 12228-904 – São José dos Campos – SP – </w:t>
      </w:r>
      <w:proofErr w:type="spellStart"/>
      <w:r w:rsidR="00A5405B" w:rsidRPr="00A5405B">
        <w:t>Brazil</w:t>
      </w:r>
      <w:proofErr w:type="spellEnd"/>
    </w:p>
    <w:p w14:paraId="1726D287" w14:textId="11516AFD" w:rsidR="00407F8E" w:rsidRDefault="00000000">
      <w:pPr>
        <w:widowControl w:val="0"/>
        <w:spacing w:before="256" w:line="246" w:lineRule="auto"/>
        <w:ind w:left="367" w:right="365" w:firstLine="0"/>
        <w:jc w:val="center"/>
      </w:pPr>
      <w:r>
        <w:rPr>
          <w:rFonts w:ascii="Trebuchet MS" w:eastAsia="Trebuchet MS" w:hAnsi="Trebuchet MS" w:cs="Trebuchet MS"/>
          <w:vertAlign w:val="superscript"/>
        </w:rPr>
        <w:t>2</w:t>
      </w:r>
      <w:bookmarkStart w:id="0" w:name="_Hlk207544790"/>
      <w:r>
        <w:t>Instituto Tecnológico de Aeronáutica (ITA) CEP 12228-90</w:t>
      </w:r>
      <w:r w:rsidR="00A5405B">
        <w:t>4</w:t>
      </w:r>
      <w:r>
        <w:t xml:space="preserve"> – São José dos Campos – SP – </w:t>
      </w:r>
      <w:proofErr w:type="spellStart"/>
      <w:r>
        <w:t>Brazil</w:t>
      </w:r>
      <w:bookmarkEnd w:id="0"/>
      <w:proofErr w:type="spellEnd"/>
    </w:p>
    <w:p w14:paraId="5F4068DB" w14:textId="3106B53B" w:rsidR="00407F8E" w:rsidRDefault="00A5405B">
      <w:pPr>
        <w:widowControl w:val="0"/>
        <w:spacing w:before="201" w:line="240" w:lineRule="auto"/>
        <w:ind w:left="264" w:right="264" w:firstLine="0"/>
        <w:jc w:val="center"/>
        <w:rPr>
          <w:rFonts w:ascii="Courier New" w:eastAsia="Courier New" w:hAnsi="Courier New" w:cs="Courier New"/>
          <w:sz w:val="20"/>
          <w:szCs w:val="20"/>
        </w:rPr>
      </w:pPr>
      <w:r w:rsidRPr="00A5405B">
        <w:rPr>
          <w:rFonts w:ascii="Courier New" w:eastAsia="Courier New" w:hAnsi="Courier New" w:cs="Courier New"/>
          <w:sz w:val="20"/>
          <w:szCs w:val="20"/>
        </w:rPr>
        <w:t>richard.cunha@ga.ita.br</w:t>
      </w:r>
      <w:r>
        <w:rPr>
          <w:rFonts w:ascii="Courier New" w:eastAsia="Courier New" w:hAnsi="Courier New" w:cs="Courier New"/>
          <w:sz w:val="20"/>
          <w:szCs w:val="20"/>
        </w:rPr>
        <w:t xml:space="preserve">, </w:t>
      </w:r>
      <w:r w:rsidRPr="00A5405B">
        <w:rPr>
          <w:rFonts w:ascii="Courier New" w:eastAsia="Courier New" w:hAnsi="Courier New" w:cs="Courier New"/>
          <w:sz w:val="20"/>
          <w:szCs w:val="20"/>
        </w:rPr>
        <w:t xml:space="preserve">carmen.beld@gmail.com </w:t>
      </w:r>
    </w:p>
    <w:p w14:paraId="45038382" w14:textId="3F6AE979" w:rsidR="00407F8E" w:rsidRPr="004F4A85" w:rsidRDefault="00000000">
      <w:pPr>
        <w:widowControl w:val="0"/>
        <w:spacing w:before="299" w:line="249" w:lineRule="auto"/>
        <w:ind w:left="554" w:right="552" w:firstLine="0"/>
        <w:rPr>
          <w:i/>
          <w:lang w:val="en-US"/>
        </w:rPr>
      </w:pPr>
      <w:r w:rsidRPr="004F4A85">
        <w:rPr>
          <w:b/>
          <w:i/>
          <w:lang w:val="en-US"/>
        </w:rPr>
        <w:t xml:space="preserve">Abstract. </w:t>
      </w:r>
      <w:r w:rsidR="00BA0956" w:rsidRPr="00BA0956">
        <w:rPr>
          <w:i/>
          <w:lang w:val="en-US"/>
        </w:rPr>
        <w:t>This study analyzed the literature on management innovation (MI), systems thinking (STK), and problem structuring methods (PSM) between 2000 and 2025, aiming to understand the current state of MI models and their integration with PSM. A shortage of empirically validated MI models/frameworks was identified, reflecting the historical focus on technological innovation (TInn) and the contextual nature of MI. The study also observed the absence of research directly connecting MI and PSM, resulting from the persistence of linear innovation models and the limited attention of STK researchers to this relatively recent field. Future research should explore this convergence between areas.</w:t>
      </w:r>
    </w:p>
    <w:p w14:paraId="310E614C" w14:textId="77777777" w:rsidR="00526B83" w:rsidRDefault="00526B83">
      <w:pPr>
        <w:widowControl w:val="0"/>
        <w:spacing w:line="228" w:lineRule="auto"/>
        <w:ind w:left="554" w:right="552" w:firstLine="0"/>
        <w:rPr>
          <w:b/>
          <w:i/>
          <w:lang w:val="en-US"/>
        </w:rPr>
      </w:pPr>
    </w:p>
    <w:p w14:paraId="32D8E5EC" w14:textId="60F1A330" w:rsidR="00407F8E" w:rsidRPr="00CF47A0" w:rsidRDefault="00000000">
      <w:pPr>
        <w:widowControl w:val="0"/>
        <w:spacing w:line="228" w:lineRule="auto"/>
        <w:ind w:left="554" w:right="552" w:firstLine="0"/>
        <w:rPr>
          <w:b/>
          <w:i/>
          <w:lang w:val="en-US"/>
        </w:rPr>
      </w:pPr>
      <w:r w:rsidRPr="00CF47A0">
        <w:rPr>
          <w:b/>
          <w:i/>
          <w:lang w:val="en-US"/>
        </w:rPr>
        <w:t xml:space="preserve">Keywords: </w:t>
      </w:r>
      <w:r w:rsidR="00CF47A0" w:rsidRPr="00CF47A0">
        <w:rPr>
          <w:b/>
          <w:i/>
          <w:lang w:val="en-US"/>
        </w:rPr>
        <w:t>innovation, systems thinking, P</w:t>
      </w:r>
      <w:r w:rsidR="00CF47A0">
        <w:rPr>
          <w:b/>
          <w:i/>
          <w:lang w:val="en-US"/>
        </w:rPr>
        <w:t>SM</w:t>
      </w:r>
    </w:p>
    <w:p w14:paraId="45F96474" w14:textId="77777777" w:rsidR="00407F8E" w:rsidRPr="009B490E" w:rsidRDefault="00407F8E">
      <w:pPr>
        <w:widowControl w:val="0"/>
        <w:spacing w:line="240" w:lineRule="auto"/>
        <w:ind w:firstLine="0"/>
        <w:jc w:val="left"/>
        <w:rPr>
          <w:i/>
          <w:color w:val="000000" w:themeColor="text1"/>
          <w:sz w:val="28"/>
          <w:szCs w:val="28"/>
          <w:lang w:val="en-US"/>
        </w:rPr>
      </w:pPr>
    </w:p>
    <w:p w14:paraId="0B8F8831" w14:textId="5002F693" w:rsidR="00407F8E" w:rsidRDefault="00000000">
      <w:pPr>
        <w:widowControl w:val="0"/>
        <w:spacing w:line="228" w:lineRule="auto"/>
        <w:ind w:left="554" w:right="552" w:firstLine="0"/>
        <w:rPr>
          <w:i/>
        </w:rPr>
      </w:pPr>
      <w:r w:rsidRPr="009B490E">
        <w:rPr>
          <w:b/>
          <w:i/>
          <w:color w:val="000000" w:themeColor="text1"/>
        </w:rPr>
        <w:t xml:space="preserve">Resumo.  </w:t>
      </w:r>
      <w:r w:rsidR="00BA0956" w:rsidRPr="009B490E">
        <w:rPr>
          <w:i/>
          <w:color w:val="000000" w:themeColor="text1"/>
        </w:rPr>
        <w:t xml:space="preserve">Este estudo analisou a literatura sobre </w:t>
      </w:r>
      <w:r w:rsidR="009B490E" w:rsidRPr="009B490E">
        <w:rPr>
          <w:i/>
          <w:color w:val="000000" w:themeColor="text1"/>
        </w:rPr>
        <w:t>I</w:t>
      </w:r>
      <w:r w:rsidR="00BA0956" w:rsidRPr="009B490E">
        <w:rPr>
          <w:i/>
          <w:color w:val="000000" w:themeColor="text1"/>
        </w:rPr>
        <w:t xml:space="preserve">novação em </w:t>
      </w:r>
      <w:r w:rsidR="009B490E" w:rsidRPr="009B490E">
        <w:rPr>
          <w:i/>
          <w:color w:val="000000" w:themeColor="text1"/>
        </w:rPr>
        <w:t>G</w:t>
      </w:r>
      <w:r w:rsidR="00BA0956" w:rsidRPr="009B490E">
        <w:rPr>
          <w:i/>
          <w:color w:val="000000" w:themeColor="text1"/>
        </w:rPr>
        <w:t>estão (</w:t>
      </w:r>
      <w:r w:rsidR="0062122A" w:rsidRPr="009B490E">
        <w:rPr>
          <w:i/>
          <w:color w:val="000000" w:themeColor="text1"/>
        </w:rPr>
        <w:t xml:space="preserve">Management Innovation - </w:t>
      </w:r>
      <w:r w:rsidR="00BA0956" w:rsidRPr="009B490E">
        <w:rPr>
          <w:i/>
          <w:color w:val="000000" w:themeColor="text1"/>
        </w:rPr>
        <w:t xml:space="preserve">MI), </w:t>
      </w:r>
      <w:r w:rsidR="009B490E" w:rsidRPr="009B490E">
        <w:rPr>
          <w:i/>
          <w:color w:val="000000" w:themeColor="text1"/>
        </w:rPr>
        <w:t>P</w:t>
      </w:r>
      <w:r w:rsidR="00BA0956" w:rsidRPr="009B490E">
        <w:rPr>
          <w:i/>
          <w:color w:val="000000" w:themeColor="text1"/>
        </w:rPr>
        <w:t xml:space="preserve">ensamento </w:t>
      </w:r>
      <w:r w:rsidR="009B490E" w:rsidRPr="009B490E">
        <w:rPr>
          <w:i/>
          <w:color w:val="000000" w:themeColor="text1"/>
        </w:rPr>
        <w:t>S</w:t>
      </w:r>
      <w:r w:rsidR="00BA0956" w:rsidRPr="009B490E">
        <w:rPr>
          <w:i/>
          <w:color w:val="000000" w:themeColor="text1"/>
        </w:rPr>
        <w:t>istêmico (</w:t>
      </w:r>
      <w:r w:rsidR="009B490E" w:rsidRPr="009B490E">
        <w:rPr>
          <w:i/>
          <w:color w:val="000000" w:themeColor="text1"/>
        </w:rPr>
        <w:t>S</w:t>
      </w:r>
      <w:r w:rsidR="009B490E" w:rsidRPr="009B490E">
        <w:rPr>
          <w:i/>
          <w:color w:val="000000" w:themeColor="text1"/>
        </w:rPr>
        <w:t xml:space="preserve">ystems </w:t>
      </w:r>
      <w:r w:rsidR="009B490E" w:rsidRPr="009B490E">
        <w:rPr>
          <w:i/>
          <w:color w:val="000000" w:themeColor="text1"/>
        </w:rPr>
        <w:t>T</w:t>
      </w:r>
      <w:r w:rsidR="009B490E" w:rsidRPr="009B490E">
        <w:rPr>
          <w:i/>
          <w:color w:val="000000" w:themeColor="text1"/>
        </w:rPr>
        <w:t>hinking</w:t>
      </w:r>
      <w:r w:rsidR="009B490E" w:rsidRPr="009B490E">
        <w:rPr>
          <w:i/>
          <w:color w:val="000000" w:themeColor="text1"/>
        </w:rPr>
        <w:t xml:space="preserve"> - </w:t>
      </w:r>
      <w:r w:rsidR="00BA0956" w:rsidRPr="009B490E">
        <w:rPr>
          <w:i/>
          <w:color w:val="000000" w:themeColor="text1"/>
        </w:rPr>
        <w:t xml:space="preserve">STK) e </w:t>
      </w:r>
      <w:r w:rsidR="009B490E" w:rsidRPr="009B490E">
        <w:rPr>
          <w:i/>
          <w:color w:val="000000" w:themeColor="text1"/>
        </w:rPr>
        <w:t>M</w:t>
      </w:r>
      <w:r w:rsidR="00BA0956" w:rsidRPr="009B490E">
        <w:rPr>
          <w:i/>
          <w:color w:val="000000" w:themeColor="text1"/>
        </w:rPr>
        <w:t xml:space="preserve">étodos de </w:t>
      </w:r>
      <w:r w:rsidR="009B490E" w:rsidRPr="009B490E">
        <w:rPr>
          <w:i/>
          <w:color w:val="000000" w:themeColor="text1"/>
        </w:rPr>
        <w:t>E</w:t>
      </w:r>
      <w:r w:rsidR="00BA0956" w:rsidRPr="009B490E">
        <w:rPr>
          <w:i/>
          <w:color w:val="000000" w:themeColor="text1"/>
        </w:rPr>
        <w:t xml:space="preserve">struturação de </w:t>
      </w:r>
      <w:r w:rsidR="009B490E" w:rsidRPr="009B490E">
        <w:rPr>
          <w:i/>
          <w:color w:val="000000" w:themeColor="text1"/>
        </w:rPr>
        <w:t>P</w:t>
      </w:r>
      <w:r w:rsidR="00BA0956" w:rsidRPr="009B490E">
        <w:rPr>
          <w:i/>
          <w:color w:val="000000" w:themeColor="text1"/>
        </w:rPr>
        <w:t>roblemas (</w:t>
      </w:r>
      <w:r w:rsidR="0062122A" w:rsidRPr="009B490E">
        <w:rPr>
          <w:i/>
          <w:color w:val="000000" w:themeColor="text1"/>
        </w:rPr>
        <w:t xml:space="preserve">Problem Structuring Methods - </w:t>
      </w:r>
      <w:r w:rsidR="00BA0956" w:rsidRPr="009B490E">
        <w:rPr>
          <w:i/>
          <w:color w:val="000000" w:themeColor="text1"/>
        </w:rPr>
        <w:t>PSM) entre 2000 e 2025, buscando compreender o estado atual dos modelos de MI e sua integração com os PSM. Identificou-se escassez de modelos/frameworks de MI validados empiricamente, reflexo do foco histórico na inovação tecnológica (</w:t>
      </w:r>
      <w:r w:rsidR="009B490E" w:rsidRPr="009B490E">
        <w:rPr>
          <w:i/>
          <w:color w:val="000000" w:themeColor="text1"/>
        </w:rPr>
        <w:t>T</w:t>
      </w:r>
      <w:r w:rsidR="009B490E" w:rsidRPr="009B490E">
        <w:rPr>
          <w:i/>
          <w:color w:val="000000" w:themeColor="text1"/>
        </w:rPr>
        <w:t xml:space="preserve">echnological </w:t>
      </w:r>
      <w:r w:rsidR="009B490E" w:rsidRPr="009B490E">
        <w:rPr>
          <w:i/>
          <w:color w:val="000000" w:themeColor="text1"/>
        </w:rPr>
        <w:t>I</w:t>
      </w:r>
      <w:r w:rsidR="009B490E" w:rsidRPr="009B490E">
        <w:rPr>
          <w:i/>
          <w:color w:val="000000" w:themeColor="text1"/>
        </w:rPr>
        <w:t>nnovation</w:t>
      </w:r>
      <w:r w:rsidR="009B490E" w:rsidRPr="009B490E">
        <w:rPr>
          <w:i/>
          <w:color w:val="000000" w:themeColor="text1"/>
        </w:rPr>
        <w:t xml:space="preserve"> - </w:t>
      </w:r>
      <w:r w:rsidR="00BA0956" w:rsidRPr="009B490E">
        <w:rPr>
          <w:i/>
          <w:color w:val="000000" w:themeColor="text1"/>
        </w:rPr>
        <w:t xml:space="preserve">TInn) e </w:t>
      </w:r>
      <w:r w:rsidR="00BA0956" w:rsidRPr="00BA0956">
        <w:rPr>
          <w:i/>
        </w:rPr>
        <w:t>da natureza contextual da MI. Observou-se ainda a ausência de estudos que conectem diretamente MI e PSM, decorrente da permanência de modelos lineares de inovação e da limitada atenção de pesquisadores em STK a esse campo recente. Futuras pesquisas devem explorar essa convergência entre áreas</w:t>
      </w:r>
      <w:r>
        <w:rPr>
          <w:i/>
        </w:rPr>
        <w:t>.</w:t>
      </w:r>
    </w:p>
    <w:p w14:paraId="0CCD405C" w14:textId="77777777" w:rsidR="00526B83" w:rsidRDefault="00526B83">
      <w:pPr>
        <w:widowControl w:val="0"/>
        <w:spacing w:line="228" w:lineRule="auto"/>
        <w:ind w:left="554" w:right="552" w:firstLine="0"/>
        <w:rPr>
          <w:b/>
          <w:i/>
        </w:rPr>
      </w:pPr>
    </w:p>
    <w:p w14:paraId="1C686F4F" w14:textId="4934382D" w:rsidR="00407F8E" w:rsidRDefault="00000000">
      <w:pPr>
        <w:widowControl w:val="0"/>
        <w:spacing w:line="228" w:lineRule="auto"/>
        <w:ind w:left="554" w:right="552" w:firstLine="0"/>
        <w:rPr>
          <w:b/>
          <w:i/>
        </w:rPr>
      </w:pPr>
      <w:r>
        <w:rPr>
          <w:b/>
          <w:i/>
        </w:rPr>
        <w:t xml:space="preserve">Palavras-chave: </w:t>
      </w:r>
      <w:r w:rsidR="00CF47A0">
        <w:rPr>
          <w:b/>
          <w:i/>
        </w:rPr>
        <w:t xml:space="preserve">Inovação, </w:t>
      </w:r>
      <w:r w:rsidR="009B490E">
        <w:rPr>
          <w:b/>
          <w:i/>
        </w:rPr>
        <w:t>P</w:t>
      </w:r>
      <w:r w:rsidR="00CF47A0">
        <w:rPr>
          <w:b/>
          <w:i/>
        </w:rPr>
        <w:t xml:space="preserve">ensamento </w:t>
      </w:r>
      <w:r w:rsidR="009B490E">
        <w:rPr>
          <w:b/>
          <w:i/>
        </w:rPr>
        <w:t>S</w:t>
      </w:r>
      <w:r w:rsidR="00CF47A0">
        <w:rPr>
          <w:b/>
          <w:i/>
        </w:rPr>
        <w:t>istêmico, PSM</w:t>
      </w:r>
    </w:p>
    <w:p w14:paraId="6D82E351" w14:textId="77777777" w:rsidR="00407F8E" w:rsidRDefault="00407F8E">
      <w:pPr>
        <w:widowControl w:val="0"/>
        <w:spacing w:line="240" w:lineRule="auto"/>
        <w:ind w:firstLine="0"/>
        <w:jc w:val="left"/>
        <w:rPr>
          <w:i/>
          <w:sz w:val="28"/>
          <w:szCs w:val="28"/>
        </w:rPr>
      </w:pPr>
    </w:p>
    <w:p w14:paraId="4C4731FE" w14:textId="77777777" w:rsidR="00407F8E" w:rsidRDefault="00000000">
      <w:pPr>
        <w:widowControl w:val="0"/>
        <w:spacing w:line="228" w:lineRule="auto"/>
        <w:ind w:left="554" w:right="552" w:firstLine="0"/>
        <w:rPr>
          <w:i/>
        </w:rPr>
      </w:pPr>
      <w:r>
        <w:rPr>
          <w:b/>
          <w:i/>
        </w:rPr>
        <w:t xml:space="preserve">Área Temática: </w:t>
      </w:r>
      <w:r>
        <w:rPr>
          <w:i/>
        </w:rPr>
        <w:t>Sistemas Complexos, Pensamento Sistêmico e Teorias Sistêmicas</w:t>
      </w:r>
    </w:p>
    <w:p w14:paraId="6255BE4E" w14:textId="77777777" w:rsidR="00407F8E" w:rsidRDefault="00407F8E">
      <w:pPr>
        <w:widowControl w:val="0"/>
        <w:spacing w:before="5" w:line="240" w:lineRule="auto"/>
        <w:ind w:firstLine="0"/>
        <w:jc w:val="left"/>
        <w:rPr>
          <w:i/>
          <w:sz w:val="29"/>
          <w:szCs w:val="29"/>
        </w:rPr>
      </w:pPr>
    </w:p>
    <w:p w14:paraId="5758C59F" w14:textId="77777777" w:rsidR="00526B83" w:rsidRDefault="00526B83">
      <w:pPr>
        <w:widowControl w:val="0"/>
        <w:spacing w:before="5" w:line="240" w:lineRule="auto"/>
        <w:ind w:firstLine="0"/>
        <w:jc w:val="left"/>
        <w:rPr>
          <w:i/>
          <w:sz w:val="29"/>
          <w:szCs w:val="29"/>
        </w:rPr>
      </w:pPr>
    </w:p>
    <w:p w14:paraId="02FAA39A" w14:textId="77777777" w:rsidR="00526B83" w:rsidRDefault="00526B83">
      <w:pPr>
        <w:widowControl w:val="0"/>
        <w:spacing w:before="5" w:line="240" w:lineRule="auto"/>
        <w:ind w:firstLine="0"/>
        <w:jc w:val="left"/>
        <w:rPr>
          <w:i/>
          <w:sz w:val="29"/>
          <w:szCs w:val="29"/>
        </w:rPr>
      </w:pPr>
    </w:p>
    <w:p w14:paraId="46AA312F" w14:textId="77777777" w:rsidR="00526B83" w:rsidRDefault="00526B83">
      <w:pPr>
        <w:widowControl w:val="0"/>
        <w:spacing w:before="5" w:line="240" w:lineRule="auto"/>
        <w:ind w:firstLine="0"/>
        <w:jc w:val="left"/>
        <w:rPr>
          <w:i/>
          <w:sz w:val="29"/>
          <w:szCs w:val="29"/>
        </w:rPr>
      </w:pPr>
    </w:p>
    <w:p w14:paraId="0E7298CC" w14:textId="404CD76C" w:rsidR="00407F8E" w:rsidRDefault="001A3454">
      <w:pPr>
        <w:pStyle w:val="Ttulo1"/>
        <w:keepNext w:val="0"/>
        <w:keepLines w:val="0"/>
        <w:widowControl w:val="0"/>
        <w:numPr>
          <w:ilvl w:val="0"/>
          <w:numId w:val="1"/>
        </w:numPr>
        <w:tabs>
          <w:tab w:val="left" w:pos="415"/>
        </w:tabs>
        <w:spacing w:before="1" w:line="240" w:lineRule="auto"/>
        <w:ind w:hanging="315"/>
        <w:jc w:val="both"/>
        <w:rPr>
          <w:sz w:val="26"/>
          <w:szCs w:val="26"/>
        </w:rPr>
      </w:pPr>
      <w:r>
        <w:rPr>
          <w:sz w:val="26"/>
          <w:szCs w:val="26"/>
        </w:rPr>
        <w:t>Introdução</w:t>
      </w:r>
    </w:p>
    <w:p w14:paraId="5D5C7125" w14:textId="3C8DF4D2" w:rsidR="00407F8E" w:rsidRDefault="001A3454">
      <w:pPr>
        <w:widowControl w:val="0"/>
        <w:spacing w:before="135" w:line="249" w:lineRule="auto"/>
        <w:ind w:left="100" w:right="98" w:firstLine="0"/>
      </w:pPr>
      <w:r w:rsidRPr="001A3454">
        <w:t>A inovação é geralmente entendida como o desenvolvimento ou a aplicação de novas ideias, produtos, metodologias ou práticas (O'TOOLE, 1997; ROGERS, 1995). O desenvolvimento implica a criação de algo novo em relação ao estado atual, enquanto a aplicação corresponde ao uso desse resultado por parte de organizações ou populações (DAMANPOUR &amp; WISCHNEVSKY, 2006), em um ambiente marcado por desafios econômicos, sociais e ambientais contemporâneos. Nesse contexto, a inovação tem adquirido papel central em diferentes setores, o que explica sua priorização crescente nas agendas estratégicas de governos e empresas (OECD/EUROSTAT, 2018). A China ilustra esse movimento ao combinar políticas consistentes e investimentos maciços, transformando sua economia e consolidando-se como liderança global em inovação (WEFORUM, 2024; DYCHTWALD, 2021).</w:t>
      </w:r>
    </w:p>
    <w:p w14:paraId="3E6D8AA2" w14:textId="3CBFFBC2" w:rsidR="00407F8E" w:rsidRDefault="001A3454">
      <w:pPr>
        <w:widowControl w:val="0"/>
        <w:spacing w:before="119" w:line="249" w:lineRule="auto"/>
        <w:ind w:left="100" w:right="98"/>
      </w:pPr>
      <w:r w:rsidRPr="001A3454">
        <w:t xml:space="preserve">Embora os efeitos transformadores da inovação tenham sido discutidos desde a Revolução Industrial por pensadores como Karl Marx, Adam Smith e Alex Tocqueville, foi Schumpeter, em </w:t>
      </w:r>
      <w:r w:rsidRPr="00C42785">
        <w:rPr>
          <w:i/>
          <w:iCs/>
        </w:rPr>
        <w:t>The Theory of Economic Development</w:t>
      </w:r>
      <w:r w:rsidRPr="001A3454">
        <w:t xml:space="preserve"> (1911; edição em inglês de 1934), quem destacou sua importância fundamental para o crescimento econômico das nações (FIGUEIREDO, 2005). Schumpeter conceituou a inovação como a criação de novos resultados por meio de novas combinações e definiu cinco tipologias de inovação: novos produtos, novos métodos de produção, novos mercados, novas fontes de suprimento e novas formas de organizar negócios (DAMANPOUR &amp; ARAVIND, 2012; FAGERBERG, 2005; SCHUMPETER, 1934).</w:t>
      </w:r>
    </w:p>
    <w:p w14:paraId="65BA4BDB" w14:textId="76A18BB8" w:rsidR="001A3454" w:rsidRDefault="001A3454">
      <w:pPr>
        <w:widowControl w:val="0"/>
        <w:spacing w:before="119" w:line="249" w:lineRule="auto"/>
        <w:ind w:left="100" w:right="98"/>
      </w:pPr>
      <w:r w:rsidRPr="001A3454">
        <w:t xml:space="preserve">A partir Schumpeter, a pesquisa em inovação se expandiu, surgindo novos conceitos, medições e campos de conhecimento. Segundo </w:t>
      </w:r>
      <w:proofErr w:type="spellStart"/>
      <w:r w:rsidRPr="001A3454">
        <w:t>Keupp</w:t>
      </w:r>
      <w:proofErr w:type="spellEnd"/>
      <w:r w:rsidRPr="001A3454">
        <w:t xml:space="preserve"> et al. (2012) e </w:t>
      </w:r>
      <w:proofErr w:type="spellStart"/>
      <w:r w:rsidRPr="001A3454">
        <w:t>Damanpour</w:t>
      </w:r>
      <w:proofErr w:type="spellEnd"/>
      <w:r w:rsidRPr="001A3454">
        <w:t xml:space="preserve"> (1991), uma inovação pode se manifestar de diversas formas: como um novo produto ou serviço, uma tecnologia de processo de produção inovadora, uma estrutura ou sistema administrativo recém estabelecido, ou uma estratégia ou iniciativa criada especificamente para membros da organização. Além da inovação tecnológica (TInn), emergiram tópicos como inovação em modelos de negócios (MARKIDES, 1997), em serviços (GALLOUJ &amp; WEINSTEIN, 1997), de processos (PISANO, 1996) e, particularmente, a inovação em gestão (MI) (BIRKINSHAW </w:t>
      </w:r>
      <w:r w:rsidRPr="00D3784F">
        <w:rPr>
          <w:i/>
          <w:iCs/>
        </w:rPr>
        <w:t>et al.,</w:t>
      </w:r>
      <w:r w:rsidRPr="001A3454">
        <w:t xml:space="preserve"> 2008)</w:t>
      </w:r>
      <w:r>
        <w:t>.</w:t>
      </w:r>
    </w:p>
    <w:p w14:paraId="4B18B640" w14:textId="3B6DF6FC" w:rsidR="001A3454" w:rsidRDefault="001A3454">
      <w:pPr>
        <w:widowControl w:val="0"/>
        <w:spacing w:before="119" w:line="249" w:lineRule="auto"/>
        <w:ind w:left="100" w:right="98"/>
      </w:pPr>
      <w:r w:rsidRPr="001A3454">
        <w:t xml:space="preserve">Este artigo concentra-se na MI, também conhecida na literatura como inovação gerencial (por exemplo, KIMBERLY, 1981), inovação organizacional (por exemplo, </w:t>
      </w:r>
      <w:proofErr w:type="spellStart"/>
      <w:r w:rsidRPr="001A3454">
        <w:t>Tether</w:t>
      </w:r>
      <w:proofErr w:type="spellEnd"/>
      <w:r w:rsidRPr="001A3454">
        <w:t xml:space="preserve"> &amp; </w:t>
      </w:r>
      <w:proofErr w:type="spellStart"/>
      <w:r w:rsidRPr="001A3454">
        <w:t>Tajar</w:t>
      </w:r>
      <w:proofErr w:type="spellEnd"/>
      <w:r w:rsidRPr="001A3454">
        <w:t xml:space="preserve">, 2008) e administrativa (por exemplo, EVAN, 1966) e outras. A MI são novas abordagens para conceber estratégias, estruturas e processos que mudam o trabalho dos gestores e membros da organização (VACCARO, JANSEN, VAN DEN BOSCH &amp; VOLBERDA, 2012; DAMANPOUR &amp; ARAVIND, 2012; WALKER, DAMANPOUR &amp; DEVECE, 2011). Segundo </w:t>
      </w:r>
      <w:proofErr w:type="spellStart"/>
      <w:r w:rsidRPr="001A3454">
        <w:t>Damanpour</w:t>
      </w:r>
      <w:proofErr w:type="spellEnd"/>
      <w:r w:rsidRPr="001A3454">
        <w:t xml:space="preserve"> e </w:t>
      </w:r>
      <w:proofErr w:type="spellStart"/>
      <w:r w:rsidRPr="001A3454">
        <w:t>Aravind</w:t>
      </w:r>
      <w:proofErr w:type="spellEnd"/>
      <w:r w:rsidRPr="001A3454">
        <w:t xml:space="preserve"> (2012), </w:t>
      </w:r>
      <w:proofErr w:type="spellStart"/>
      <w:r w:rsidRPr="001A3454">
        <w:t>Sanidas</w:t>
      </w:r>
      <w:proofErr w:type="spellEnd"/>
      <w:r w:rsidRPr="001A3454">
        <w:t xml:space="preserve"> (2005)</w:t>
      </w:r>
      <w:r w:rsidR="00951087">
        <w:t xml:space="preserve"> e</w:t>
      </w:r>
      <w:r w:rsidRPr="001A3454">
        <w:t xml:space="preserve"> </w:t>
      </w:r>
      <w:proofErr w:type="spellStart"/>
      <w:r w:rsidRPr="001A3454">
        <w:t>Edquist</w:t>
      </w:r>
      <w:proofErr w:type="spellEnd"/>
      <w:r w:rsidRPr="001A3454">
        <w:t xml:space="preserve">, </w:t>
      </w:r>
      <w:proofErr w:type="spellStart"/>
      <w:r w:rsidRPr="001A3454">
        <w:t>Hommen</w:t>
      </w:r>
      <w:proofErr w:type="spellEnd"/>
      <w:r w:rsidRPr="001A3454">
        <w:t xml:space="preserve"> &amp; </w:t>
      </w:r>
      <w:proofErr w:type="spellStart"/>
      <w:r w:rsidRPr="001A3454">
        <w:t>McKelvey</w:t>
      </w:r>
      <w:proofErr w:type="spellEnd"/>
      <w:r w:rsidRPr="001A3454">
        <w:t xml:space="preserve"> (2001), o desempenho e o crescimento contínuos de uma organização dependem da sua capacidade de adotar novas práticas de gestão para renovar sua estratégia, estrutura e processos. Além disso, as transformações promovidas por MI frequentemente se mostram pré-requisito para a implementação eficaz de TInn.</w:t>
      </w:r>
    </w:p>
    <w:p w14:paraId="3DE745BA" w14:textId="0A60BFE8" w:rsidR="001A3454" w:rsidRDefault="001A3454">
      <w:pPr>
        <w:widowControl w:val="0"/>
        <w:spacing w:before="119" w:line="249" w:lineRule="auto"/>
        <w:ind w:left="100" w:right="98"/>
      </w:pPr>
      <w:r w:rsidRPr="001A3454">
        <w:t xml:space="preserve">Embora o tema inovação seja popular na academia e o número de publicações em periódicos tenha se expandido ao longo do tempo, alguns autores (LIN </w:t>
      </w:r>
      <w:r w:rsidRPr="00D3784F">
        <w:rPr>
          <w:i/>
          <w:iCs/>
        </w:rPr>
        <w:t>et al.,</w:t>
      </w:r>
      <w:r w:rsidRPr="001A3454">
        <w:t xml:space="preserve"> 2016; </w:t>
      </w:r>
      <w:r w:rsidRPr="001A3454">
        <w:lastRenderedPageBreak/>
        <w:t xml:space="preserve">DAMANPOUR, 2014; KEUPP </w:t>
      </w:r>
      <w:r w:rsidRPr="00D3784F">
        <w:rPr>
          <w:i/>
          <w:iCs/>
        </w:rPr>
        <w:t>et al.,</w:t>
      </w:r>
      <w:r w:rsidRPr="001A3454">
        <w:t xml:space="preserve"> 2012) observaram que a maior parte das pesquisas focaram em explorar os potenciais benefícios relacionados a TInn. Entretanto, </w:t>
      </w:r>
      <w:proofErr w:type="spellStart"/>
      <w:r w:rsidRPr="001A3454">
        <w:t>Hamel</w:t>
      </w:r>
      <w:proofErr w:type="spellEnd"/>
      <w:r w:rsidRPr="001A3454">
        <w:t xml:space="preserve"> (2006: 73) argumenta, entretanto, que avanços na gestão podem gerar vantagens competitivas mais duradouras que as proporcionadas por inovações de produtos ou tecnologias isoladas. Nesse sentido, a MI desempenha um papel crucial ao promover e otimizar a utilização eficaz de produtos técnicos e inovações de processos contribuindo significativamente para a melhoria do desempenho organizacional e tornando-se fonte importante sustentável de vantagem competitiva (LIN </w:t>
      </w:r>
      <w:r w:rsidRPr="00D3784F">
        <w:rPr>
          <w:i/>
          <w:iCs/>
        </w:rPr>
        <w:t>et al.,</w:t>
      </w:r>
      <w:r w:rsidRPr="001A3454">
        <w:t xml:space="preserve"> 2016).</w:t>
      </w:r>
    </w:p>
    <w:p w14:paraId="6E876E5C" w14:textId="77777777" w:rsidR="00C42785" w:rsidRDefault="001A3454" w:rsidP="00C42785">
      <w:pPr>
        <w:widowControl w:val="0"/>
        <w:spacing w:before="119" w:line="249" w:lineRule="auto"/>
        <w:ind w:left="100" w:right="98"/>
      </w:pPr>
      <w:r w:rsidRPr="001A3454">
        <w:t>Cabe destacar, ainda, que a MI envolve um ecossistema de atores, atividades, instituições e artefatos em constante evolução (GRANSTRAND &amp; HOLGERSSON, 2020). Como o processo de inovação é complexo e incerto (KLINE &amp; ROSENBERG, 1986), torna-se necessária a adoção de abordagens capazes de lidar com múltiplas perspectivas e interesses conflitantes. Nesse cenário, os Métodos de Estruturação de Problemas (PSM) oferecem instrumentos participativos, interativos e visuais que permitem explorar espaços de solução em situações organizacionais complexas (SCHÖN, 1987; ROSENHEAD &amp; MINGERS, 2001).</w:t>
      </w:r>
      <w:r w:rsidR="00C42785">
        <w:t xml:space="preserve"> </w:t>
      </w:r>
      <w:r w:rsidR="00C42785">
        <w:t>Assim, a RSL pretende responder às seguintes questões:</w:t>
      </w:r>
    </w:p>
    <w:p w14:paraId="5CA1ACAA" w14:textId="77777777" w:rsidR="00C42785" w:rsidRDefault="00C42785" w:rsidP="00C42785">
      <w:pPr>
        <w:widowControl w:val="0"/>
        <w:spacing w:before="119" w:line="249" w:lineRule="auto"/>
        <w:ind w:left="100" w:right="98"/>
      </w:pPr>
      <w:r>
        <w:t>1) Quais pesquisas introduzem novos modelos ou melhorias em modelos existentes de inovação em gestão que foram aplicados e validados por estudos empíricos? Quais os resultados foram alcançados?</w:t>
      </w:r>
    </w:p>
    <w:p w14:paraId="1AFCB6CC" w14:textId="4169EFAB" w:rsidR="001A3454" w:rsidRDefault="00C42785" w:rsidP="00C42785">
      <w:pPr>
        <w:widowControl w:val="0"/>
        <w:spacing w:before="119" w:line="249" w:lineRule="auto"/>
        <w:ind w:left="100" w:right="98"/>
      </w:pPr>
      <w:r>
        <w:t>2) De que forma os PSM foram integrados aos modelos de MI, e quais impactos essa integração gerou na resolução de problemas organizacionais complexos?</w:t>
      </w:r>
    </w:p>
    <w:p w14:paraId="4362EC0F" w14:textId="5DAE16A0" w:rsidR="001A3454" w:rsidRDefault="001A3454" w:rsidP="001A3454">
      <w:pPr>
        <w:widowControl w:val="0"/>
        <w:spacing w:before="119" w:line="249" w:lineRule="auto"/>
        <w:ind w:left="100" w:right="98"/>
      </w:pPr>
      <w:r>
        <w:t>O artigo está estruturado da seguinte forma: a Seção 2 apresenta a revisão da literatura; a Seção 3 descreve</w:t>
      </w:r>
      <w:r w:rsidR="00266D58">
        <w:t xml:space="preserve"> a metodologia da RSL</w:t>
      </w:r>
      <w:r>
        <w:t>; a Seção 4 traz os resultados</w:t>
      </w:r>
      <w:r w:rsidR="0046620F">
        <w:t xml:space="preserve"> e discussão</w:t>
      </w:r>
      <w:r>
        <w:t>;</w:t>
      </w:r>
      <w:r w:rsidR="0046620F">
        <w:t xml:space="preserve"> </w:t>
      </w:r>
      <w:r>
        <w:t>e a Seção 6 apresenta as conclusões e sugestões de pesquisas futuras.</w:t>
      </w:r>
    </w:p>
    <w:p w14:paraId="0B6C3BCD" w14:textId="77777777" w:rsidR="00407F8E" w:rsidRDefault="00407F8E">
      <w:pPr>
        <w:widowControl w:val="0"/>
        <w:spacing w:before="4" w:line="240" w:lineRule="auto"/>
        <w:ind w:firstLine="0"/>
        <w:jc w:val="left"/>
      </w:pPr>
    </w:p>
    <w:p w14:paraId="523EDDDF" w14:textId="547643DE" w:rsidR="00407F8E" w:rsidRDefault="00D3784F">
      <w:pPr>
        <w:pStyle w:val="Ttulo1"/>
        <w:keepNext w:val="0"/>
        <w:keepLines w:val="0"/>
        <w:widowControl w:val="0"/>
        <w:numPr>
          <w:ilvl w:val="0"/>
          <w:numId w:val="1"/>
        </w:numPr>
        <w:tabs>
          <w:tab w:val="left" w:pos="415"/>
        </w:tabs>
        <w:spacing w:before="1" w:line="240" w:lineRule="auto"/>
        <w:ind w:hanging="315"/>
        <w:jc w:val="both"/>
        <w:rPr>
          <w:sz w:val="26"/>
          <w:szCs w:val="26"/>
        </w:rPr>
      </w:pPr>
      <w:r>
        <w:rPr>
          <w:sz w:val="26"/>
          <w:szCs w:val="26"/>
        </w:rPr>
        <w:t>Revisão da Literatura</w:t>
      </w:r>
    </w:p>
    <w:p w14:paraId="3D5C4682" w14:textId="2E7BD9E0" w:rsidR="00D3784F" w:rsidRDefault="00D3784F">
      <w:pPr>
        <w:widowControl w:val="0"/>
        <w:spacing w:before="135" w:line="249" w:lineRule="auto"/>
        <w:ind w:left="100" w:right="98" w:firstLine="0"/>
      </w:pPr>
      <w:r w:rsidRPr="00D3784F">
        <w:t>O objetivo desta seção é apresentar uma base teórica consistente para a pesquisa, oferecendo uma compreensão detalhada e estruturada dos tópicos centrais, MI e PSM. Além de discutir cada conceito individualmente, busca-se destacar sua inter-relação e aplicação prática, evidenciando como a MI pode ser fortalecida pelo uso dos PSM na abordagem de problemas complexos e mal estruturados que permeiam as organizações.</w:t>
      </w:r>
    </w:p>
    <w:p w14:paraId="4DAFBBD1" w14:textId="05A88CF3" w:rsidR="00D3784F" w:rsidRPr="001014F5" w:rsidRDefault="00D3784F" w:rsidP="00D3784F">
      <w:pPr>
        <w:pStyle w:val="Ttulo2"/>
        <w:keepNext w:val="0"/>
        <w:keepLines w:val="0"/>
        <w:widowControl w:val="0"/>
        <w:numPr>
          <w:ilvl w:val="1"/>
          <w:numId w:val="1"/>
        </w:numPr>
        <w:tabs>
          <w:tab w:val="left" w:pos="570"/>
        </w:tabs>
        <w:spacing w:before="235" w:line="240" w:lineRule="auto"/>
        <w:ind w:hanging="470"/>
        <w:jc w:val="both"/>
      </w:pPr>
      <w:r w:rsidRPr="001014F5">
        <w:t>Inovação em gestão</w:t>
      </w:r>
      <w:r w:rsidR="00266D58" w:rsidRPr="001014F5">
        <w:t xml:space="preserve"> (MI)</w:t>
      </w:r>
    </w:p>
    <w:p w14:paraId="2889E8AB" w14:textId="776FF421" w:rsidR="00D3784F" w:rsidRPr="001014F5" w:rsidRDefault="00D3784F">
      <w:pPr>
        <w:widowControl w:val="0"/>
        <w:spacing w:before="135" w:line="249" w:lineRule="auto"/>
        <w:ind w:left="100" w:right="98" w:firstLine="0"/>
      </w:pPr>
      <w:r w:rsidRPr="001014F5">
        <w:t>Embora práticas de gestão antecedam o conceito de MI, sua fundamentação teórica remonta a Schumpeter, considerado o pai dos estudos sobre inovação, que estabeleceu o conceito inicial de inovação e suas tipologias (TIDD, BESSANT &amp; PAVITT, 2008). As pesquisas de Schumpeter forneceram duas perspectivas sobre o papel da inovação no progresso financeiro (DAMANPOUR, 2014).</w:t>
      </w:r>
    </w:p>
    <w:p w14:paraId="31058121" w14:textId="77777777" w:rsidR="00D3784F" w:rsidRDefault="00D3784F" w:rsidP="00D3784F">
      <w:pPr>
        <w:widowControl w:val="0"/>
        <w:spacing w:before="119" w:line="249" w:lineRule="auto"/>
        <w:ind w:left="100" w:right="98"/>
      </w:pPr>
      <w:r w:rsidRPr="001014F5">
        <w:t xml:space="preserve">Em </w:t>
      </w:r>
      <w:r w:rsidRPr="001014F5">
        <w:rPr>
          <w:i/>
          <w:iCs/>
        </w:rPr>
        <w:t>The Theory of Economic Development</w:t>
      </w:r>
      <w:r w:rsidRPr="001014F5">
        <w:t xml:space="preserve"> (1911), Schumpeter apresentou o modelo empreendedor de inovação (</w:t>
      </w:r>
      <w:r w:rsidRPr="001014F5">
        <w:rPr>
          <w:i/>
          <w:iCs/>
        </w:rPr>
        <w:t>Mark</w:t>
      </w:r>
      <w:r w:rsidRPr="001014F5">
        <w:t xml:space="preserve"> I), ou “destruição criativa”, no qual pequenas empresas e startups desafiam incumbentes com novos produtos e processos. Já em </w:t>
      </w:r>
      <w:proofErr w:type="spellStart"/>
      <w:r w:rsidRPr="001014F5">
        <w:rPr>
          <w:i/>
          <w:iCs/>
        </w:rPr>
        <w:t>Capitalism</w:t>
      </w:r>
      <w:proofErr w:type="spellEnd"/>
      <w:r w:rsidRPr="001014F5">
        <w:rPr>
          <w:i/>
          <w:iCs/>
        </w:rPr>
        <w:t xml:space="preserve">, </w:t>
      </w:r>
      <w:proofErr w:type="spellStart"/>
      <w:r w:rsidRPr="001014F5">
        <w:rPr>
          <w:i/>
          <w:iCs/>
        </w:rPr>
        <w:t>Socialism</w:t>
      </w:r>
      <w:proofErr w:type="spellEnd"/>
      <w:r w:rsidRPr="001014F5">
        <w:rPr>
          <w:i/>
          <w:iCs/>
        </w:rPr>
        <w:t xml:space="preserve"> and </w:t>
      </w:r>
      <w:proofErr w:type="spellStart"/>
      <w:r w:rsidRPr="001014F5">
        <w:rPr>
          <w:i/>
          <w:iCs/>
        </w:rPr>
        <w:t>Democracy</w:t>
      </w:r>
      <w:proofErr w:type="spellEnd"/>
      <w:r w:rsidRPr="001014F5">
        <w:t xml:space="preserve"> (1942), propôs o modelo corporativo (</w:t>
      </w:r>
      <w:r w:rsidRPr="001014F5">
        <w:rPr>
          <w:i/>
          <w:iCs/>
        </w:rPr>
        <w:t>Mark</w:t>
      </w:r>
      <w:r w:rsidRPr="001014F5">
        <w:t xml:space="preserve"> II), ou “acumulação criativa”, ressaltando o papel dos laboratórios de P&amp;D e das grandes empresas, que</w:t>
      </w:r>
      <w:r>
        <w:t xml:space="preserve">, ao acumular recursos e competências em TInn, criam barreiras à entrada de novos concorrentes </w:t>
      </w:r>
      <w:r>
        <w:lastRenderedPageBreak/>
        <w:t>(DAMANPOUR, 2014; FAGERBERG, 2005; SANIDAS, 2005; MALERBA &amp; ORSENIGO, 1997).</w:t>
      </w:r>
    </w:p>
    <w:p w14:paraId="3B37AF0C" w14:textId="77777777" w:rsidR="00D3784F" w:rsidRDefault="00D3784F" w:rsidP="00D3784F">
      <w:pPr>
        <w:widowControl w:val="0"/>
        <w:spacing w:before="119" w:line="249" w:lineRule="auto"/>
        <w:ind w:left="100" w:right="98"/>
      </w:pPr>
      <w:r>
        <w:t xml:space="preserve">Esses modelos foram fundamentais tanto para consolidar a MI quanto para diferenciá-la da TInn. Visto que as organizações de grande porte apresentam maior complexidade em seus processos do que as de pequeno porte, exigindo o desenvolvimento de novas metodologias e estratégias em gestão que alavancassem o desempenho de suas operações (DAMANPOUR, 2014) e, por consequência, avançassem no processo de TInn, (KHOSRAVI, NEWTON, REZVANI, 2019; YAM </w:t>
      </w:r>
      <w:r w:rsidRPr="00D3784F">
        <w:rPr>
          <w:i/>
          <w:iCs/>
        </w:rPr>
        <w:t>et al.,</w:t>
      </w:r>
      <w:r>
        <w:t xml:space="preserve"> 2011; TIDD, BESSANT &amp; PAVITT, 2008; SCHUMPETER, 1911/1934), assegurando vantagem estratégica e competitiva.</w:t>
      </w:r>
    </w:p>
    <w:p w14:paraId="624333F4" w14:textId="77777777" w:rsidR="00D3784F" w:rsidRDefault="00D3784F" w:rsidP="00D3784F">
      <w:pPr>
        <w:widowControl w:val="0"/>
        <w:spacing w:before="119" w:line="249" w:lineRule="auto"/>
        <w:ind w:left="100" w:right="98"/>
      </w:pPr>
      <w:r>
        <w:t xml:space="preserve">A literatura não apresenta um conceito único para TInn e MI (ZHANG </w:t>
      </w:r>
      <w:r w:rsidRPr="00D3784F">
        <w:rPr>
          <w:i/>
          <w:iCs/>
        </w:rPr>
        <w:t>et al.,</w:t>
      </w:r>
      <w:r>
        <w:t xml:space="preserve"> 2019; ZHU </w:t>
      </w:r>
      <w:r w:rsidRPr="00D3784F">
        <w:rPr>
          <w:i/>
          <w:iCs/>
        </w:rPr>
        <w:t>et al.,</w:t>
      </w:r>
      <w:r>
        <w:t xml:space="preserve"> 2012). Para </w:t>
      </w:r>
      <w:proofErr w:type="spellStart"/>
      <w:r>
        <w:t>Yam</w:t>
      </w:r>
      <w:proofErr w:type="spellEnd"/>
      <w:r>
        <w:t xml:space="preserve"> et al. (2011), TInn é o desenvolvimento de processos ou produtos passíveis de codificação. </w:t>
      </w:r>
      <w:proofErr w:type="spellStart"/>
      <w:r>
        <w:t>Sanidas</w:t>
      </w:r>
      <w:proofErr w:type="spellEnd"/>
      <w:r>
        <w:t xml:space="preserve"> (2005) a define como inovações incorporadas em tecnologias físicas e observáveis, como máquinas, produtos e equipamentos. Já a OECD/Eurostat (2018) distingue dois tipos: inovação de produto, que introduz bens ou serviços novos ou significativamente melhorados, e inovação de processo, que envolve novos ou aprimorados métodos de produção, distribuição, entrega ou logística.</w:t>
      </w:r>
    </w:p>
    <w:p w14:paraId="472CF440" w14:textId="77777777" w:rsidR="00D3784F" w:rsidRDefault="00D3784F" w:rsidP="00D3784F">
      <w:pPr>
        <w:widowControl w:val="0"/>
        <w:spacing w:before="119" w:line="249" w:lineRule="auto"/>
        <w:ind w:left="100" w:right="98"/>
      </w:pPr>
      <w:r>
        <w:t xml:space="preserve">Quanto à MI, </w:t>
      </w:r>
      <w:proofErr w:type="spellStart"/>
      <w:r>
        <w:t>Damanpour</w:t>
      </w:r>
      <w:proofErr w:type="spellEnd"/>
      <w:r>
        <w:t xml:space="preserve"> (2014), observa que a literatura utiliza diferentes termos para MI, que se inter-relacionam e se complementam, como inovação gerencial (KIMBERLY, 1981), inovação organizacional (TETHER &amp; TAJAR, 2008) e inovação administrativa (EVAN, 1966). Neste estudo, adota-se o termo MI por ser considerado o mais abrangente (OZEN &amp; OZTURK-KOSE, 2023; VOLBERDA </w:t>
      </w:r>
      <w:r w:rsidRPr="00D3784F">
        <w:rPr>
          <w:i/>
          <w:iCs/>
        </w:rPr>
        <w:t>et al.,</w:t>
      </w:r>
      <w:r>
        <w:t xml:space="preserve"> 2013; BIRKINSHAW </w:t>
      </w:r>
      <w:r w:rsidRPr="00D3784F">
        <w:rPr>
          <w:i/>
          <w:iCs/>
        </w:rPr>
        <w:t>et al.,</w:t>
      </w:r>
      <w:r>
        <w:t xml:space="preserve"> 2008).</w:t>
      </w:r>
    </w:p>
    <w:p w14:paraId="22A32893" w14:textId="77777777" w:rsidR="00D3784F" w:rsidRDefault="00D3784F" w:rsidP="00D3784F">
      <w:pPr>
        <w:widowControl w:val="0"/>
        <w:spacing w:before="119" w:line="249" w:lineRule="auto"/>
        <w:ind w:left="100" w:right="98"/>
      </w:pPr>
      <w:r>
        <w:t>Kimberly (1981) entende a inovação gerencial como programas, produtos ou técnicas que representem mudanças significativas nas práticas de gestão e influenciem a forma como as informações são utilizadas nos processos decisórios, com foco no papel dos gestores.</w:t>
      </w:r>
    </w:p>
    <w:p w14:paraId="68584367" w14:textId="049D3E94" w:rsidR="00D3784F" w:rsidRDefault="00D3784F" w:rsidP="00D3784F">
      <w:pPr>
        <w:widowControl w:val="0"/>
        <w:spacing w:before="119" w:line="249" w:lineRule="auto"/>
        <w:ind w:left="100" w:right="98"/>
      </w:pPr>
      <w:proofErr w:type="spellStart"/>
      <w:r>
        <w:t>Edquist</w:t>
      </w:r>
      <w:proofErr w:type="spellEnd"/>
      <w:r>
        <w:t xml:space="preserve"> et al. (2001) definem as inovações organizacionais como novas formas de organizar atividades empresariais, como produção ou P&amp;D, relacionadas à coordenação de recursos humanos e geralmente desvinculadas de elementos tecnológicos ou de atividades formais de P&amp;D. Para </w:t>
      </w:r>
      <w:proofErr w:type="spellStart"/>
      <w:r>
        <w:t>Sanidas</w:t>
      </w:r>
      <w:proofErr w:type="spellEnd"/>
      <w:r>
        <w:t xml:space="preserve"> (2005), esse tipo de inovação está associado a tecnologias não incorporadas, como </w:t>
      </w:r>
      <w:r w:rsidRPr="001014F5">
        <w:rPr>
          <w:i/>
          <w:iCs/>
        </w:rPr>
        <w:t>know-how</w:t>
      </w:r>
      <w:r>
        <w:t>, direitos de propriedade e práticas de gestão.</w:t>
      </w:r>
    </w:p>
    <w:p w14:paraId="1D1EA282" w14:textId="77777777" w:rsidR="00D3784F" w:rsidRDefault="00D3784F" w:rsidP="00D3784F">
      <w:pPr>
        <w:widowControl w:val="0"/>
        <w:spacing w:before="119" w:line="249" w:lineRule="auto"/>
        <w:ind w:left="100" w:right="98"/>
      </w:pPr>
      <w:r>
        <w:t xml:space="preserve">Já Evan (1966) descreve a inovação administrativa como mudanças em políticas organizacionais voltadas ao recrutamento, alocação de recursos, estruturação de tarefas, autoridade e recompensas. De acordo com </w:t>
      </w:r>
      <w:proofErr w:type="spellStart"/>
      <w:r>
        <w:t>Damanpour</w:t>
      </w:r>
      <w:proofErr w:type="spellEnd"/>
      <w:r>
        <w:t xml:space="preserve"> &amp; Evan (1984) e Kimberly &amp; </w:t>
      </w:r>
      <w:proofErr w:type="spellStart"/>
      <w:r>
        <w:t>Evanisko</w:t>
      </w:r>
      <w:proofErr w:type="spellEnd"/>
      <w:r>
        <w:t xml:space="preserve"> (1981), esse tipo de inovação está voltado principalmente ao aumento da eficiência e da eficácia dos processos de gestão e dos sistemas administrativos.</w:t>
      </w:r>
    </w:p>
    <w:p w14:paraId="3B4D11C5" w14:textId="77777777" w:rsidR="00D3784F" w:rsidRDefault="00D3784F" w:rsidP="00D3784F">
      <w:pPr>
        <w:widowControl w:val="0"/>
        <w:spacing w:before="119" w:line="249" w:lineRule="auto"/>
        <w:ind w:left="100" w:right="98"/>
      </w:pPr>
      <w:r>
        <w:t xml:space="preserve">O termo MI reflete uma ruptura com os princípios tradicionais de gestão, alterando a forma de atuação dos gestores e a realização do trabalho gerencial (DAMANPOUR, 2014; BIRKINSHAW </w:t>
      </w:r>
      <w:r w:rsidRPr="002B3CCF">
        <w:rPr>
          <w:i/>
          <w:iCs/>
        </w:rPr>
        <w:t>et al.,</w:t>
      </w:r>
      <w:r>
        <w:t xml:space="preserve"> 2008; HAMEL, 2006). Enquanto a TInn atende principalmente demandas externas, a MI busca aprimorar a eficiência e eficácia dos processos operacionais e administrativos internos (BIRKINSHAW, HAMEL &amp; MOL, 2008; ADAMS, JOHN &amp; PHELPS, 2006; BOER &amp; DURING, 2001).</w:t>
      </w:r>
    </w:p>
    <w:p w14:paraId="16AF836B" w14:textId="77777777" w:rsidR="00D3784F" w:rsidRDefault="00D3784F" w:rsidP="00D3784F">
      <w:pPr>
        <w:widowControl w:val="0"/>
        <w:spacing w:before="119" w:line="249" w:lineRule="auto"/>
        <w:ind w:left="100" w:right="98"/>
      </w:pPr>
      <w:r>
        <w:t xml:space="preserve">Conceitualmente, MI envolve novas abordagens para estratégias, estruturas, processos e práticas que reconfiguram o trabalho de gestores e membros da organização </w:t>
      </w:r>
      <w:r>
        <w:lastRenderedPageBreak/>
        <w:t xml:space="preserve">(DAMANPOUR, 2014; VACCARO </w:t>
      </w:r>
      <w:r w:rsidRPr="002B3CCF">
        <w:rPr>
          <w:i/>
          <w:iCs/>
        </w:rPr>
        <w:t>et al.,</w:t>
      </w:r>
      <w:r>
        <w:t xml:space="preserve"> 2012; WALKER, DAMANPOUR &amp; DEVECE, 2011), promovendo mudanças de desempenho em termos de inovação, produtividade e competitividade (VOLBERDA </w:t>
      </w:r>
      <w:r w:rsidRPr="002B3CCF">
        <w:rPr>
          <w:i/>
          <w:iCs/>
        </w:rPr>
        <w:t>et al.,</w:t>
      </w:r>
      <w:r>
        <w:t xml:space="preserve"> 2013; BIRKINSHAW </w:t>
      </w:r>
      <w:r w:rsidRPr="002B3CCF">
        <w:rPr>
          <w:i/>
          <w:iCs/>
        </w:rPr>
        <w:t>et al.,</w:t>
      </w:r>
      <w:r>
        <w:t xml:space="preserve"> 2008). Essa reconfiguração pode abranger gestão estratégica e de negócios, governança corporativa, finanças e seguros, recursos humanos, aquisições e relações externas com fornecedores e alianças (HENAO-GARCÍA &amp; MONTOYA, 2023; OECD/EUROSTAT, 2018).</w:t>
      </w:r>
    </w:p>
    <w:p w14:paraId="665152F8" w14:textId="77777777" w:rsidR="00D3784F" w:rsidRDefault="00D3784F" w:rsidP="00D3784F">
      <w:pPr>
        <w:widowControl w:val="0"/>
        <w:spacing w:before="119" w:line="249" w:lineRule="auto"/>
        <w:ind w:left="100" w:right="98"/>
      </w:pPr>
      <w:r>
        <w:t xml:space="preserve">Exemplos de MI incluem: o controle estatístico de qualidade de </w:t>
      </w:r>
      <w:proofErr w:type="spellStart"/>
      <w:r>
        <w:t>Shewhart</w:t>
      </w:r>
      <w:proofErr w:type="spellEnd"/>
      <w:r>
        <w:t xml:space="preserve"> na Western Electric (1920), o Kaizen da Toyota (1950), e a linha de montagem móvel introduzida por Henry Ford em 1913 (UCHIDA, YAMADA &amp; ZAZZARO, 2023; BIRKINSHAW &amp; MOL, 2006; HAMEL, 2006).</w:t>
      </w:r>
    </w:p>
    <w:p w14:paraId="58E8EFA6" w14:textId="77777777" w:rsidR="00D3784F" w:rsidRDefault="00D3784F" w:rsidP="00D3784F">
      <w:pPr>
        <w:widowControl w:val="0"/>
        <w:spacing w:before="119" w:line="249" w:lineRule="auto"/>
        <w:ind w:left="100" w:right="98"/>
      </w:pPr>
      <w:r>
        <w:t xml:space="preserve">Na literatura, a MI apresenta características que a tornam mais desafiadora que outros tipos de inovação: (i) é tácita, ambígua e difícil de observar (OZEN &amp; OZTURK-KOSE, 2023; BIRKINSHAW </w:t>
      </w:r>
      <w:r w:rsidRPr="002B3CCF">
        <w:rPr>
          <w:i/>
          <w:iCs/>
        </w:rPr>
        <w:t>et al.,</w:t>
      </w:r>
      <w:r>
        <w:t xml:space="preserve"> 2008); (</w:t>
      </w:r>
      <w:proofErr w:type="spellStart"/>
      <w:r>
        <w:t>ii</w:t>
      </w:r>
      <w:proofErr w:type="spellEnd"/>
      <w:r>
        <w:t>) é específica ao contexto organizacional e social, incerta e de difícil codificação (OZEN &amp; OZTURK-KOSE, 2023; BIRKINSHAW &amp; MOL, 2006); (</w:t>
      </w:r>
      <w:proofErr w:type="spellStart"/>
      <w:r>
        <w:t>iii</w:t>
      </w:r>
      <w:proofErr w:type="spellEnd"/>
      <w:r>
        <w:t>) é difícil de imitar externamente e está incorporada às práticas sociais, normas e valores organizacionais (OZEN &amp; OZTURK-KOSE, 2023; HECKER &amp; GANTER, 2013); (</w:t>
      </w:r>
      <w:proofErr w:type="spellStart"/>
      <w:r>
        <w:t>iv</w:t>
      </w:r>
      <w:proofErr w:type="spellEnd"/>
      <w:r>
        <w:t xml:space="preserve">) constitui fonte de vantagem competitiva (OZEN &amp; OZTURK-KOSE, 2023; TAVASSOLI &amp; KARLSSON, 2015; VOLBERDA </w:t>
      </w:r>
      <w:r w:rsidRPr="002B3CCF">
        <w:rPr>
          <w:i/>
          <w:iCs/>
        </w:rPr>
        <w:t>et al.,</w:t>
      </w:r>
      <w:r>
        <w:t xml:space="preserve"> 2013; DAMANPOUR &amp; ARAVIND, 2012; BIRKINSHAW </w:t>
      </w:r>
      <w:r w:rsidRPr="002B3CCF">
        <w:rPr>
          <w:i/>
          <w:iCs/>
        </w:rPr>
        <w:t>et al.,</w:t>
      </w:r>
      <w:r>
        <w:t xml:space="preserve"> 2008); (v) é influenciada por fatores internos e externos à organização (DAMANPOUR, 1991); e (vi) mostra-se especialmente aplicável a contextos complexos (DAMANPOUR, 2014), entre outras.</w:t>
      </w:r>
    </w:p>
    <w:p w14:paraId="480EE60C" w14:textId="7B3EA14C" w:rsidR="00D3784F" w:rsidRDefault="00D3784F" w:rsidP="00D3784F">
      <w:pPr>
        <w:widowControl w:val="0"/>
        <w:spacing w:before="119" w:line="249" w:lineRule="auto"/>
        <w:ind w:left="100" w:right="98"/>
      </w:pPr>
      <w:r>
        <w:t>De forma geral, a MI compreende novas práticas, estruturas e processos que fortalecem a eficiência, a competitividade e a adaptação organizacional, sendo essencial em ambientes dinâmicos e incertos. Apesar de seu potencial, a MI envolve características que a tornam desafiadora, é tácita, específica ao contexto, difícil de imitar e dependente de múltiplos fatores internos e externos. Diante dessa complexidade, torna-se necessário o uso de metodologias capazes de apoiar sua implementação de forma participativa e sistêmica. Assim, os Métodos de Estruturação de Problemas (PSM) surgem como instrumentos que podem complementar a MI, favorecendo sua aplicação em problemas organizacionais complexos.</w:t>
      </w:r>
    </w:p>
    <w:p w14:paraId="161EF1B4" w14:textId="3E8A8C2F" w:rsidR="002B3CCF" w:rsidRDefault="002B3CCF" w:rsidP="002B3CCF">
      <w:pPr>
        <w:pStyle w:val="Ttulo2"/>
        <w:keepNext w:val="0"/>
        <w:keepLines w:val="0"/>
        <w:widowControl w:val="0"/>
        <w:numPr>
          <w:ilvl w:val="1"/>
          <w:numId w:val="1"/>
        </w:numPr>
        <w:tabs>
          <w:tab w:val="left" w:pos="570"/>
        </w:tabs>
        <w:spacing w:before="235" w:line="240" w:lineRule="auto"/>
        <w:jc w:val="both"/>
      </w:pPr>
      <w:bookmarkStart w:id="1" w:name="_Hlk207556456"/>
      <w:r>
        <w:t>Métodos de Estruturação de Problemas (PSM)</w:t>
      </w:r>
    </w:p>
    <w:p w14:paraId="6E41DDD4" w14:textId="51A78A7F" w:rsidR="002B3CCF" w:rsidRDefault="002B3CCF" w:rsidP="002B3CCF">
      <w:pPr>
        <w:widowControl w:val="0"/>
        <w:spacing w:before="135" w:line="249" w:lineRule="auto"/>
        <w:ind w:left="100" w:right="98" w:firstLine="0"/>
      </w:pPr>
      <w:r w:rsidRPr="002B3CCF">
        <w:t xml:space="preserve">Os PSM integram a família da Pesquisa Operacional </w:t>
      </w:r>
      <w:r w:rsidRPr="00266D58">
        <w:rPr>
          <w:i/>
          <w:iCs/>
          <w:highlight w:val="yellow"/>
        </w:rPr>
        <w:t>Soft</w:t>
      </w:r>
      <w:r w:rsidRPr="002B3CCF">
        <w:t xml:space="preserve"> (PO </w:t>
      </w:r>
      <w:r w:rsidRPr="001014F5">
        <w:rPr>
          <w:i/>
          <w:iCs/>
        </w:rPr>
        <w:t>Soft</w:t>
      </w:r>
      <w:r w:rsidRPr="002B3CCF">
        <w:t xml:space="preserve">) e adotam abordagem participativa com uso de modelagem e diagramas para explorar soluções (ROSENHEAD; MINGERS, 2001). Desenvolvidos de forma independente nos anos 1960 e expandidos na década de 1970, surgiram como resposta às limitações da Pesquisa Operacional </w:t>
      </w:r>
      <w:r w:rsidRPr="001014F5">
        <w:rPr>
          <w:i/>
          <w:iCs/>
        </w:rPr>
        <w:t>Hard</w:t>
      </w:r>
      <w:r w:rsidRPr="002B3CCF">
        <w:t xml:space="preserve"> (PO </w:t>
      </w:r>
      <w:r w:rsidRPr="001014F5">
        <w:rPr>
          <w:i/>
          <w:iCs/>
        </w:rPr>
        <w:t>Hard</w:t>
      </w:r>
      <w:r w:rsidRPr="002B3CCF">
        <w:t xml:space="preserve">) em lidar com problemas cujo objetivos, restrições e recursos são pouco claros (FERREIRA, 2022; FRANÇOZO, 2019; </w:t>
      </w:r>
      <w:r w:rsidRPr="001014F5">
        <w:t xml:space="preserve">MINGERS; ROSENHEAD, 2004). </w:t>
      </w:r>
      <w:bookmarkEnd w:id="1"/>
      <w:r w:rsidRPr="001014F5">
        <w:t>A literatura descreve esses problemas como perversos (</w:t>
      </w:r>
      <w:proofErr w:type="spellStart"/>
      <w:r w:rsidRPr="001014F5">
        <w:rPr>
          <w:i/>
          <w:iCs/>
        </w:rPr>
        <w:t>wicked</w:t>
      </w:r>
      <w:proofErr w:type="spellEnd"/>
      <w:r w:rsidRPr="001014F5">
        <w:t>) e mal estruturados (</w:t>
      </w:r>
      <w:proofErr w:type="spellStart"/>
      <w:r w:rsidRPr="001014F5">
        <w:t>ill-structured</w:t>
      </w:r>
      <w:proofErr w:type="spellEnd"/>
      <w:r w:rsidRPr="001014F5">
        <w:t>) (RITTEL; WEBER, 1973; SIMON, 1973), pantanosos e confusos (</w:t>
      </w:r>
      <w:proofErr w:type="spellStart"/>
      <w:r w:rsidRPr="001014F5">
        <w:rPr>
          <w:i/>
          <w:iCs/>
        </w:rPr>
        <w:t>messy</w:t>
      </w:r>
      <w:proofErr w:type="spellEnd"/>
      <w:r w:rsidRPr="001014F5">
        <w:rPr>
          <w:i/>
          <w:iCs/>
        </w:rPr>
        <w:t>)</w:t>
      </w:r>
      <w:r w:rsidRPr="001014F5">
        <w:t xml:space="preserve"> (SCHÖN, 1987; ACKOFF, 1979), além de técnico-práticos (RAVETZ, 1971).</w:t>
      </w:r>
      <w:r w:rsidRPr="002B3CCF">
        <w:t xml:space="preserve"> </w:t>
      </w:r>
    </w:p>
    <w:p w14:paraId="0579DC3D" w14:textId="5F68161B" w:rsidR="002B3CCF" w:rsidRDefault="002B3CCF" w:rsidP="002B3CCF">
      <w:pPr>
        <w:widowControl w:val="0"/>
        <w:spacing w:before="119" w:line="249" w:lineRule="auto"/>
        <w:ind w:left="100" w:right="98"/>
      </w:pPr>
      <w:r w:rsidRPr="002B3CCF">
        <w:t xml:space="preserve">Problemas complexos envolvem múltiplos </w:t>
      </w:r>
      <w:r w:rsidRPr="001014F5">
        <w:rPr>
          <w:i/>
          <w:iCs/>
        </w:rPr>
        <w:t>stakeholders</w:t>
      </w:r>
      <w:r w:rsidRPr="002B3CCF">
        <w:t xml:space="preserve"> com perspectivas e interesses conflitantes (SCHÖN, 1987). Para </w:t>
      </w:r>
      <w:proofErr w:type="spellStart"/>
      <w:r w:rsidRPr="002B3CCF">
        <w:t>Mingers</w:t>
      </w:r>
      <w:proofErr w:type="spellEnd"/>
      <w:r w:rsidRPr="002B3CCF">
        <w:t xml:space="preserve"> e </w:t>
      </w:r>
      <w:proofErr w:type="spellStart"/>
      <w:r w:rsidRPr="002B3CCF">
        <w:t>Rosenhead</w:t>
      </w:r>
      <w:proofErr w:type="spellEnd"/>
      <w:r w:rsidRPr="002B3CCF">
        <w:t xml:space="preserve"> (2004), caracterizam-se pela presença de numerosos atores, interesses incomensuráveis, intangíveis relevantes e incertezas chaves. </w:t>
      </w:r>
      <w:proofErr w:type="spellStart"/>
      <w:r w:rsidRPr="002B3CCF">
        <w:t>Pidd</w:t>
      </w:r>
      <w:proofErr w:type="spellEnd"/>
      <w:r w:rsidRPr="002B3CCF">
        <w:t xml:space="preserve"> (2004) destaca que decisões estratégicas exemplificam esse tipo de </w:t>
      </w:r>
      <w:r w:rsidRPr="002B3CCF">
        <w:lastRenderedPageBreak/>
        <w:t>problema, pois resultam da interação entre participantes com visões distintas. Assim, defende métodos que priorizem a “racionalidade processual”, isto é, o foco no processo decisório, mais do que na escolha racional isolada.</w:t>
      </w:r>
    </w:p>
    <w:p w14:paraId="1ED376BE" w14:textId="4F3260D6" w:rsidR="002B3CCF" w:rsidRDefault="002B3CCF" w:rsidP="002B3CCF">
      <w:pPr>
        <w:widowControl w:val="0"/>
        <w:spacing w:before="119" w:line="249" w:lineRule="auto"/>
        <w:ind w:left="100" w:right="98"/>
      </w:pPr>
      <w:proofErr w:type="spellStart"/>
      <w:r w:rsidRPr="002B3CCF">
        <w:t>Mingers</w:t>
      </w:r>
      <w:proofErr w:type="spellEnd"/>
      <w:r w:rsidRPr="002B3CCF">
        <w:t xml:space="preserve"> (2011) destaca aspectos dos PSM úteis à solução de problemas complexos: (i) não são matemáticos, mas rigorosos e estruturados; (</w:t>
      </w:r>
      <w:proofErr w:type="spellStart"/>
      <w:r w:rsidRPr="002B3CCF">
        <w:t>ii</w:t>
      </w:r>
      <w:proofErr w:type="spellEnd"/>
      <w:r w:rsidRPr="002B3CCF">
        <w:t>) utilizam modelagem qualitativa, diagramas e informações numéricas; (</w:t>
      </w:r>
      <w:proofErr w:type="spellStart"/>
      <w:r w:rsidRPr="002B3CCF">
        <w:t>iii</w:t>
      </w:r>
      <w:proofErr w:type="spellEnd"/>
      <w:r w:rsidRPr="002B3CCF">
        <w:t>) permitem expressar e explorar múltiplos pontos de vista e objetivos; (</w:t>
      </w:r>
      <w:proofErr w:type="spellStart"/>
      <w:r w:rsidRPr="002B3CCF">
        <w:t>iv</w:t>
      </w:r>
      <w:proofErr w:type="spellEnd"/>
      <w:r w:rsidRPr="002B3CCF">
        <w:t>) asseguram participação transparente dos stakeholders em workshops; e (v) toleram incertezas e ausência de dados quantitativos confiáveis.</w:t>
      </w:r>
    </w:p>
    <w:p w14:paraId="4CAA64A3" w14:textId="2F0CB92F" w:rsidR="002B3CCF" w:rsidRDefault="002B3CCF" w:rsidP="002B3CCF">
      <w:pPr>
        <w:widowControl w:val="0"/>
        <w:spacing w:before="119" w:line="249" w:lineRule="auto"/>
        <w:ind w:left="100" w:right="98"/>
      </w:pPr>
      <w:proofErr w:type="spellStart"/>
      <w:r w:rsidRPr="002B3CCF">
        <w:t>Dyson</w:t>
      </w:r>
      <w:proofErr w:type="spellEnd"/>
      <w:r w:rsidRPr="002B3CCF">
        <w:t xml:space="preserve"> et al. (2021) propuseram uma lista de características da PO Soft e de seus PSM para tratar problemas complexos, classificadas em contexto, processo e conteúdo. No contexto, destacam-se: (i) situações indefinidas; (</w:t>
      </w:r>
      <w:proofErr w:type="spellStart"/>
      <w:r w:rsidRPr="002B3CCF">
        <w:t>ii</w:t>
      </w:r>
      <w:proofErr w:type="spellEnd"/>
      <w:r w:rsidRPr="002B3CCF">
        <w:t>) múltiplos atores com visões e objetivos divergentes; (</w:t>
      </w:r>
      <w:proofErr w:type="spellStart"/>
      <w:r w:rsidRPr="002B3CCF">
        <w:t>iii</w:t>
      </w:r>
      <w:proofErr w:type="spellEnd"/>
      <w:r w:rsidRPr="002B3CCF">
        <w:t>) alta incerteza, predominância de dados qualitativos e limitações nos quantitativos. No processo: (i) promoção da colaboração e interação entre stakeholders para consenso e definição de ações, geralmente em workshops presenciais ou virtuais; (</w:t>
      </w:r>
      <w:proofErr w:type="spellStart"/>
      <w:r w:rsidRPr="002B3CCF">
        <w:t>ii</w:t>
      </w:r>
      <w:proofErr w:type="spellEnd"/>
      <w:r w:rsidRPr="002B3CCF">
        <w:t>) foco na “racionalidade processual”. Quanto ao conteúdo, envolve o uso de modelos visuais (figuras ricas, diagramas, mapas cognitivos e causais) claros e de fácil compreensão como centro das discussões.</w:t>
      </w:r>
    </w:p>
    <w:p w14:paraId="3FC5EF59" w14:textId="6A61D3F9" w:rsidR="002B3CCF" w:rsidRDefault="002B3CCF" w:rsidP="002B3CCF">
      <w:pPr>
        <w:widowControl w:val="0"/>
        <w:spacing w:before="119" w:line="249" w:lineRule="auto"/>
        <w:ind w:left="100" w:right="98"/>
      </w:pPr>
      <w:r w:rsidRPr="002B3CCF">
        <w:t>Ao longo dos anos, diversos PSM foram criados para tratar problemas complexos. O Quadro 1 apresenta alguns deles</w:t>
      </w:r>
    </w:p>
    <w:p w14:paraId="1E959A95" w14:textId="14071E12" w:rsidR="002B3CCF" w:rsidRDefault="002B3CCF" w:rsidP="002B3CCF">
      <w:pPr>
        <w:widowControl w:val="0"/>
        <w:spacing w:before="119" w:line="249" w:lineRule="auto"/>
        <w:ind w:left="100" w:right="98"/>
        <w:jc w:val="center"/>
        <w:rPr>
          <w:rFonts w:ascii="Arial" w:hAnsi="Arial" w:cs="Arial"/>
          <w:b/>
          <w:bCs/>
          <w:sz w:val="20"/>
          <w:szCs w:val="20"/>
        </w:rPr>
      </w:pPr>
      <w:r w:rsidRPr="00CD4424">
        <w:rPr>
          <w:rFonts w:ascii="Arial" w:hAnsi="Arial" w:cs="Arial"/>
          <w:b/>
          <w:bCs/>
          <w:sz w:val="20"/>
          <w:szCs w:val="20"/>
        </w:rPr>
        <w:t>Quadro 1 – Métodos PSM – Fonte: autores</w:t>
      </w:r>
    </w:p>
    <w:p w14:paraId="3BA11610" w14:textId="77777777" w:rsidR="00992A8C" w:rsidRPr="00CD4424" w:rsidRDefault="00992A8C" w:rsidP="002B3CCF">
      <w:pPr>
        <w:widowControl w:val="0"/>
        <w:spacing w:before="119" w:line="249" w:lineRule="auto"/>
        <w:ind w:left="100" w:right="98"/>
        <w:jc w:val="center"/>
        <w:rPr>
          <w:rFonts w:ascii="Arial" w:hAnsi="Arial" w:cs="Arial"/>
          <w:b/>
          <w:bCs/>
          <w:sz w:val="20"/>
          <w:szCs w:val="20"/>
        </w:rPr>
      </w:pPr>
    </w:p>
    <w:tbl>
      <w:tblPr>
        <w:tblStyle w:val="Tabelacomgrade"/>
        <w:tblW w:w="0" w:type="auto"/>
        <w:jc w:val="center"/>
        <w:tblLook w:val="04A0" w:firstRow="1" w:lastRow="0" w:firstColumn="1" w:lastColumn="0" w:noHBand="0" w:noVBand="1"/>
      </w:tblPr>
      <w:tblGrid>
        <w:gridCol w:w="2689"/>
        <w:gridCol w:w="2973"/>
        <w:gridCol w:w="2697"/>
      </w:tblGrid>
      <w:tr w:rsidR="002B3CCF" w:rsidRPr="00137D21" w14:paraId="0A0FE5A8" w14:textId="77777777" w:rsidTr="002B3CCF">
        <w:trPr>
          <w:jc w:val="center"/>
        </w:trPr>
        <w:tc>
          <w:tcPr>
            <w:tcW w:w="2689" w:type="dxa"/>
          </w:tcPr>
          <w:p w14:paraId="5AFA6015" w14:textId="77777777" w:rsidR="002B3CCF" w:rsidRPr="00CD4424" w:rsidRDefault="002B3CCF" w:rsidP="00DB5FE8">
            <w:pPr>
              <w:jc w:val="center"/>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Método</w:t>
            </w:r>
          </w:p>
        </w:tc>
        <w:tc>
          <w:tcPr>
            <w:tcW w:w="2973" w:type="dxa"/>
          </w:tcPr>
          <w:p w14:paraId="5244F712" w14:textId="77777777" w:rsidR="002B3CCF" w:rsidRPr="00CD4424" w:rsidRDefault="002B3CCF" w:rsidP="00DB5FE8">
            <w:pPr>
              <w:jc w:val="center"/>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Descrição</w:t>
            </w:r>
          </w:p>
        </w:tc>
        <w:tc>
          <w:tcPr>
            <w:tcW w:w="2697" w:type="dxa"/>
          </w:tcPr>
          <w:p w14:paraId="3AC74787" w14:textId="77777777" w:rsidR="002B3CCF" w:rsidRPr="00CD4424" w:rsidRDefault="002B3CCF" w:rsidP="00DB5FE8">
            <w:pPr>
              <w:jc w:val="center"/>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Autor(es)</w:t>
            </w:r>
          </w:p>
        </w:tc>
      </w:tr>
      <w:tr w:rsidR="002B3CCF" w:rsidRPr="00137D21" w14:paraId="55FECB9E" w14:textId="77777777" w:rsidTr="002B3CCF">
        <w:trPr>
          <w:jc w:val="center"/>
        </w:trPr>
        <w:tc>
          <w:tcPr>
            <w:tcW w:w="2689" w:type="dxa"/>
          </w:tcPr>
          <w:p w14:paraId="1EEA08D1" w14:textId="77777777" w:rsidR="002B3CCF" w:rsidRPr="00CD4424" w:rsidRDefault="002B3CCF" w:rsidP="00DB5FE8">
            <w:pPr>
              <w:jc w:val="center"/>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Análise de robustez</w:t>
            </w:r>
          </w:p>
        </w:tc>
        <w:tc>
          <w:tcPr>
            <w:tcW w:w="2973" w:type="dxa"/>
          </w:tcPr>
          <w:p w14:paraId="136108E7" w14:textId="77777777" w:rsidR="002B3CCF" w:rsidRPr="00CD4424" w:rsidRDefault="002B3CCF" w:rsidP="00DB5FE8">
            <w:pPr>
              <w:jc w:val="both"/>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Apoia decisões em cenários de incerteza radical, avaliando desempenho do sistema frente a futuros possíveis.</w:t>
            </w:r>
          </w:p>
        </w:tc>
        <w:tc>
          <w:tcPr>
            <w:tcW w:w="2697" w:type="dxa"/>
          </w:tcPr>
          <w:p w14:paraId="0C9F4AA1" w14:textId="77777777" w:rsidR="002B3CCF" w:rsidRPr="00CD4424" w:rsidRDefault="002B3CCF" w:rsidP="00DB5FE8">
            <w:pPr>
              <w:autoSpaceDE w:val="0"/>
              <w:autoSpaceDN w:val="0"/>
              <w:adjustRightInd w:val="0"/>
              <w:jc w:val="center"/>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(ROSENHEAD, 1980)</w:t>
            </w:r>
          </w:p>
        </w:tc>
      </w:tr>
      <w:tr w:rsidR="002B3CCF" w:rsidRPr="00137D21" w14:paraId="74ECEE94" w14:textId="77777777" w:rsidTr="002B3CCF">
        <w:trPr>
          <w:jc w:val="center"/>
        </w:trPr>
        <w:tc>
          <w:tcPr>
            <w:tcW w:w="2689" w:type="dxa"/>
          </w:tcPr>
          <w:p w14:paraId="28223682" w14:textId="77777777" w:rsidR="002B3CCF" w:rsidRPr="00CD4424" w:rsidRDefault="002B3CCF" w:rsidP="00DB5FE8">
            <w:pPr>
              <w:jc w:val="center"/>
              <w:rPr>
                <w:rFonts w:ascii="Times New Roman" w:eastAsiaTheme="minorHAnsi" w:hAnsi="Times New Roman" w:cs="Times New Roman"/>
                <w:kern w:val="2"/>
                <w:sz w:val="20"/>
                <w:szCs w:val="20"/>
                <w:lang w:val="en-US" w:eastAsia="en-US"/>
                <w14:ligatures w14:val="standardContextual"/>
              </w:rPr>
            </w:pPr>
            <w:r w:rsidRPr="00CD4424">
              <w:rPr>
                <w:rFonts w:ascii="Times New Roman" w:eastAsiaTheme="minorHAnsi" w:hAnsi="Times New Roman" w:cs="Times New Roman"/>
                <w:kern w:val="2"/>
                <w:sz w:val="20"/>
                <w:szCs w:val="20"/>
                <w:lang w:val="en-US" w:eastAsia="en-US"/>
                <w14:ligatures w14:val="standardContextual"/>
              </w:rPr>
              <w:t>SODA</w:t>
            </w:r>
          </w:p>
          <w:p w14:paraId="4391D3E5" w14:textId="77777777" w:rsidR="002B3CCF" w:rsidRPr="00CD4424" w:rsidRDefault="002B3CCF" w:rsidP="00DB5FE8">
            <w:pPr>
              <w:jc w:val="center"/>
              <w:rPr>
                <w:rFonts w:ascii="Times New Roman" w:eastAsiaTheme="minorHAnsi" w:hAnsi="Times New Roman" w:cs="Times New Roman"/>
                <w:kern w:val="2"/>
                <w:sz w:val="20"/>
                <w:szCs w:val="20"/>
                <w:lang w:val="en-US" w:eastAsia="en-US"/>
                <w14:ligatures w14:val="standardContextual"/>
              </w:rPr>
            </w:pPr>
            <w:r w:rsidRPr="00CD4424">
              <w:rPr>
                <w:rFonts w:ascii="Times New Roman" w:eastAsiaTheme="minorHAnsi" w:hAnsi="Times New Roman" w:cs="Times New Roman"/>
                <w:kern w:val="2"/>
                <w:sz w:val="20"/>
                <w:szCs w:val="20"/>
                <w:lang w:val="en-US" w:eastAsia="en-US"/>
                <w14:ligatures w14:val="standardContextual"/>
              </w:rPr>
              <w:t>(</w:t>
            </w:r>
            <w:r w:rsidRPr="001014F5">
              <w:rPr>
                <w:rFonts w:ascii="Times New Roman" w:eastAsiaTheme="minorHAnsi" w:hAnsi="Times New Roman" w:cs="Times New Roman"/>
                <w:i/>
                <w:iCs/>
                <w:kern w:val="2"/>
                <w:sz w:val="20"/>
                <w:szCs w:val="20"/>
                <w:lang w:val="en-US" w:eastAsia="en-US"/>
                <w14:ligatures w14:val="standardContextual"/>
              </w:rPr>
              <w:t>Strategic Options and Development Analysis</w:t>
            </w:r>
            <w:r w:rsidRPr="00CD4424">
              <w:rPr>
                <w:rFonts w:ascii="Times New Roman" w:eastAsiaTheme="minorHAnsi" w:hAnsi="Times New Roman" w:cs="Times New Roman"/>
                <w:kern w:val="2"/>
                <w:sz w:val="20"/>
                <w:szCs w:val="20"/>
                <w:lang w:val="en-US" w:eastAsia="en-US"/>
                <w14:ligatures w14:val="standardContextual"/>
              </w:rPr>
              <w:t>)</w:t>
            </w:r>
          </w:p>
        </w:tc>
        <w:tc>
          <w:tcPr>
            <w:tcW w:w="2973" w:type="dxa"/>
          </w:tcPr>
          <w:p w14:paraId="4C7ADAA6" w14:textId="16C6269E" w:rsidR="002B3CCF" w:rsidRPr="00CD4424" w:rsidRDefault="002B3CCF" w:rsidP="00DB5FE8">
            <w:pPr>
              <w:jc w:val="both"/>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Suporta grupos de decisão na identificação e avaliação de opções</w:t>
            </w:r>
            <w:r w:rsidR="001014F5">
              <w:rPr>
                <w:rFonts w:ascii="Times New Roman" w:eastAsiaTheme="minorHAnsi" w:hAnsi="Times New Roman" w:cs="Times New Roman"/>
                <w:kern w:val="2"/>
                <w:sz w:val="20"/>
                <w:szCs w:val="20"/>
                <w:lang w:eastAsia="en-US"/>
                <w14:ligatures w14:val="standardContextual"/>
              </w:rPr>
              <w:t xml:space="preserve"> estratégicas.</w:t>
            </w:r>
          </w:p>
        </w:tc>
        <w:tc>
          <w:tcPr>
            <w:tcW w:w="2697" w:type="dxa"/>
          </w:tcPr>
          <w:p w14:paraId="2022DFB5" w14:textId="77777777" w:rsidR="002B3CCF" w:rsidRPr="00CD4424" w:rsidRDefault="002B3CCF" w:rsidP="00DB5FE8">
            <w:pPr>
              <w:autoSpaceDE w:val="0"/>
              <w:autoSpaceDN w:val="0"/>
              <w:adjustRightInd w:val="0"/>
              <w:jc w:val="center"/>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(ACKERMANN; EDEN, 2010)</w:t>
            </w:r>
          </w:p>
        </w:tc>
      </w:tr>
      <w:tr w:rsidR="002B3CCF" w:rsidRPr="00137D21" w14:paraId="0E309E2B" w14:textId="77777777" w:rsidTr="002B3CCF">
        <w:trPr>
          <w:jc w:val="center"/>
        </w:trPr>
        <w:tc>
          <w:tcPr>
            <w:tcW w:w="2689" w:type="dxa"/>
          </w:tcPr>
          <w:p w14:paraId="40899D13" w14:textId="77777777" w:rsidR="002B3CCF" w:rsidRPr="00CD4424" w:rsidRDefault="002B3CCF" w:rsidP="00DB5FE8">
            <w:pPr>
              <w:jc w:val="center"/>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SCA</w:t>
            </w:r>
          </w:p>
          <w:p w14:paraId="7A5BBEBC" w14:textId="77777777" w:rsidR="002B3CCF" w:rsidRPr="00CD4424" w:rsidRDefault="002B3CCF" w:rsidP="00DB5FE8">
            <w:pPr>
              <w:jc w:val="center"/>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w:t>
            </w:r>
            <w:r w:rsidRPr="001014F5">
              <w:rPr>
                <w:rFonts w:ascii="Times New Roman" w:eastAsiaTheme="minorHAnsi" w:hAnsi="Times New Roman" w:cs="Times New Roman"/>
                <w:i/>
                <w:iCs/>
                <w:kern w:val="2"/>
                <w:sz w:val="20"/>
                <w:szCs w:val="20"/>
                <w:lang w:eastAsia="en-US"/>
                <w14:ligatures w14:val="standardContextual"/>
              </w:rPr>
              <w:t>Strategic Choice Approach</w:t>
            </w:r>
            <w:r w:rsidRPr="00CD4424">
              <w:rPr>
                <w:rFonts w:ascii="Times New Roman" w:eastAsiaTheme="minorHAnsi" w:hAnsi="Times New Roman" w:cs="Times New Roman"/>
                <w:kern w:val="2"/>
                <w:sz w:val="20"/>
                <w:szCs w:val="20"/>
                <w:lang w:eastAsia="en-US"/>
                <w14:ligatures w14:val="standardContextual"/>
              </w:rPr>
              <w:t>)</w:t>
            </w:r>
          </w:p>
        </w:tc>
        <w:tc>
          <w:tcPr>
            <w:tcW w:w="2973" w:type="dxa"/>
          </w:tcPr>
          <w:p w14:paraId="2CB13486" w14:textId="77777777" w:rsidR="002B3CCF" w:rsidRPr="00CD4424" w:rsidRDefault="002B3CCF" w:rsidP="00DB5FE8">
            <w:pPr>
              <w:jc w:val="both"/>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Lida com decisões operacionais de forma estratégica, gerenciando incertezas.</w:t>
            </w:r>
          </w:p>
        </w:tc>
        <w:tc>
          <w:tcPr>
            <w:tcW w:w="2697" w:type="dxa"/>
          </w:tcPr>
          <w:p w14:paraId="2538C6D5" w14:textId="77777777" w:rsidR="002B3CCF" w:rsidRPr="00CD4424" w:rsidRDefault="002B3CCF" w:rsidP="00DB5FE8">
            <w:pPr>
              <w:autoSpaceDE w:val="0"/>
              <w:autoSpaceDN w:val="0"/>
              <w:adjustRightInd w:val="0"/>
              <w:jc w:val="center"/>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(FRIEND; HICKLING, 2005)</w:t>
            </w:r>
          </w:p>
        </w:tc>
      </w:tr>
      <w:tr w:rsidR="002B3CCF" w:rsidRPr="00137D21" w14:paraId="53DF8F23" w14:textId="77777777" w:rsidTr="002B3CCF">
        <w:trPr>
          <w:jc w:val="center"/>
        </w:trPr>
        <w:tc>
          <w:tcPr>
            <w:tcW w:w="2689" w:type="dxa"/>
          </w:tcPr>
          <w:p w14:paraId="7A30815A" w14:textId="77777777" w:rsidR="002B3CCF" w:rsidRPr="00CD4424" w:rsidRDefault="002B3CCF" w:rsidP="00DB5FE8">
            <w:pPr>
              <w:jc w:val="center"/>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SD</w:t>
            </w:r>
          </w:p>
          <w:p w14:paraId="31DF6091" w14:textId="77777777" w:rsidR="002B3CCF" w:rsidRPr="00CD4424" w:rsidRDefault="002B3CCF" w:rsidP="00DB5FE8">
            <w:pPr>
              <w:jc w:val="center"/>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w:t>
            </w:r>
            <w:r w:rsidRPr="001014F5">
              <w:rPr>
                <w:rFonts w:ascii="Times New Roman" w:eastAsiaTheme="minorHAnsi" w:hAnsi="Times New Roman" w:cs="Times New Roman"/>
                <w:i/>
                <w:iCs/>
                <w:kern w:val="2"/>
                <w:sz w:val="20"/>
                <w:szCs w:val="20"/>
                <w:lang w:eastAsia="en-US"/>
                <w14:ligatures w14:val="standardContextual"/>
              </w:rPr>
              <w:t>System Dynamics</w:t>
            </w:r>
            <w:r w:rsidRPr="00CD4424">
              <w:rPr>
                <w:rFonts w:ascii="Times New Roman" w:eastAsiaTheme="minorHAnsi" w:hAnsi="Times New Roman" w:cs="Times New Roman"/>
                <w:kern w:val="2"/>
                <w:sz w:val="20"/>
                <w:szCs w:val="20"/>
                <w:lang w:eastAsia="en-US"/>
                <w14:ligatures w14:val="standardContextual"/>
              </w:rPr>
              <w:t>)</w:t>
            </w:r>
          </w:p>
        </w:tc>
        <w:tc>
          <w:tcPr>
            <w:tcW w:w="2973" w:type="dxa"/>
          </w:tcPr>
          <w:p w14:paraId="618872B7" w14:textId="77777777" w:rsidR="002B3CCF" w:rsidRPr="00CD4424" w:rsidRDefault="002B3CCF" w:rsidP="00DB5FE8">
            <w:pPr>
              <w:jc w:val="both"/>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Modela cenários reais analisando relações de causa e efeito.</w:t>
            </w:r>
          </w:p>
        </w:tc>
        <w:tc>
          <w:tcPr>
            <w:tcW w:w="2697" w:type="dxa"/>
          </w:tcPr>
          <w:p w14:paraId="4AA5C0BA" w14:textId="77777777" w:rsidR="002B3CCF" w:rsidRPr="00CD4424" w:rsidRDefault="002B3CCF" w:rsidP="00DB5FE8">
            <w:pPr>
              <w:autoSpaceDE w:val="0"/>
              <w:autoSpaceDN w:val="0"/>
              <w:adjustRightInd w:val="0"/>
              <w:jc w:val="center"/>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(STERMAN, 2001)</w:t>
            </w:r>
          </w:p>
        </w:tc>
      </w:tr>
      <w:tr w:rsidR="002B3CCF" w:rsidRPr="00137D21" w14:paraId="529E4214" w14:textId="77777777" w:rsidTr="002B3CCF">
        <w:trPr>
          <w:jc w:val="center"/>
        </w:trPr>
        <w:tc>
          <w:tcPr>
            <w:tcW w:w="2689" w:type="dxa"/>
          </w:tcPr>
          <w:p w14:paraId="42831D50" w14:textId="77777777" w:rsidR="002B3CCF" w:rsidRPr="00CD4424" w:rsidRDefault="002B3CCF" w:rsidP="00DB5FE8">
            <w:pPr>
              <w:jc w:val="center"/>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SSM</w:t>
            </w:r>
          </w:p>
          <w:p w14:paraId="3B08599C" w14:textId="77777777" w:rsidR="002B3CCF" w:rsidRPr="00CD4424" w:rsidRDefault="002B3CCF" w:rsidP="00DB5FE8">
            <w:pPr>
              <w:jc w:val="center"/>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w:t>
            </w:r>
            <w:r w:rsidRPr="001014F5">
              <w:rPr>
                <w:rFonts w:ascii="Times New Roman" w:eastAsiaTheme="minorHAnsi" w:hAnsi="Times New Roman" w:cs="Times New Roman"/>
                <w:i/>
                <w:iCs/>
                <w:kern w:val="2"/>
                <w:sz w:val="20"/>
                <w:szCs w:val="20"/>
                <w:lang w:eastAsia="en-US"/>
                <w14:ligatures w14:val="standardContextual"/>
              </w:rPr>
              <w:t>Soft Systems Methodology</w:t>
            </w:r>
            <w:r w:rsidRPr="00CD4424">
              <w:rPr>
                <w:rFonts w:ascii="Times New Roman" w:eastAsiaTheme="minorHAnsi" w:hAnsi="Times New Roman" w:cs="Times New Roman"/>
                <w:kern w:val="2"/>
                <w:sz w:val="20"/>
                <w:szCs w:val="20"/>
                <w:lang w:eastAsia="en-US"/>
                <w14:ligatures w14:val="standardContextual"/>
              </w:rPr>
              <w:t>)</w:t>
            </w:r>
          </w:p>
        </w:tc>
        <w:tc>
          <w:tcPr>
            <w:tcW w:w="2973" w:type="dxa"/>
          </w:tcPr>
          <w:p w14:paraId="4A627D74" w14:textId="77777777" w:rsidR="002B3CCF" w:rsidRPr="00CD4424" w:rsidRDefault="002B3CCF" w:rsidP="00DB5FE8">
            <w:pPr>
              <w:jc w:val="both"/>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Metodologia para estruturar problemas mal definidos por meio de aprendizado organizacional e construção de modelos conceituais</w:t>
            </w:r>
          </w:p>
        </w:tc>
        <w:tc>
          <w:tcPr>
            <w:tcW w:w="2697" w:type="dxa"/>
          </w:tcPr>
          <w:p w14:paraId="3F73A56E" w14:textId="77777777" w:rsidR="002B3CCF" w:rsidRPr="00CD4424" w:rsidRDefault="002B3CCF" w:rsidP="00DB5FE8">
            <w:pPr>
              <w:autoSpaceDE w:val="0"/>
              <w:autoSpaceDN w:val="0"/>
              <w:adjustRightInd w:val="0"/>
              <w:jc w:val="center"/>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(CHECKLAND, 1999)</w:t>
            </w:r>
          </w:p>
        </w:tc>
      </w:tr>
      <w:tr w:rsidR="002B3CCF" w:rsidRPr="00137D21" w14:paraId="710D95AE" w14:textId="77777777" w:rsidTr="002B3CCF">
        <w:trPr>
          <w:jc w:val="center"/>
        </w:trPr>
        <w:tc>
          <w:tcPr>
            <w:tcW w:w="2689" w:type="dxa"/>
          </w:tcPr>
          <w:p w14:paraId="1C59E04B" w14:textId="77777777" w:rsidR="002B3CCF" w:rsidRPr="00CD4424" w:rsidRDefault="002B3CCF" w:rsidP="00DB5FE8">
            <w:pPr>
              <w:jc w:val="center"/>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VSM</w:t>
            </w:r>
          </w:p>
          <w:p w14:paraId="3EFE6DB8" w14:textId="77777777" w:rsidR="002B3CCF" w:rsidRPr="00CD4424" w:rsidRDefault="002B3CCF" w:rsidP="00DB5FE8">
            <w:pPr>
              <w:jc w:val="center"/>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w:t>
            </w:r>
            <w:r w:rsidRPr="001014F5">
              <w:rPr>
                <w:rFonts w:ascii="Times New Roman" w:eastAsiaTheme="minorHAnsi" w:hAnsi="Times New Roman" w:cs="Times New Roman"/>
                <w:i/>
                <w:iCs/>
                <w:kern w:val="2"/>
                <w:sz w:val="20"/>
                <w:szCs w:val="20"/>
                <w:lang w:eastAsia="en-US"/>
                <w14:ligatures w14:val="standardContextual"/>
              </w:rPr>
              <w:t>Viable Systems Model</w:t>
            </w:r>
            <w:r w:rsidRPr="00CD4424">
              <w:rPr>
                <w:rFonts w:ascii="Times New Roman" w:eastAsiaTheme="minorHAnsi" w:hAnsi="Times New Roman" w:cs="Times New Roman"/>
                <w:kern w:val="2"/>
                <w:sz w:val="20"/>
                <w:szCs w:val="20"/>
                <w:lang w:eastAsia="en-US"/>
                <w14:ligatures w14:val="standardContextual"/>
              </w:rPr>
              <w:t>)</w:t>
            </w:r>
          </w:p>
        </w:tc>
        <w:tc>
          <w:tcPr>
            <w:tcW w:w="2973" w:type="dxa"/>
          </w:tcPr>
          <w:p w14:paraId="41C408D4" w14:textId="77777777" w:rsidR="002B3CCF" w:rsidRPr="00CD4424" w:rsidRDefault="002B3CCF" w:rsidP="00DB5FE8">
            <w:pPr>
              <w:jc w:val="both"/>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Neste modelo distingue-se um conjunto de funções de gestão que proporcionam as condições necessárias e suficientes para a viabilidade de qualquer sistema humano ou social.</w:t>
            </w:r>
          </w:p>
        </w:tc>
        <w:tc>
          <w:tcPr>
            <w:tcW w:w="2697" w:type="dxa"/>
          </w:tcPr>
          <w:p w14:paraId="189396D1" w14:textId="77777777" w:rsidR="002B3CCF" w:rsidRPr="00CD4424" w:rsidRDefault="002B3CCF" w:rsidP="00DB5FE8">
            <w:pPr>
              <w:jc w:val="center"/>
              <w:rPr>
                <w:rFonts w:ascii="Times New Roman" w:eastAsiaTheme="minorHAnsi" w:hAnsi="Times New Roman" w:cs="Times New Roman"/>
                <w:kern w:val="2"/>
                <w:sz w:val="20"/>
                <w:szCs w:val="20"/>
                <w:lang w:eastAsia="en-US"/>
                <w14:ligatures w14:val="standardContextual"/>
              </w:rPr>
            </w:pPr>
            <w:r w:rsidRPr="00CD4424">
              <w:rPr>
                <w:rFonts w:ascii="Times New Roman" w:eastAsiaTheme="minorHAnsi" w:hAnsi="Times New Roman" w:cs="Times New Roman"/>
                <w:kern w:val="2"/>
                <w:sz w:val="20"/>
                <w:szCs w:val="20"/>
                <w:lang w:eastAsia="en-US"/>
                <w14:ligatures w14:val="standardContextual"/>
              </w:rPr>
              <w:t>(BEER, 1984)</w:t>
            </w:r>
          </w:p>
        </w:tc>
      </w:tr>
    </w:tbl>
    <w:p w14:paraId="68F3D87D" w14:textId="795ACE09" w:rsidR="00992A8C" w:rsidRDefault="00992A8C" w:rsidP="00992A8C">
      <w:pPr>
        <w:widowControl w:val="0"/>
        <w:spacing w:before="119" w:line="249" w:lineRule="auto"/>
        <w:ind w:left="100" w:right="98"/>
      </w:pPr>
      <w:r w:rsidRPr="00992A8C">
        <w:t>O Quadro 1 visa apenas ilustrar alguns PSM, sem pretensão de apresentar um inventário completo, já que não existe uma listagem definitiva dessas metodologias. Além disso, não há consenso na literatura sobre quais métodos nele citados podem ser efetivamente considerados como PSM (FRANÇOZO, 2019; MINGERS; ROSENHEAD, 2004; ROSENHEAD, 1996).</w:t>
      </w:r>
    </w:p>
    <w:p w14:paraId="12AE2092" w14:textId="40EA7322" w:rsidR="00992A8C" w:rsidRDefault="00992A8C" w:rsidP="00992A8C">
      <w:pPr>
        <w:widowControl w:val="0"/>
        <w:spacing w:before="119" w:line="249" w:lineRule="auto"/>
        <w:ind w:left="100" w:right="98"/>
      </w:pPr>
      <w:r w:rsidRPr="00992A8C">
        <w:lastRenderedPageBreak/>
        <w:t xml:space="preserve">Como observa </w:t>
      </w:r>
      <w:proofErr w:type="spellStart"/>
      <w:r w:rsidRPr="00992A8C">
        <w:t>Françozo</w:t>
      </w:r>
      <w:proofErr w:type="spellEnd"/>
      <w:r w:rsidRPr="00992A8C">
        <w:t xml:space="preserve"> (2019), em estudos gerais sobre PSM cada autor adota um conjunto distinto de metodologias, conforme Quadro 2.</w:t>
      </w:r>
    </w:p>
    <w:p w14:paraId="03E584E2" w14:textId="77777777" w:rsidR="00992A8C" w:rsidRDefault="00992A8C" w:rsidP="00992A8C">
      <w:pPr>
        <w:widowControl w:val="0"/>
        <w:spacing w:before="119" w:line="249" w:lineRule="auto"/>
        <w:ind w:left="100" w:right="98"/>
      </w:pPr>
    </w:p>
    <w:p w14:paraId="16CEF8C7" w14:textId="2BDE3B57" w:rsidR="00992A8C" w:rsidRPr="00992A8C" w:rsidRDefault="00992A8C" w:rsidP="00992A8C">
      <w:pPr>
        <w:jc w:val="center"/>
        <w:rPr>
          <w:rFonts w:ascii="Arial" w:hAnsi="Arial" w:cs="Arial"/>
          <w:b/>
          <w:bCs/>
          <w:sz w:val="20"/>
          <w:szCs w:val="20"/>
        </w:rPr>
      </w:pPr>
      <w:r w:rsidRPr="00992A8C">
        <w:rPr>
          <w:rFonts w:ascii="Arial" w:hAnsi="Arial" w:cs="Arial"/>
          <w:b/>
          <w:bCs/>
          <w:sz w:val="20"/>
          <w:szCs w:val="20"/>
        </w:rPr>
        <w:t>Quadro 2 – PSM por autor – Fonte: Adaptado de FRANÇOZO (2019)</w:t>
      </w:r>
    </w:p>
    <w:tbl>
      <w:tblPr>
        <w:tblStyle w:val="Tabelacomgrade"/>
        <w:tblW w:w="0" w:type="auto"/>
        <w:jc w:val="center"/>
        <w:tblLook w:val="04A0" w:firstRow="1" w:lastRow="0" w:firstColumn="1" w:lastColumn="0" w:noHBand="0" w:noVBand="1"/>
      </w:tblPr>
      <w:tblGrid>
        <w:gridCol w:w="4247"/>
        <w:gridCol w:w="4247"/>
      </w:tblGrid>
      <w:tr w:rsidR="00992A8C" w:rsidRPr="00137D21" w14:paraId="1BB593C9" w14:textId="77777777" w:rsidTr="00992A8C">
        <w:trPr>
          <w:jc w:val="center"/>
        </w:trPr>
        <w:tc>
          <w:tcPr>
            <w:tcW w:w="4247" w:type="dxa"/>
          </w:tcPr>
          <w:p w14:paraId="4A3B350A" w14:textId="77777777" w:rsidR="00992A8C" w:rsidRPr="00992A8C" w:rsidRDefault="00992A8C" w:rsidP="00DB5FE8">
            <w:pPr>
              <w:jc w:val="center"/>
              <w:rPr>
                <w:rFonts w:ascii="Times New Roman" w:eastAsiaTheme="minorHAnsi" w:hAnsi="Times New Roman" w:cs="Times New Roman"/>
                <w:kern w:val="2"/>
                <w:sz w:val="20"/>
                <w:szCs w:val="20"/>
                <w:lang w:eastAsia="en-US"/>
                <w14:ligatures w14:val="standardContextual"/>
              </w:rPr>
            </w:pPr>
            <w:r w:rsidRPr="00992A8C">
              <w:rPr>
                <w:rFonts w:ascii="Times New Roman" w:eastAsiaTheme="minorHAnsi" w:hAnsi="Times New Roman" w:cs="Times New Roman"/>
                <w:kern w:val="2"/>
                <w:sz w:val="20"/>
                <w:szCs w:val="20"/>
                <w:lang w:eastAsia="en-US"/>
                <w14:ligatures w14:val="standardContextual"/>
              </w:rPr>
              <w:t>Autor(es)</w:t>
            </w:r>
          </w:p>
        </w:tc>
        <w:tc>
          <w:tcPr>
            <w:tcW w:w="4247" w:type="dxa"/>
          </w:tcPr>
          <w:p w14:paraId="5C6EA4CF" w14:textId="77777777" w:rsidR="00992A8C" w:rsidRPr="00992A8C" w:rsidRDefault="00992A8C" w:rsidP="00DB5FE8">
            <w:pPr>
              <w:jc w:val="center"/>
              <w:rPr>
                <w:rFonts w:ascii="Times New Roman" w:eastAsiaTheme="minorHAnsi" w:hAnsi="Times New Roman" w:cs="Times New Roman"/>
                <w:kern w:val="2"/>
                <w:sz w:val="20"/>
                <w:szCs w:val="20"/>
                <w:lang w:eastAsia="en-US"/>
                <w14:ligatures w14:val="standardContextual"/>
              </w:rPr>
            </w:pPr>
            <w:r w:rsidRPr="00992A8C">
              <w:rPr>
                <w:rFonts w:ascii="Times New Roman" w:eastAsiaTheme="minorHAnsi" w:hAnsi="Times New Roman" w:cs="Times New Roman"/>
                <w:kern w:val="2"/>
                <w:sz w:val="20"/>
                <w:szCs w:val="20"/>
                <w:lang w:eastAsia="en-US"/>
                <w14:ligatures w14:val="standardContextual"/>
              </w:rPr>
              <w:t>PSM</w:t>
            </w:r>
          </w:p>
        </w:tc>
      </w:tr>
      <w:tr w:rsidR="00992A8C" w:rsidRPr="00137D21" w14:paraId="0D1B3368" w14:textId="77777777" w:rsidTr="00992A8C">
        <w:trPr>
          <w:jc w:val="center"/>
        </w:trPr>
        <w:tc>
          <w:tcPr>
            <w:tcW w:w="4247" w:type="dxa"/>
          </w:tcPr>
          <w:p w14:paraId="1FF33FCB" w14:textId="77777777" w:rsidR="00992A8C" w:rsidRPr="00992A8C" w:rsidRDefault="00992A8C" w:rsidP="00DB5FE8">
            <w:pPr>
              <w:jc w:val="both"/>
              <w:rPr>
                <w:rFonts w:ascii="Times New Roman" w:eastAsiaTheme="minorHAnsi" w:hAnsi="Times New Roman" w:cs="Times New Roman"/>
                <w:kern w:val="2"/>
                <w:sz w:val="20"/>
                <w:szCs w:val="20"/>
                <w:lang w:eastAsia="en-US"/>
                <w14:ligatures w14:val="standardContextual"/>
              </w:rPr>
            </w:pPr>
            <w:r w:rsidRPr="00992A8C">
              <w:rPr>
                <w:rFonts w:ascii="Times New Roman" w:eastAsiaTheme="minorHAnsi" w:hAnsi="Times New Roman" w:cs="Times New Roman"/>
                <w:kern w:val="2"/>
                <w:sz w:val="20"/>
                <w:szCs w:val="20"/>
                <w:lang w:eastAsia="en-US"/>
                <w14:ligatures w14:val="standardContextual"/>
              </w:rPr>
              <w:t xml:space="preserve">(MARTTUNEN </w:t>
            </w:r>
            <w:r w:rsidRPr="00992A8C">
              <w:rPr>
                <w:rFonts w:ascii="Times New Roman" w:eastAsiaTheme="minorHAnsi" w:hAnsi="Times New Roman" w:cs="Times New Roman"/>
                <w:i/>
                <w:iCs/>
                <w:kern w:val="2"/>
                <w:sz w:val="20"/>
                <w:szCs w:val="20"/>
                <w:lang w:eastAsia="en-US"/>
                <w14:ligatures w14:val="standardContextual"/>
              </w:rPr>
              <w:t>et al</w:t>
            </w:r>
            <w:r w:rsidRPr="00992A8C">
              <w:rPr>
                <w:rFonts w:ascii="Times New Roman" w:eastAsiaTheme="minorHAnsi" w:hAnsi="Times New Roman" w:cs="Times New Roman"/>
                <w:kern w:val="2"/>
                <w:sz w:val="20"/>
                <w:szCs w:val="20"/>
                <w:lang w:eastAsia="en-US"/>
                <w14:ligatures w14:val="standardContextual"/>
              </w:rPr>
              <w:t>., 2017)</w:t>
            </w:r>
          </w:p>
        </w:tc>
        <w:tc>
          <w:tcPr>
            <w:tcW w:w="4247" w:type="dxa"/>
          </w:tcPr>
          <w:p w14:paraId="51E303F2" w14:textId="286E8D11" w:rsidR="00992A8C" w:rsidRPr="00992A8C" w:rsidRDefault="00992A8C" w:rsidP="00DB5FE8">
            <w:pPr>
              <w:jc w:val="both"/>
              <w:rPr>
                <w:rFonts w:ascii="Times New Roman" w:eastAsiaTheme="minorHAnsi" w:hAnsi="Times New Roman" w:cs="Times New Roman"/>
                <w:kern w:val="2"/>
                <w:sz w:val="20"/>
                <w:szCs w:val="20"/>
                <w:lang w:eastAsia="en-US"/>
                <w14:ligatures w14:val="standardContextual"/>
              </w:rPr>
            </w:pPr>
            <w:r w:rsidRPr="00992A8C">
              <w:rPr>
                <w:rFonts w:ascii="Times New Roman" w:eastAsiaTheme="minorHAnsi" w:hAnsi="Times New Roman" w:cs="Times New Roman"/>
                <w:kern w:val="2"/>
                <w:sz w:val="20"/>
                <w:szCs w:val="20"/>
                <w:lang w:eastAsia="en-US"/>
                <w14:ligatures w14:val="standardContextual"/>
              </w:rPr>
              <w:t xml:space="preserve">DPSIR, Planejamento de Cenários, SAST, SODA, SSM, </w:t>
            </w:r>
            <w:r w:rsidRPr="00544BD3">
              <w:rPr>
                <w:rFonts w:ascii="Times New Roman" w:eastAsiaTheme="minorHAnsi" w:hAnsi="Times New Roman" w:cs="Times New Roman"/>
                <w:i/>
                <w:iCs/>
                <w:kern w:val="2"/>
                <w:sz w:val="20"/>
                <w:szCs w:val="20"/>
                <w:lang w:eastAsia="en-US"/>
                <w14:ligatures w14:val="standardContextual"/>
              </w:rPr>
              <w:t>Stakeholder Analysis</w:t>
            </w:r>
            <w:r w:rsidRPr="00992A8C">
              <w:rPr>
                <w:rFonts w:ascii="Times New Roman" w:eastAsiaTheme="minorHAnsi" w:hAnsi="Times New Roman" w:cs="Times New Roman"/>
                <w:kern w:val="2"/>
                <w:sz w:val="20"/>
                <w:szCs w:val="20"/>
                <w:lang w:eastAsia="en-US"/>
                <w14:ligatures w14:val="standardContextual"/>
              </w:rPr>
              <w:t xml:space="preserve"> e SWOT</w:t>
            </w:r>
          </w:p>
        </w:tc>
      </w:tr>
      <w:tr w:rsidR="00992A8C" w:rsidRPr="00137D21" w14:paraId="3F46D35D" w14:textId="77777777" w:rsidTr="00992A8C">
        <w:trPr>
          <w:jc w:val="center"/>
        </w:trPr>
        <w:tc>
          <w:tcPr>
            <w:tcW w:w="4247" w:type="dxa"/>
          </w:tcPr>
          <w:p w14:paraId="678FE41C" w14:textId="77777777" w:rsidR="00992A8C" w:rsidRPr="00992A8C" w:rsidRDefault="00992A8C" w:rsidP="00DB5FE8">
            <w:pPr>
              <w:jc w:val="both"/>
              <w:rPr>
                <w:rFonts w:ascii="Times New Roman" w:eastAsiaTheme="minorHAnsi" w:hAnsi="Times New Roman" w:cs="Times New Roman"/>
                <w:kern w:val="2"/>
                <w:sz w:val="20"/>
                <w:szCs w:val="20"/>
                <w:lang w:eastAsia="en-US"/>
                <w14:ligatures w14:val="standardContextual"/>
              </w:rPr>
            </w:pPr>
            <w:r w:rsidRPr="00992A8C">
              <w:rPr>
                <w:rFonts w:ascii="Times New Roman" w:eastAsiaTheme="minorHAnsi" w:hAnsi="Times New Roman" w:cs="Times New Roman"/>
                <w:kern w:val="2"/>
                <w:sz w:val="20"/>
                <w:szCs w:val="20"/>
                <w:lang w:eastAsia="en-US"/>
                <w14:ligatures w14:val="standardContextual"/>
              </w:rPr>
              <w:t>(MINGERS; ROSENHEAD, 2004)</w:t>
            </w:r>
          </w:p>
        </w:tc>
        <w:tc>
          <w:tcPr>
            <w:tcW w:w="4247" w:type="dxa"/>
          </w:tcPr>
          <w:p w14:paraId="162F0361" w14:textId="77777777" w:rsidR="00992A8C" w:rsidRPr="00992A8C" w:rsidRDefault="00992A8C" w:rsidP="00DB5FE8">
            <w:pPr>
              <w:jc w:val="both"/>
              <w:rPr>
                <w:rFonts w:ascii="Times New Roman" w:eastAsiaTheme="minorHAnsi" w:hAnsi="Times New Roman" w:cs="Times New Roman"/>
                <w:kern w:val="2"/>
                <w:sz w:val="20"/>
                <w:szCs w:val="20"/>
                <w:lang w:eastAsia="en-US"/>
                <w14:ligatures w14:val="standardContextual"/>
              </w:rPr>
            </w:pPr>
            <w:r w:rsidRPr="00992A8C">
              <w:rPr>
                <w:rFonts w:ascii="Times New Roman" w:eastAsiaTheme="minorHAnsi" w:hAnsi="Times New Roman" w:cs="Times New Roman"/>
                <w:kern w:val="2"/>
                <w:sz w:val="20"/>
                <w:szCs w:val="20"/>
                <w:lang w:eastAsia="en-US"/>
                <w14:ligatures w14:val="standardContextual"/>
              </w:rPr>
              <w:t xml:space="preserve">Análise de Robustez, </w:t>
            </w:r>
            <w:proofErr w:type="spellStart"/>
            <w:r w:rsidRPr="00544BD3">
              <w:rPr>
                <w:rFonts w:ascii="Times New Roman" w:eastAsiaTheme="minorHAnsi" w:hAnsi="Times New Roman" w:cs="Times New Roman"/>
                <w:i/>
                <w:iCs/>
                <w:kern w:val="2"/>
                <w:sz w:val="20"/>
                <w:szCs w:val="20"/>
                <w:lang w:eastAsia="en-US"/>
                <w14:ligatures w14:val="standardContextual"/>
              </w:rPr>
              <w:t>Decision</w:t>
            </w:r>
            <w:proofErr w:type="spellEnd"/>
            <w:r w:rsidRPr="00544BD3">
              <w:rPr>
                <w:rFonts w:ascii="Times New Roman" w:eastAsiaTheme="minorHAnsi" w:hAnsi="Times New Roman" w:cs="Times New Roman"/>
                <w:i/>
                <w:iCs/>
                <w:kern w:val="2"/>
                <w:sz w:val="20"/>
                <w:szCs w:val="20"/>
                <w:lang w:eastAsia="en-US"/>
                <w14:ligatures w14:val="standardContextual"/>
              </w:rPr>
              <w:t xml:space="preserve"> </w:t>
            </w:r>
            <w:proofErr w:type="spellStart"/>
            <w:r w:rsidRPr="00544BD3">
              <w:rPr>
                <w:rFonts w:ascii="Times New Roman" w:eastAsiaTheme="minorHAnsi" w:hAnsi="Times New Roman" w:cs="Times New Roman"/>
                <w:i/>
                <w:iCs/>
                <w:kern w:val="2"/>
                <w:sz w:val="20"/>
                <w:szCs w:val="20"/>
                <w:lang w:eastAsia="en-US"/>
                <w14:ligatures w14:val="standardContextual"/>
              </w:rPr>
              <w:t>Conferencing</w:t>
            </w:r>
            <w:proofErr w:type="spellEnd"/>
            <w:r w:rsidRPr="00992A8C">
              <w:rPr>
                <w:rFonts w:ascii="Times New Roman" w:eastAsiaTheme="minorHAnsi" w:hAnsi="Times New Roman" w:cs="Times New Roman"/>
                <w:kern w:val="2"/>
                <w:sz w:val="20"/>
                <w:szCs w:val="20"/>
                <w:lang w:eastAsia="en-US"/>
                <w14:ligatures w14:val="standardContextual"/>
              </w:rPr>
              <w:t>,</w:t>
            </w:r>
          </w:p>
          <w:p w14:paraId="24A167B9" w14:textId="77777777" w:rsidR="00992A8C" w:rsidRPr="00992A8C" w:rsidRDefault="00992A8C" w:rsidP="00DB5FE8">
            <w:pPr>
              <w:jc w:val="both"/>
              <w:rPr>
                <w:rFonts w:ascii="Times New Roman" w:eastAsiaTheme="minorHAnsi" w:hAnsi="Times New Roman" w:cs="Times New Roman"/>
                <w:kern w:val="2"/>
                <w:sz w:val="20"/>
                <w:szCs w:val="20"/>
                <w:lang w:eastAsia="en-US"/>
                <w14:ligatures w14:val="standardContextual"/>
              </w:rPr>
            </w:pPr>
            <w:r w:rsidRPr="00992A8C">
              <w:rPr>
                <w:rFonts w:ascii="Times New Roman" w:eastAsiaTheme="minorHAnsi" w:hAnsi="Times New Roman" w:cs="Times New Roman"/>
                <w:kern w:val="2"/>
                <w:sz w:val="20"/>
                <w:szCs w:val="20"/>
                <w:lang w:eastAsia="en-US"/>
                <w14:ligatures w14:val="standardContextual"/>
              </w:rPr>
              <w:t>SCA, SD, SODA, SSM, Teoria do Drama e</w:t>
            </w:r>
          </w:p>
          <w:p w14:paraId="5F14E29F" w14:textId="77777777" w:rsidR="00992A8C" w:rsidRPr="00992A8C" w:rsidRDefault="00992A8C" w:rsidP="00DB5FE8">
            <w:pPr>
              <w:jc w:val="both"/>
              <w:rPr>
                <w:rFonts w:ascii="Times New Roman" w:eastAsiaTheme="minorHAnsi" w:hAnsi="Times New Roman" w:cs="Times New Roman"/>
                <w:kern w:val="2"/>
                <w:sz w:val="20"/>
                <w:szCs w:val="20"/>
                <w:lang w:eastAsia="en-US"/>
                <w14:ligatures w14:val="standardContextual"/>
              </w:rPr>
            </w:pPr>
            <w:r w:rsidRPr="00992A8C">
              <w:rPr>
                <w:rFonts w:ascii="Times New Roman" w:eastAsiaTheme="minorHAnsi" w:hAnsi="Times New Roman" w:cs="Times New Roman"/>
                <w:kern w:val="2"/>
                <w:sz w:val="20"/>
                <w:szCs w:val="20"/>
                <w:lang w:eastAsia="en-US"/>
                <w14:ligatures w14:val="standardContextual"/>
              </w:rPr>
              <w:t>VSM</w:t>
            </w:r>
          </w:p>
        </w:tc>
      </w:tr>
      <w:tr w:rsidR="00992A8C" w:rsidRPr="00137D21" w14:paraId="203AA172" w14:textId="77777777" w:rsidTr="00992A8C">
        <w:trPr>
          <w:jc w:val="center"/>
        </w:trPr>
        <w:tc>
          <w:tcPr>
            <w:tcW w:w="4247" w:type="dxa"/>
          </w:tcPr>
          <w:p w14:paraId="1B277C51" w14:textId="77777777" w:rsidR="00992A8C" w:rsidRPr="00992A8C" w:rsidRDefault="00992A8C" w:rsidP="00DB5FE8">
            <w:pPr>
              <w:jc w:val="both"/>
              <w:rPr>
                <w:rFonts w:ascii="Times New Roman" w:eastAsiaTheme="minorHAnsi" w:hAnsi="Times New Roman" w:cs="Times New Roman"/>
                <w:kern w:val="2"/>
                <w:sz w:val="20"/>
                <w:szCs w:val="20"/>
                <w:lang w:eastAsia="en-US"/>
                <w14:ligatures w14:val="standardContextual"/>
              </w:rPr>
            </w:pPr>
            <w:r w:rsidRPr="00992A8C">
              <w:rPr>
                <w:rFonts w:ascii="Times New Roman" w:eastAsiaTheme="minorHAnsi" w:hAnsi="Times New Roman" w:cs="Times New Roman"/>
                <w:kern w:val="2"/>
                <w:sz w:val="20"/>
                <w:szCs w:val="20"/>
                <w:lang w:eastAsia="en-US"/>
                <w14:ligatures w14:val="standardContextual"/>
              </w:rPr>
              <w:t>(MUNRO; MINGERS, 2002)</w:t>
            </w:r>
          </w:p>
        </w:tc>
        <w:tc>
          <w:tcPr>
            <w:tcW w:w="4247" w:type="dxa"/>
          </w:tcPr>
          <w:p w14:paraId="54D8E79F" w14:textId="77777777" w:rsidR="00992A8C" w:rsidRPr="00992A8C" w:rsidRDefault="00992A8C" w:rsidP="00DB5FE8">
            <w:pPr>
              <w:jc w:val="both"/>
              <w:rPr>
                <w:rFonts w:ascii="Times New Roman" w:eastAsiaTheme="minorHAnsi" w:hAnsi="Times New Roman" w:cs="Times New Roman"/>
                <w:kern w:val="2"/>
                <w:sz w:val="20"/>
                <w:szCs w:val="20"/>
                <w:lang w:eastAsia="en-US"/>
                <w14:ligatures w14:val="standardContextual"/>
              </w:rPr>
            </w:pPr>
            <w:r w:rsidRPr="00992A8C">
              <w:rPr>
                <w:rFonts w:ascii="Times New Roman" w:eastAsiaTheme="minorHAnsi" w:hAnsi="Times New Roman" w:cs="Times New Roman"/>
                <w:kern w:val="2"/>
                <w:sz w:val="20"/>
                <w:szCs w:val="20"/>
                <w:lang w:eastAsia="en-US"/>
                <w14:ligatures w14:val="standardContextual"/>
              </w:rPr>
              <w:t xml:space="preserve">CSH, </w:t>
            </w:r>
            <w:proofErr w:type="spellStart"/>
            <w:r w:rsidRPr="00544BD3">
              <w:rPr>
                <w:rFonts w:ascii="Times New Roman" w:eastAsiaTheme="minorHAnsi" w:hAnsi="Times New Roman" w:cs="Times New Roman"/>
                <w:i/>
                <w:iCs/>
                <w:kern w:val="2"/>
                <w:sz w:val="20"/>
                <w:szCs w:val="20"/>
                <w:lang w:eastAsia="en-US"/>
                <w14:ligatures w14:val="standardContextual"/>
              </w:rPr>
              <w:t>Interactive</w:t>
            </w:r>
            <w:proofErr w:type="spellEnd"/>
            <w:r w:rsidRPr="00544BD3">
              <w:rPr>
                <w:rFonts w:ascii="Times New Roman" w:eastAsiaTheme="minorHAnsi" w:hAnsi="Times New Roman" w:cs="Times New Roman"/>
                <w:i/>
                <w:iCs/>
                <w:kern w:val="2"/>
                <w:sz w:val="20"/>
                <w:szCs w:val="20"/>
                <w:lang w:eastAsia="en-US"/>
                <w14:ligatures w14:val="standardContextual"/>
              </w:rPr>
              <w:t xml:space="preserve"> Planning</w:t>
            </w:r>
            <w:r w:rsidRPr="00992A8C">
              <w:rPr>
                <w:rFonts w:ascii="Times New Roman" w:eastAsiaTheme="minorHAnsi" w:hAnsi="Times New Roman" w:cs="Times New Roman"/>
                <w:kern w:val="2"/>
                <w:sz w:val="20"/>
                <w:szCs w:val="20"/>
                <w:lang w:eastAsia="en-US"/>
                <w14:ligatures w14:val="standardContextual"/>
              </w:rPr>
              <w:t xml:space="preserve">, Planejamento de Cenários, SCA, SD, SODA, SSM e VSM </w:t>
            </w:r>
          </w:p>
        </w:tc>
      </w:tr>
      <w:tr w:rsidR="00992A8C" w:rsidRPr="00137D21" w14:paraId="42A57E89" w14:textId="77777777" w:rsidTr="00992A8C">
        <w:trPr>
          <w:jc w:val="center"/>
        </w:trPr>
        <w:tc>
          <w:tcPr>
            <w:tcW w:w="4247" w:type="dxa"/>
          </w:tcPr>
          <w:p w14:paraId="04504E5C" w14:textId="77777777" w:rsidR="00992A8C" w:rsidRPr="00992A8C" w:rsidRDefault="00992A8C" w:rsidP="00DB5FE8">
            <w:pPr>
              <w:jc w:val="both"/>
              <w:rPr>
                <w:rFonts w:ascii="Times New Roman" w:eastAsiaTheme="minorHAnsi" w:hAnsi="Times New Roman" w:cs="Times New Roman"/>
                <w:kern w:val="2"/>
                <w:sz w:val="20"/>
                <w:szCs w:val="20"/>
                <w:lang w:eastAsia="en-US"/>
                <w14:ligatures w14:val="standardContextual"/>
              </w:rPr>
            </w:pPr>
            <w:r w:rsidRPr="00992A8C">
              <w:rPr>
                <w:rFonts w:ascii="Times New Roman" w:eastAsiaTheme="minorHAnsi" w:hAnsi="Times New Roman" w:cs="Times New Roman"/>
                <w:kern w:val="2"/>
                <w:sz w:val="20"/>
                <w:szCs w:val="20"/>
                <w:lang w:eastAsia="en-US"/>
                <w14:ligatures w14:val="standardContextual"/>
              </w:rPr>
              <w:t>(ROSENHEAD, 1996)</w:t>
            </w:r>
          </w:p>
        </w:tc>
        <w:tc>
          <w:tcPr>
            <w:tcW w:w="4247" w:type="dxa"/>
          </w:tcPr>
          <w:p w14:paraId="17DADEE4" w14:textId="77777777" w:rsidR="00992A8C" w:rsidRPr="00992A8C" w:rsidRDefault="00992A8C" w:rsidP="00DB5FE8">
            <w:pPr>
              <w:jc w:val="both"/>
              <w:rPr>
                <w:rFonts w:ascii="Times New Roman" w:eastAsiaTheme="minorHAnsi" w:hAnsi="Times New Roman" w:cs="Times New Roman"/>
                <w:kern w:val="2"/>
                <w:sz w:val="20"/>
                <w:szCs w:val="20"/>
                <w:lang w:eastAsia="en-US"/>
                <w14:ligatures w14:val="standardContextual"/>
              </w:rPr>
            </w:pPr>
            <w:r w:rsidRPr="00992A8C">
              <w:rPr>
                <w:rFonts w:ascii="Times New Roman" w:eastAsiaTheme="minorHAnsi" w:hAnsi="Times New Roman" w:cs="Times New Roman"/>
                <w:kern w:val="2"/>
                <w:sz w:val="20"/>
                <w:szCs w:val="20"/>
                <w:lang w:eastAsia="en-US"/>
                <w14:ligatures w14:val="standardContextual"/>
              </w:rPr>
              <w:t xml:space="preserve">Análise de Robustez, </w:t>
            </w:r>
            <w:proofErr w:type="spellStart"/>
            <w:r w:rsidRPr="00544BD3">
              <w:rPr>
                <w:rFonts w:ascii="Times New Roman" w:eastAsiaTheme="minorHAnsi" w:hAnsi="Times New Roman" w:cs="Times New Roman"/>
                <w:i/>
                <w:iCs/>
                <w:kern w:val="2"/>
                <w:sz w:val="20"/>
                <w:szCs w:val="20"/>
                <w:lang w:eastAsia="en-US"/>
                <w14:ligatures w14:val="standardContextual"/>
              </w:rPr>
              <w:t>Hypergame</w:t>
            </w:r>
            <w:proofErr w:type="spellEnd"/>
            <w:r w:rsidRPr="00544BD3">
              <w:rPr>
                <w:rFonts w:ascii="Times New Roman" w:eastAsiaTheme="minorHAnsi" w:hAnsi="Times New Roman" w:cs="Times New Roman"/>
                <w:i/>
                <w:iCs/>
                <w:kern w:val="2"/>
                <w:sz w:val="20"/>
                <w:szCs w:val="20"/>
                <w:lang w:eastAsia="en-US"/>
                <w14:ligatures w14:val="standardContextual"/>
              </w:rPr>
              <w:t xml:space="preserve"> Analysis, </w:t>
            </w:r>
            <w:proofErr w:type="spellStart"/>
            <w:r w:rsidRPr="00544BD3">
              <w:rPr>
                <w:rFonts w:ascii="Times New Roman" w:eastAsiaTheme="minorHAnsi" w:hAnsi="Times New Roman" w:cs="Times New Roman"/>
                <w:i/>
                <w:iCs/>
                <w:kern w:val="2"/>
                <w:sz w:val="20"/>
                <w:szCs w:val="20"/>
                <w:lang w:eastAsia="en-US"/>
                <w14:ligatures w14:val="standardContextual"/>
              </w:rPr>
              <w:t>Metagame</w:t>
            </w:r>
            <w:proofErr w:type="spellEnd"/>
            <w:r w:rsidRPr="00544BD3">
              <w:rPr>
                <w:rFonts w:ascii="Times New Roman" w:eastAsiaTheme="minorHAnsi" w:hAnsi="Times New Roman" w:cs="Times New Roman"/>
                <w:i/>
                <w:iCs/>
                <w:kern w:val="2"/>
                <w:sz w:val="20"/>
                <w:szCs w:val="20"/>
                <w:lang w:eastAsia="en-US"/>
                <w14:ligatures w14:val="standardContextual"/>
              </w:rPr>
              <w:t xml:space="preserve"> Analysis</w:t>
            </w:r>
            <w:r w:rsidRPr="00992A8C">
              <w:rPr>
                <w:rFonts w:ascii="Times New Roman" w:eastAsiaTheme="minorHAnsi" w:hAnsi="Times New Roman" w:cs="Times New Roman"/>
                <w:kern w:val="2"/>
                <w:sz w:val="20"/>
                <w:szCs w:val="20"/>
                <w:lang w:eastAsia="en-US"/>
                <w14:ligatures w14:val="standardContextual"/>
              </w:rPr>
              <w:t>, SAST, SCA, SODA e SSM</w:t>
            </w:r>
          </w:p>
        </w:tc>
      </w:tr>
    </w:tbl>
    <w:p w14:paraId="5D91E371" w14:textId="2C2C1ADE" w:rsidR="00910650" w:rsidRDefault="00910650" w:rsidP="00910650">
      <w:pPr>
        <w:widowControl w:val="0"/>
        <w:spacing w:before="119" w:line="249" w:lineRule="auto"/>
        <w:ind w:left="100" w:right="98"/>
      </w:pPr>
      <w:r w:rsidRPr="00910650">
        <w:t xml:space="preserve">Segundo </w:t>
      </w:r>
      <w:proofErr w:type="spellStart"/>
      <w:r w:rsidRPr="00910650">
        <w:t>Françozo</w:t>
      </w:r>
      <w:proofErr w:type="spellEnd"/>
      <w:r w:rsidRPr="00910650">
        <w:t xml:space="preserve"> (2019), os estudos do Quadro 2 representam apenas uma fração dos trabalhos sobre PSM. O uso de um método específico depende da natureza da situação problemática. Já </w:t>
      </w:r>
      <w:proofErr w:type="spellStart"/>
      <w:r w:rsidRPr="00910650">
        <w:t>Mingers</w:t>
      </w:r>
      <w:proofErr w:type="spellEnd"/>
      <w:r w:rsidRPr="00910650">
        <w:t xml:space="preserve"> e </w:t>
      </w:r>
      <w:proofErr w:type="spellStart"/>
      <w:r w:rsidRPr="00910650">
        <w:t>Brocklesby</w:t>
      </w:r>
      <w:proofErr w:type="spellEnd"/>
      <w:r w:rsidRPr="00910650">
        <w:t xml:space="preserve"> (1997) apontam que, em certos contextos, pode ser necessária a combinação de dois ou mais PSM ou a aplicação parcial de um deles.</w:t>
      </w:r>
    </w:p>
    <w:p w14:paraId="735868EC" w14:textId="7043E52B" w:rsidR="00910650" w:rsidRDefault="00910650" w:rsidP="00910650">
      <w:pPr>
        <w:widowControl w:val="0"/>
        <w:spacing w:before="119" w:line="249" w:lineRule="auto"/>
        <w:ind w:left="100" w:right="98"/>
      </w:pPr>
      <w:r w:rsidRPr="00910650">
        <w:t>Os PSM, ao privilegiarem a participação, a pluralidade de perspectivas e a racionalidade processual, revelam-se particularmente adequados para lidar com contextos organizacionais marcados pela incerteza, pela multiplicidade de atores e pela complexidade decisória. Essas características estão diretamente relacionadas aos desafios da MI, que, por ser tácita, contextual e difícil de imitar, exige abordagens capazes de estruturar problemas de forma coletiva e sistêmica. Assim, os PSM não apenas oferecem suporte metodológico para a compreensão e intervenção em situações problemáticas, mas também potencializam a implementação da MI, ao favorecerem o alinhamento entre diferentes atores, a construção de consensos e a definição de caminhos estratégicos. Dessa forma, a integração entre PSM e MI representa uma via promissora para ampliar a efetividade de programas de inovação em ambientes organizacionais complexos.</w:t>
      </w:r>
    </w:p>
    <w:p w14:paraId="49F2890F" w14:textId="77777777" w:rsidR="00211C97" w:rsidRDefault="00211C97" w:rsidP="00910650">
      <w:pPr>
        <w:widowControl w:val="0"/>
        <w:spacing w:before="119" w:line="249" w:lineRule="auto"/>
        <w:ind w:left="100" w:right="98"/>
      </w:pPr>
    </w:p>
    <w:p w14:paraId="049CFA62" w14:textId="61889990" w:rsidR="00211C97" w:rsidRDefault="00211C97" w:rsidP="00211C97">
      <w:pPr>
        <w:pStyle w:val="Ttulo1"/>
        <w:keepNext w:val="0"/>
        <w:keepLines w:val="0"/>
        <w:widowControl w:val="0"/>
        <w:numPr>
          <w:ilvl w:val="0"/>
          <w:numId w:val="1"/>
        </w:numPr>
        <w:tabs>
          <w:tab w:val="left" w:pos="415"/>
        </w:tabs>
        <w:spacing w:before="1" w:line="240" w:lineRule="auto"/>
        <w:jc w:val="both"/>
        <w:rPr>
          <w:sz w:val="26"/>
          <w:szCs w:val="26"/>
        </w:rPr>
      </w:pPr>
      <w:bookmarkStart w:id="2" w:name="_Hlk207558150"/>
      <w:r>
        <w:rPr>
          <w:sz w:val="26"/>
          <w:szCs w:val="26"/>
        </w:rPr>
        <w:t>Metodologia</w:t>
      </w:r>
    </w:p>
    <w:bookmarkEnd w:id="2"/>
    <w:p w14:paraId="27EF9767" w14:textId="49A561D0" w:rsidR="00211C97" w:rsidRDefault="00211C97" w:rsidP="00211C97">
      <w:pPr>
        <w:widowControl w:val="0"/>
        <w:spacing w:before="135" w:line="249" w:lineRule="auto"/>
        <w:ind w:left="100" w:right="98" w:firstLine="0"/>
      </w:pPr>
      <w:r w:rsidRPr="00211C97">
        <w:t>A metodologia aplicada na realização desse estudo foi a Revisão Sistemática da Literatura (RSL)</w:t>
      </w:r>
      <w:r w:rsidR="00E21A4B">
        <w:t xml:space="preserve"> </w:t>
      </w:r>
      <w:r w:rsidR="003849CA">
        <w:t xml:space="preserve">fundamentada nas diretrizes </w:t>
      </w:r>
      <w:r w:rsidR="00E21A4B">
        <w:t xml:space="preserve">de </w:t>
      </w:r>
      <w:proofErr w:type="spellStart"/>
      <w:r w:rsidR="00E21A4B" w:rsidRPr="000D75DF">
        <w:t>Kitchenham</w:t>
      </w:r>
      <w:proofErr w:type="spellEnd"/>
      <w:r w:rsidR="00E21A4B" w:rsidRPr="000D75DF">
        <w:t xml:space="preserve"> (2004) e Ferreira (2022)</w:t>
      </w:r>
      <w:r w:rsidRPr="00211C97">
        <w:t xml:space="preserve">. Para Dresch et al. (2015), a RSL possibilita identificar lacunas na literatura e soluções para certas categorias de problemas, de modo, a sugerir áreas de investigação. Já para </w:t>
      </w:r>
      <w:proofErr w:type="spellStart"/>
      <w:r w:rsidRPr="00211C97">
        <w:t>Kitchenham</w:t>
      </w:r>
      <w:proofErr w:type="spellEnd"/>
      <w:r w:rsidRPr="00211C97">
        <w:t xml:space="preserve"> e </w:t>
      </w:r>
      <w:proofErr w:type="spellStart"/>
      <w:r w:rsidRPr="00211C97">
        <w:t>Chaters</w:t>
      </w:r>
      <w:proofErr w:type="spellEnd"/>
      <w:r w:rsidRPr="00211C97">
        <w:t xml:space="preserve"> (2007), a RSL é uma abordagem criteriosa e repetível para identificar, avaliar e compreender integralmente toda a pesquisa existente que tenha relevância para uma questão de pesquisa específica, um tópico particular ou um fenômeno de interesse. Para Conforto et al. (2011) o </w:t>
      </w:r>
      <w:proofErr w:type="gramStart"/>
      <w:r w:rsidRPr="00211C97">
        <w:t>resultado final</w:t>
      </w:r>
      <w:proofErr w:type="gramEnd"/>
      <w:r w:rsidRPr="00211C97">
        <w:t xml:space="preserve"> de uma RSL reflete a situação atual da área e a inovação trazida pela pesquisa ao corpo de conhecimento já existente.</w:t>
      </w:r>
    </w:p>
    <w:p w14:paraId="6AEE39AB" w14:textId="752C7495" w:rsidR="00211C97" w:rsidRDefault="00211C97" w:rsidP="00211C97">
      <w:pPr>
        <w:widowControl w:val="0"/>
        <w:spacing w:before="119" w:line="249" w:lineRule="auto"/>
        <w:ind w:left="100" w:right="98"/>
      </w:pPr>
      <w:r w:rsidRPr="00211C97">
        <w:t>De modo geral, uma RSL é uma abordagem acadêmica independente destinada a identificar e avaliar de forma abrangente toda a literatura pertinente a um tópico específico, com o propósito de chegar a conclusões sobre a questão em análise. Entretanto existem vantagens e desvantagens no uso desse método</w:t>
      </w:r>
      <w:r w:rsidRPr="00910650">
        <w:t>.</w:t>
      </w:r>
    </w:p>
    <w:p w14:paraId="0CAFD173" w14:textId="77777777" w:rsidR="00211C97" w:rsidRDefault="00211C97" w:rsidP="00211C97">
      <w:pPr>
        <w:widowControl w:val="0"/>
        <w:spacing w:before="119" w:line="249" w:lineRule="auto"/>
        <w:ind w:left="100" w:right="98"/>
      </w:pPr>
      <w:r>
        <w:t xml:space="preserve">Segundo </w:t>
      </w:r>
      <w:proofErr w:type="spellStart"/>
      <w:r>
        <w:t>Kitchenham</w:t>
      </w:r>
      <w:proofErr w:type="spellEnd"/>
      <w:r>
        <w:t xml:space="preserve"> e </w:t>
      </w:r>
      <w:proofErr w:type="spellStart"/>
      <w:r>
        <w:t>Chaters</w:t>
      </w:r>
      <w:proofErr w:type="spellEnd"/>
      <w:r>
        <w:t xml:space="preserve"> (2007) as vantagens e desvantagens são:</w:t>
      </w:r>
    </w:p>
    <w:p w14:paraId="5002E2D9" w14:textId="102C554E" w:rsidR="00211C97" w:rsidRDefault="00211C97" w:rsidP="006936AF">
      <w:pPr>
        <w:pStyle w:val="PargrafodaLista"/>
        <w:widowControl w:val="0"/>
        <w:numPr>
          <w:ilvl w:val="0"/>
          <w:numId w:val="5"/>
        </w:numPr>
        <w:spacing w:before="119" w:line="249" w:lineRule="auto"/>
        <w:ind w:right="98"/>
      </w:pPr>
      <w:r>
        <w:lastRenderedPageBreak/>
        <w:t>Vantagens: (I) Minimiza vieses nos resultados das pesquisas; (II) Fornece informações sobre efeitos de um fenômeno em diferentes contextos e métodos empíricos; (III) Em pesquisas quantitativas, possibilita meta-análises, combinando dados para detectar efeitos reais que estudos isolados podem não revelar.</w:t>
      </w:r>
    </w:p>
    <w:p w14:paraId="1CACE9AE" w14:textId="428C860B" w:rsidR="00211C97" w:rsidRDefault="00211C97" w:rsidP="006936AF">
      <w:pPr>
        <w:pStyle w:val="PargrafodaLista"/>
        <w:widowControl w:val="0"/>
        <w:numPr>
          <w:ilvl w:val="0"/>
          <w:numId w:val="5"/>
        </w:numPr>
        <w:spacing w:before="119" w:line="249" w:lineRule="auto"/>
        <w:ind w:right="98"/>
      </w:pPr>
      <w:r>
        <w:t>Desvantagens: (I) Exige maior esforço do pesquisador que revisões convencionais; (II) O poder estatístico da meta-análise pode também expor vieses existentes.</w:t>
      </w:r>
    </w:p>
    <w:p w14:paraId="221698F3" w14:textId="5AA35A8C" w:rsidR="00211C97" w:rsidRDefault="00211C97" w:rsidP="00211C97">
      <w:pPr>
        <w:widowControl w:val="0"/>
        <w:spacing w:before="119" w:line="249" w:lineRule="auto"/>
        <w:ind w:left="100" w:right="98"/>
      </w:pPr>
      <w:r w:rsidRPr="00211C97">
        <w:t xml:space="preserve">Neste mesmo trabalho </w:t>
      </w:r>
      <w:proofErr w:type="spellStart"/>
      <w:r w:rsidRPr="00211C97">
        <w:t>Kitchenham</w:t>
      </w:r>
      <w:proofErr w:type="spellEnd"/>
      <w:r w:rsidRPr="00211C97">
        <w:t xml:space="preserve"> e </w:t>
      </w:r>
      <w:proofErr w:type="spellStart"/>
      <w:r w:rsidRPr="00211C97">
        <w:t>Chaters</w:t>
      </w:r>
      <w:proofErr w:type="spellEnd"/>
      <w:r w:rsidRPr="00211C97">
        <w:t xml:space="preserve"> (2007) apresentam características que diferenciam a RSL de uma revisão da literatura convencional por:</w:t>
      </w:r>
    </w:p>
    <w:p w14:paraId="6AE3576F" w14:textId="0C996E07" w:rsidR="00211C97" w:rsidRDefault="00211C97" w:rsidP="006936AF">
      <w:pPr>
        <w:pStyle w:val="PargrafodaLista"/>
        <w:widowControl w:val="0"/>
        <w:numPr>
          <w:ilvl w:val="0"/>
          <w:numId w:val="4"/>
        </w:numPr>
        <w:spacing w:before="119" w:line="249" w:lineRule="auto"/>
        <w:ind w:right="98"/>
      </w:pPr>
      <w:r>
        <w:t>Utilizar estratégias de busca bem definidas para localizar literatura relevante;</w:t>
      </w:r>
    </w:p>
    <w:p w14:paraId="029AD00B" w14:textId="3761C22B" w:rsidR="00211C97" w:rsidRDefault="00211C97" w:rsidP="006936AF">
      <w:pPr>
        <w:pStyle w:val="PargrafodaLista"/>
        <w:widowControl w:val="0"/>
        <w:numPr>
          <w:ilvl w:val="0"/>
          <w:numId w:val="4"/>
        </w:numPr>
        <w:spacing w:before="119" w:line="249" w:lineRule="auto"/>
        <w:ind w:right="98"/>
      </w:pPr>
      <w:r>
        <w:t>Iniciar com um protocolo que descreve a questão de pesquisa e os métodos aplicados;</w:t>
      </w:r>
    </w:p>
    <w:p w14:paraId="1A299BCB" w14:textId="33D0D674" w:rsidR="00211C97" w:rsidRDefault="00211C97" w:rsidP="006936AF">
      <w:pPr>
        <w:pStyle w:val="PargrafodaLista"/>
        <w:widowControl w:val="0"/>
        <w:numPr>
          <w:ilvl w:val="0"/>
          <w:numId w:val="4"/>
        </w:numPr>
        <w:spacing w:before="119" w:line="249" w:lineRule="auto"/>
        <w:ind w:right="98"/>
      </w:pPr>
      <w:r>
        <w:t>Registrar a estratégia de busca para avaliação de precisão e possível reprodutibilidade;</w:t>
      </w:r>
    </w:p>
    <w:p w14:paraId="4B164C81" w14:textId="794D5F32" w:rsidR="00211C97" w:rsidRDefault="00211C97" w:rsidP="006936AF">
      <w:pPr>
        <w:pStyle w:val="PargrafodaLista"/>
        <w:widowControl w:val="0"/>
        <w:numPr>
          <w:ilvl w:val="0"/>
          <w:numId w:val="4"/>
        </w:numPr>
        <w:spacing w:before="119" w:line="249" w:lineRule="auto"/>
        <w:ind w:right="98"/>
      </w:pPr>
      <w:r>
        <w:t>Adotar critérios claros de inclusão e exclusão de estudos;</w:t>
      </w:r>
    </w:p>
    <w:p w14:paraId="65CFBBA3" w14:textId="77777777" w:rsidR="006936AF" w:rsidRDefault="00211C97" w:rsidP="006936AF">
      <w:pPr>
        <w:pStyle w:val="PargrafodaLista"/>
        <w:widowControl w:val="0"/>
        <w:numPr>
          <w:ilvl w:val="0"/>
          <w:numId w:val="4"/>
        </w:numPr>
        <w:spacing w:before="119" w:line="249" w:lineRule="auto"/>
        <w:ind w:right="98"/>
      </w:pPr>
      <w:r>
        <w:t>Definir informações a extrair de cada estudo e os critérios de qualidade para avaliá-los;</w:t>
      </w:r>
    </w:p>
    <w:p w14:paraId="01BA896E" w14:textId="3726C7E7" w:rsidR="00211C97" w:rsidRDefault="00211C97" w:rsidP="006936AF">
      <w:pPr>
        <w:pStyle w:val="PargrafodaLista"/>
        <w:widowControl w:val="0"/>
        <w:numPr>
          <w:ilvl w:val="0"/>
          <w:numId w:val="4"/>
        </w:numPr>
        <w:spacing w:before="119" w:line="249" w:lineRule="auto"/>
        <w:ind w:right="98"/>
      </w:pPr>
      <w:r>
        <w:t>Ser pré-requisito para meta-análises quantitativas.</w:t>
      </w:r>
    </w:p>
    <w:p w14:paraId="1BB5A615" w14:textId="7C75C2D7" w:rsidR="000D75DF" w:rsidRDefault="000D75DF" w:rsidP="000D75DF">
      <w:pPr>
        <w:pStyle w:val="Ttulo2"/>
        <w:keepNext w:val="0"/>
        <w:keepLines w:val="0"/>
        <w:widowControl w:val="0"/>
        <w:numPr>
          <w:ilvl w:val="1"/>
          <w:numId w:val="1"/>
        </w:numPr>
        <w:tabs>
          <w:tab w:val="left" w:pos="570"/>
        </w:tabs>
        <w:spacing w:before="235" w:line="240" w:lineRule="auto"/>
        <w:jc w:val="both"/>
      </w:pPr>
      <w:bookmarkStart w:id="3" w:name="_Hlk207556881"/>
      <w:r>
        <w:t>Etapas da Revisão Sistemática de Literatura</w:t>
      </w:r>
    </w:p>
    <w:bookmarkEnd w:id="3"/>
    <w:p w14:paraId="22B13BF0" w14:textId="398E0C31" w:rsidR="000D75DF" w:rsidRDefault="000D75DF" w:rsidP="000D75DF">
      <w:pPr>
        <w:widowControl w:val="0"/>
        <w:spacing w:before="135" w:line="249" w:lineRule="auto"/>
        <w:ind w:left="100" w:right="98" w:firstLine="0"/>
      </w:pPr>
      <w:r w:rsidRPr="000D75DF">
        <w:t xml:space="preserve">Conforme </w:t>
      </w:r>
      <w:proofErr w:type="spellStart"/>
      <w:r w:rsidRPr="000D75DF">
        <w:t>Kitchenham</w:t>
      </w:r>
      <w:proofErr w:type="spellEnd"/>
      <w:r w:rsidRPr="000D75DF">
        <w:t xml:space="preserve"> (2004) e Ferreira (2022), a RSL é delineada em três etapas principais, conforme Figura 1:</w:t>
      </w:r>
    </w:p>
    <w:p w14:paraId="7E95ED9C" w14:textId="58C964E5" w:rsidR="000D75DF" w:rsidRDefault="000D75DF" w:rsidP="000D75DF">
      <w:pPr>
        <w:widowControl w:val="0"/>
        <w:spacing w:before="135" w:line="249" w:lineRule="auto"/>
        <w:ind w:left="100" w:right="98" w:firstLine="0"/>
      </w:pPr>
      <w:r w:rsidRPr="008E44B2">
        <w:rPr>
          <w:rFonts w:ascii="Calibri" w:eastAsia="Calibri" w:hAnsi="Calibri" w:cs="Calibri"/>
          <w:noProof/>
        </w:rPr>
        <w:drawing>
          <wp:inline distT="0" distB="0" distL="0" distR="0" wp14:anchorId="41307C55" wp14:editId="7C1EAC3B">
            <wp:extent cx="5400040" cy="1270000"/>
            <wp:effectExtent l="0" t="0" r="0" b="6350"/>
            <wp:docPr id="664040297" name="Imagem 1" descr="Interface gráfica do usuário, Texto, Aplicativo, chat ou mensagem de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40297" name="Imagem 1" descr="Interface gráfica do usuário, Texto, Aplicativo, chat ou mensagem de texto&#10;&#10;Descrição gerad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1270000"/>
                    </a:xfrm>
                    <a:prstGeom prst="rect">
                      <a:avLst/>
                    </a:prstGeom>
                    <a:noFill/>
                  </pic:spPr>
                </pic:pic>
              </a:graphicData>
            </a:graphic>
          </wp:inline>
        </w:drawing>
      </w:r>
    </w:p>
    <w:p w14:paraId="661D4F55" w14:textId="77777777" w:rsidR="00910650" w:rsidRDefault="00910650" w:rsidP="00992A8C">
      <w:pPr>
        <w:pBdr>
          <w:top w:val="nil"/>
          <w:left w:val="nil"/>
          <w:bottom w:val="nil"/>
          <w:right w:val="nil"/>
          <w:between w:val="nil"/>
        </w:pBdr>
        <w:rPr>
          <w:rFonts w:ascii="Arial" w:hAnsi="Arial" w:cs="Arial"/>
          <w:sz w:val="20"/>
          <w:szCs w:val="20"/>
        </w:rPr>
      </w:pPr>
    </w:p>
    <w:p w14:paraId="291C053F" w14:textId="5316E3AC" w:rsidR="000D75DF" w:rsidRPr="000D75DF" w:rsidRDefault="000D75DF" w:rsidP="000D75DF">
      <w:pPr>
        <w:pBdr>
          <w:top w:val="nil"/>
          <w:left w:val="nil"/>
          <w:bottom w:val="nil"/>
          <w:right w:val="nil"/>
          <w:between w:val="nil"/>
        </w:pBdr>
        <w:jc w:val="center"/>
        <w:rPr>
          <w:rFonts w:ascii="Arial" w:hAnsi="Arial" w:cs="Arial"/>
          <w:b/>
          <w:bCs/>
          <w:sz w:val="20"/>
          <w:szCs w:val="20"/>
        </w:rPr>
      </w:pPr>
      <w:r w:rsidRPr="000D75DF">
        <w:rPr>
          <w:rFonts w:ascii="Arial" w:hAnsi="Arial" w:cs="Arial"/>
          <w:b/>
          <w:bCs/>
          <w:sz w:val="20"/>
          <w:szCs w:val="20"/>
        </w:rPr>
        <w:t>Figura 1 – Etapas da RSL – Fonte: Adaptado de Ferreira (2022)</w:t>
      </w:r>
      <w:r w:rsidR="00563C45">
        <w:rPr>
          <w:rFonts w:ascii="Arial" w:hAnsi="Arial" w:cs="Arial"/>
          <w:b/>
          <w:bCs/>
          <w:sz w:val="20"/>
          <w:szCs w:val="20"/>
        </w:rPr>
        <w:t xml:space="preserve"> e </w:t>
      </w:r>
      <w:proofErr w:type="spellStart"/>
      <w:r w:rsidR="00563C45" w:rsidRPr="00563C45">
        <w:rPr>
          <w:rFonts w:ascii="Arial" w:hAnsi="Arial" w:cs="Arial"/>
          <w:b/>
          <w:bCs/>
          <w:sz w:val="20"/>
          <w:szCs w:val="20"/>
        </w:rPr>
        <w:t>Kitchenham</w:t>
      </w:r>
      <w:proofErr w:type="spellEnd"/>
      <w:r w:rsidR="00563C45" w:rsidRPr="00563C45">
        <w:rPr>
          <w:rFonts w:ascii="Arial" w:hAnsi="Arial" w:cs="Arial"/>
          <w:b/>
          <w:bCs/>
          <w:sz w:val="20"/>
          <w:szCs w:val="20"/>
        </w:rPr>
        <w:t xml:space="preserve"> (2004)</w:t>
      </w:r>
    </w:p>
    <w:p w14:paraId="01AE0A95" w14:textId="77777777" w:rsidR="000D75DF" w:rsidRDefault="000D75DF" w:rsidP="000D75DF">
      <w:pPr>
        <w:widowControl w:val="0"/>
        <w:spacing w:before="119" w:line="249" w:lineRule="auto"/>
        <w:ind w:left="100" w:right="98"/>
      </w:pPr>
      <w:r w:rsidRPr="000D75DF">
        <w:t>(1) Planejamento da Revisão: corresponde a elaboração de um protocolo que especifica o plano a ser seguido; (2) Condução da Revisão: refere-se à aplicação da etapa 1 na seleção dos estudos; (3) Análise dos Resultados: consiste na análise das evidências obtidas a partir da aplicação da etapa 2, com objetivo de responder as questões do estudo.</w:t>
      </w:r>
    </w:p>
    <w:p w14:paraId="39B9927E" w14:textId="653DB680" w:rsidR="000D75DF" w:rsidRDefault="000D75DF" w:rsidP="00EC50DC">
      <w:pPr>
        <w:pStyle w:val="Ttulo2"/>
        <w:keepNext w:val="0"/>
        <w:keepLines w:val="0"/>
        <w:widowControl w:val="0"/>
        <w:numPr>
          <w:ilvl w:val="2"/>
          <w:numId w:val="10"/>
        </w:numPr>
        <w:tabs>
          <w:tab w:val="left" w:pos="570"/>
        </w:tabs>
        <w:spacing w:before="235" w:line="240" w:lineRule="auto"/>
        <w:jc w:val="both"/>
      </w:pPr>
      <w:r>
        <w:t>Planejamento da Revisão</w:t>
      </w:r>
    </w:p>
    <w:p w14:paraId="45096773" w14:textId="3D2C40F3" w:rsidR="00EC50DC" w:rsidRDefault="00EC50DC" w:rsidP="00C61A06">
      <w:pPr>
        <w:widowControl w:val="0"/>
        <w:spacing w:before="135" w:line="249" w:lineRule="auto"/>
        <w:ind w:right="98" w:firstLine="0"/>
      </w:pPr>
      <w:r w:rsidRPr="00EC50DC">
        <w:t xml:space="preserve">Nesta etapa, elabora-se um protocolo que define os propósitos da revisão e a metodologia adotada. Inicialmente, delimita-se o tema central com base na questão de pesquisa (DRESCH </w:t>
      </w:r>
      <w:r w:rsidRPr="00951087">
        <w:rPr>
          <w:i/>
          <w:iCs/>
        </w:rPr>
        <w:t>et al</w:t>
      </w:r>
      <w:r w:rsidRPr="00EC50DC">
        <w:t xml:space="preserve">., 2015). Em seguida, estabelecem-se os termos de busca (palavras-chave, sinônimos e expressões similares), combinados por operadores booleanos para formar as strings. O protocolo deve indicar as fontes (bibliotecas digitais, periódicos, anais, entre outras) e </w:t>
      </w:r>
      <w:r w:rsidRPr="00EC50DC">
        <w:lastRenderedPageBreak/>
        <w:t>explicitar critérios de inclusão, exclusão e qualidade, bem como a posição em que os termos serão buscados (título, resumo, palavras-chave etc.).</w:t>
      </w:r>
    </w:p>
    <w:p w14:paraId="1C7EAD3D" w14:textId="5BFE7E0B" w:rsidR="00C42785" w:rsidRDefault="00EC50DC" w:rsidP="00EC50DC">
      <w:pPr>
        <w:widowControl w:val="0"/>
        <w:spacing w:before="119" w:line="249" w:lineRule="auto"/>
        <w:ind w:left="100" w:right="98"/>
      </w:pPr>
      <w:r>
        <w:t>Nesta pesquisa, o protocolo visa investigar a literatura sobre MI, identificando estudos que desenvolveram ou aprimoraram modelos (quadros, métodos, estruturas e abordagens) e seus resultados. Também busca verificar a aplicação de PSM nesse processo, avaliando os impactos da integração na resolução de problemas organizacionais complexos</w:t>
      </w:r>
      <w:r w:rsidR="00C42785">
        <w:t xml:space="preserve">, conforme questões da pesquisa definidas na seção 1. </w:t>
      </w:r>
      <w:r w:rsidR="00C42785" w:rsidRPr="00C42785">
        <w:t xml:space="preserve">Para tanto, foram </w:t>
      </w:r>
      <w:proofErr w:type="gramStart"/>
      <w:r w:rsidR="00C42785" w:rsidRPr="00C42785">
        <w:t>definidos</w:t>
      </w:r>
      <w:proofErr w:type="gramEnd"/>
      <w:r w:rsidR="0046620F">
        <w:t xml:space="preserve"> duas questões da pesquisa conforme descrito na seção 1 e</w:t>
      </w:r>
      <w:r w:rsidR="00C42785" w:rsidRPr="00C42785">
        <w:t xml:space="preserve"> três objetivos principais: (i) realizar uma revisão sistemática da literatura entre 2000 e 2025, considerando artigos científicos revisados por pares; (</w:t>
      </w:r>
      <w:proofErr w:type="spellStart"/>
      <w:r w:rsidR="00C42785" w:rsidRPr="00C42785">
        <w:t>ii</w:t>
      </w:r>
      <w:proofErr w:type="spellEnd"/>
      <w:r w:rsidR="00C42785" w:rsidRPr="00C42785">
        <w:t>) identificar modelos de MI aplicados e validados empiricamente; e (</w:t>
      </w:r>
      <w:proofErr w:type="spellStart"/>
      <w:r w:rsidR="00C42785" w:rsidRPr="00C42785">
        <w:t>iii</w:t>
      </w:r>
      <w:proofErr w:type="spellEnd"/>
      <w:r w:rsidR="00C42785" w:rsidRPr="00C42785">
        <w:t xml:space="preserve">) examinar a aplicação de PSM na modelagem de MI.  </w:t>
      </w:r>
    </w:p>
    <w:p w14:paraId="0A841613" w14:textId="77777777" w:rsidR="00EC50DC" w:rsidRDefault="00EC50DC" w:rsidP="00EC50DC">
      <w:pPr>
        <w:widowControl w:val="0"/>
        <w:spacing w:before="119" w:line="249" w:lineRule="auto"/>
        <w:ind w:left="100" w:right="98"/>
      </w:pPr>
      <w:r>
        <w:t>As consultas foram realizadas na base Scopus, escolhida por ser o maior banco de dados científico revisado por pares, garantindo maior rigor e qualidade dos artigos (NEWBERT, 2007).</w:t>
      </w:r>
    </w:p>
    <w:p w14:paraId="03D04196" w14:textId="084F8BE1" w:rsidR="00EC50DC" w:rsidRDefault="00EC50DC" w:rsidP="00EC50DC">
      <w:pPr>
        <w:widowControl w:val="0"/>
        <w:spacing w:before="119" w:line="249" w:lineRule="auto"/>
        <w:ind w:left="100" w:right="98"/>
      </w:pPr>
      <w:r>
        <w:t xml:space="preserve">A definição das palavras-chave ocorreu </w:t>
      </w:r>
      <w:r w:rsidRPr="00C27E32">
        <w:t xml:space="preserve">por meio de </w:t>
      </w:r>
      <w:r w:rsidRPr="00C27E32">
        <w:rPr>
          <w:i/>
          <w:iCs/>
        </w:rPr>
        <w:t>brainstorming,</w:t>
      </w:r>
      <w:r w:rsidRPr="00C27E32">
        <w:t xml:space="preserve"> apoiado</w:t>
      </w:r>
      <w:r>
        <w:t xml:space="preserve"> na literatura e em profissionais da área, possibilitando a seleção dos termos mais relevantes para o campo estudado. Esse processo serviu como linha de base para a compreensão dos conceitos envolvidos e para a construção teórica (YIN, 2015). As palavras-chave foram então combinadas com operadores booleanos para formar </w:t>
      </w:r>
      <w:r w:rsidRPr="00C27E32">
        <w:rPr>
          <w:i/>
          <w:iCs/>
        </w:rPr>
        <w:t>strings</w:t>
      </w:r>
      <w:r>
        <w:t xml:space="preserve"> de busca, evitando resultados excessivamente genéricos. As combinações foram testadas e refinadas até se obter um conjunto consistente de termos (FERREIRA, 2022). As </w:t>
      </w:r>
      <w:r w:rsidRPr="00C27E32">
        <w:rPr>
          <w:i/>
          <w:iCs/>
        </w:rPr>
        <w:t>strings</w:t>
      </w:r>
      <w:r>
        <w:t xml:space="preserve"> finais podem ser verificadas nas Figuras 2, 3, 4 e 5.</w:t>
      </w:r>
    </w:p>
    <w:p w14:paraId="12A3D21D" w14:textId="08DD7575" w:rsidR="00992A8C" w:rsidRDefault="009A335C" w:rsidP="002B3CCF">
      <w:r>
        <w:rPr>
          <w:noProof/>
        </w:rPr>
        <w:drawing>
          <wp:anchor distT="0" distB="0" distL="114300" distR="114300" simplePos="0" relativeHeight="251659264" behindDoc="0" locked="0" layoutInCell="1" allowOverlap="1" wp14:anchorId="2A2D09FF" wp14:editId="0DEBEC83">
            <wp:simplePos x="0" y="0"/>
            <wp:positionH relativeFrom="column">
              <wp:posOffset>158750</wp:posOffset>
            </wp:positionH>
            <wp:positionV relativeFrom="paragraph">
              <wp:posOffset>210185</wp:posOffset>
            </wp:positionV>
            <wp:extent cx="5383530" cy="1231265"/>
            <wp:effectExtent l="0" t="0" r="7620" b="6985"/>
            <wp:wrapNone/>
            <wp:docPr id="87643589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3530" cy="1231265"/>
                    </a:xfrm>
                    <a:prstGeom prst="rect">
                      <a:avLst/>
                    </a:prstGeom>
                    <a:noFill/>
                  </pic:spPr>
                </pic:pic>
              </a:graphicData>
            </a:graphic>
          </wp:anchor>
        </w:drawing>
      </w:r>
    </w:p>
    <w:p w14:paraId="3B33D381" w14:textId="77777777" w:rsidR="009A335C" w:rsidRDefault="009A335C" w:rsidP="002B3CCF"/>
    <w:p w14:paraId="7BE21680" w14:textId="77777777" w:rsidR="009A335C" w:rsidRDefault="009A335C" w:rsidP="002B3CCF"/>
    <w:p w14:paraId="54E3CD58" w14:textId="77777777" w:rsidR="009A335C" w:rsidRDefault="009A335C" w:rsidP="002B3CCF"/>
    <w:p w14:paraId="1B0C1B47" w14:textId="77777777" w:rsidR="009A335C" w:rsidRDefault="009A335C" w:rsidP="002B3CCF"/>
    <w:p w14:paraId="246A7A80" w14:textId="23C83259" w:rsidR="009A335C" w:rsidRPr="000D75DF" w:rsidRDefault="009A335C" w:rsidP="009A335C">
      <w:pPr>
        <w:pBdr>
          <w:top w:val="nil"/>
          <w:left w:val="nil"/>
          <w:bottom w:val="nil"/>
          <w:right w:val="nil"/>
          <w:between w:val="nil"/>
        </w:pBdr>
        <w:jc w:val="center"/>
        <w:rPr>
          <w:rFonts w:ascii="Arial" w:hAnsi="Arial" w:cs="Arial"/>
          <w:b/>
          <w:bCs/>
          <w:sz w:val="20"/>
          <w:szCs w:val="20"/>
        </w:rPr>
      </w:pPr>
      <w:r w:rsidRPr="009A335C">
        <w:rPr>
          <w:rFonts w:ascii="Arial" w:hAnsi="Arial" w:cs="Arial"/>
          <w:b/>
          <w:bCs/>
          <w:sz w:val="20"/>
          <w:szCs w:val="20"/>
        </w:rPr>
        <w:t xml:space="preserve">Figura 2 – </w:t>
      </w:r>
      <w:r w:rsidRPr="00C27E32">
        <w:rPr>
          <w:rFonts w:ascii="Arial" w:hAnsi="Arial" w:cs="Arial"/>
          <w:b/>
          <w:bCs/>
          <w:i/>
          <w:iCs/>
          <w:sz w:val="20"/>
          <w:szCs w:val="20"/>
        </w:rPr>
        <w:t xml:space="preserve">String </w:t>
      </w:r>
      <w:r w:rsidRPr="009A335C">
        <w:rPr>
          <w:rFonts w:ascii="Arial" w:hAnsi="Arial" w:cs="Arial"/>
          <w:b/>
          <w:bCs/>
          <w:sz w:val="20"/>
          <w:szCs w:val="20"/>
        </w:rPr>
        <w:t>1 para identificação de artigos de MI</w:t>
      </w:r>
    </w:p>
    <w:p w14:paraId="6EB8742F" w14:textId="77777777" w:rsidR="00992A8C" w:rsidRPr="002B3CCF" w:rsidRDefault="00992A8C" w:rsidP="002B3CCF"/>
    <w:p w14:paraId="427DFEB7" w14:textId="77777777" w:rsidR="00D3784F" w:rsidRDefault="00D3784F" w:rsidP="00D3784F">
      <w:pPr>
        <w:widowControl w:val="0"/>
        <w:spacing w:before="119" w:line="249" w:lineRule="auto"/>
        <w:ind w:left="100" w:right="98"/>
      </w:pPr>
    </w:p>
    <w:p w14:paraId="07913586" w14:textId="001E4D4F" w:rsidR="009A335C" w:rsidRDefault="009A335C" w:rsidP="00D3784F">
      <w:pPr>
        <w:widowControl w:val="0"/>
        <w:spacing w:before="119" w:line="249" w:lineRule="auto"/>
        <w:ind w:left="100" w:right="98"/>
      </w:pPr>
      <w:r>
        <w:rPr>
          <w:noProof/>
        </w:rPr>
        <w:drawing>
          <wp:anchor distT="0" distB="0" distL="114300" distR="114300" simplePos="0" relativeHeight="251660288" behindDoc="0" locked="0" layoutInCell="1" allowOverlap="1" wp14:anchorId="32DD75F2" wp14:editId="2A0D4E10">
            <wp:simplePos x="0" y="0"/>
            <wp:positionH relativeFrom="column">
              <wp:posOffset>234950</wp:posOffset>
            </wp:positionH>
            <wp:positionV relativeFrom="paragraph">
              <wp:posOffset>73025</wp:posOffset>
            </wp:positionV>
            <wp:extent cx="5358765" cy="1225550"/>
            <wp:effectExtent l="0" t="0" r="0" b="0"/>
            <wp:wrapNone/>
            <wp:docPr id="36144398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8765" cy="1225550"/>
                    </a:xfrm>
                    <a:prstGeom prst="rect">
                      <a:avLst/>
                    </a:prstGeom>
                    <a:noFill/>
                  </pic:spPr>
                </pic:pic>
              </a:graphicData>
            </a:graphic>
          </wp:anchor>
        </w:drawing>
      </w:r>
    </w:p>
    <w:p w14:paraId="0686B5E9" w14:textId="77777777" w:rsidR="009A335C" w:rsidRDefault="009A335C" w:rsidP="00D3784F">
      <w:pPr>
        <w:widowControl w:val="0"/>
        <w:spacing w:before="119" w:line="249" w:lineRule="auto"/>
        <w:ind w:left="100" w:right="98"/>
      </w:pPr>
    </w:p>
    <w:p w14:paraId="2B2B7A74" w14:textId="77777777" w:rsidR="009A335C" w:rsidRDefault="009A335C" w:rsidP="00D3784F">
      <w:pPr>
        <w:widowControl w:val="0"/>
        <w:spacing w:before="119" w:line="249" w:lineRule="auto"/>
        <w:ind w:left="100" w:right="98"/>
      </w:pPr>
    </w:p>
    <w:p w14:paraId="72D1CE22" w14:textId="77777777" w:rsidR="009A335C" w:rsidRDefault="009A335C" w:rsidP="00D3784F">
      <w:pPr>
        <w:widowControl w:val="0"/>
        <w:spacing w:before="119" w:line="249" w:lineRule="auto"/>
        <w:ind w:left="100" w:right="98"/>
      </w:pPr>
    </w:p>
    <w:p w14:paraId="5CD95D8F" w14:textId="77777777" w:rsidR="009A335C" w:rsidRDefault="009A335C" w:rsidP="00D3784F">
      <w:pPr>
        <w:widowControl w:val="0"/>
        <w:spacing w:before="119" w:line="249" w:lineRule="auto"/>
        <w:ind w:left="100" w:right="98"/>
      </w:pPr>
    </w:p>
    <w:p w14:paraId="506AA7D4" w14:textId="77777777" w:rsidR="009A335C" w:rsidRDefault="009A335C" w:rsidP="00D3784F">
      <w:pPr>
        <w:widowControl w:val="0"/>
        <w:spacing w:before="119" w:line="249" w:lineRule="auto"/>
        <w:ind w:left="100" w:right="98"/>
      </w:pPr>
    </w:p>
    <w:p w14:paraId="17827E55" w14:textId="7A8F50D3" w:rsidR="009A335C" w:rsidRDefault="009A335C" w:rsidP="009A335C">
      <w:pPr>
        <w:widowControl w:val="0"/>
        <w:spacing w:before="119" w:line="249" w:lineRule="auto"/>
        <w:ind w:left="100" w:right="98"/>
        <w:jc w:val="center"/>
      </w:pPr>
      <w:r w:rsidRPr="009A335C">
        <w:rPr>
          <w:rFonts w:ascii="Arial" w:hAnsi="Arial" w:cs="Arial"/>
          <w:b/>
          <w:bCs/>
          <w:sz w:val="20"/>
          <w:szCs w:val="20"/>
        </w:rPr>
        <w:t xml:space="preserve">Figura 3 – </w:t>
      </w:r>
      <w:r w:rsidRPr="00C27E32">
        <w:rPr>
          <w:rFonts w:ascii="Arial" w:hAnsi="Arial" w:cs="Arial"/>
          <w:b/>
          <w:bCs/>
          <w:i/>
          <w:iCs/>
          <w:sz w:val="20"/>
          <w:szCs w:val="20"/>
        </w:rPr>
        <w:t>String</w:t>
      </w:r>
      <w:r w:rsidRPr="009A335C">
        <w:rPr>
          <w:rFonts w:ascii="Arial" w:hAnsi="Arial" w:cs="Arial"/>
          <w:b/>
          <w:bCs/>
          <w:sz w:val="20"/>
          <w:szCs w:val="20"/>
        </w:rPr>
        <w:t xml:space="preserve"> 2 para identificação de modelos de MI</w:t>
      </w:r>
    </w:p>
    <w:p w14:paraId="09814694" w14:textId="77777777" w:rsidR="009A335C" w:rsidRDefault="009A335C" w:rsidP="00D3784F">
      <w:pPr>
        <w:widowControl w:val="0"/>
        <w:spacing w:before="119" w:line="249" w:lineRule="auto"/>
        <w:ind w:left="100" w:right="98"/>
      </w:pPr>
    </w:p>
    <w:p w14:paraId="217907AB" w14:textId="2170AC04" w:rsidR="009A335C" w:rsidRDefault="00B75674" w:rsidP="00D3784F">
      <w:pPr>
        <w:widowControl w:val="0"/>
        <w:spacing w:before="119" w:line="249" w:lineRule="auto"/>
        <w:ind w:left="100" w:right="98"/>
      </w:pPr>
      <w:r>
        <w:rPr>
          <w:rFonts w:ascii="Arial" w:hAnsi="Arial" w:cs="Arial"/>
          <w:noProof/>
          <w:sz w:val="20"/>
          <w:szCs w:val="20"/>
        </w:rPr>
        <w:drawing>
          <wp:anchor distT="0" distB="0" distL="114300" distR="114300" simplePos="0" relativeHeight="251661312" behindDoc="0" locked="0" layoutInCell="1" allowOverlap="1" wp14:anchorId="7A83C9AD" wp14:editId="22F8762C">
            <wp:simplePos x="0" y="0"/>
            <wp:positionH relativeFrom="column">
              <wp:posOffset>366381</wp:posOffset>
            </wp:positionH>
            <wp:positionV relativeFrom="paragraph">
              <wp:posOffset>76200</wp:posOffset>
            </wp:positionV>
            <wp:extent cx="5228106" cy="1198422"/>
            <wp:effectExtent l="0" t="0" r="0" b="1905"/>
            <wp:wrapNone/>
            <wp:docPr id="732853928" name="Imagem 9" descr="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53928" name="Imagem 9" descr="Interface gráfica do usuário&#10;&#10;O conteúdo gerado por IA pode estar incorre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28106" cy="1198422"/>
                    </a:xfrm>
                    <a:prstGeom prst="rect">
                      <a:avLst/>
                    </a:prstGeom>
                    <a:noFill/>
                  </pic:spPr>
                </pic:pic>
              </a:graphicData>
            </a:graphic>
          </wp:anchor>
        </w:drawing>
      </w:r>
    </w:p>
    <w:p w14:paraId="656E54B2" w14:textId="77777777" w:rsidR="002B3CCF" w:rsidRDefault="002B3CCF" w:rsidP="00D3784F">
      <w:pPr>
        <w:widowControl w:val="0"/>
        <w:spacing w:before="119" w:line="249" w:lineRule="auto"/>
        <w:ind w:left="100" w:right="98"/>
      </w:pPr>
    </w:p>
    <w:p w14:paraId="78FBDDB0" w14:textId="77777777" w:rsidR="00407F8E" w:rsidRDefault="00407F8E">
      <w:pPr>
        <w:widowControl w:val="0"/>
        <w:spacing w:before="4" w:line="240" w:lineRule="auto"/>
        <w:ind w:firstLine="0"/>
        <w:jc w:val="left"/>
      </w:pPr>
    </w:p>
    <w:p w14:paraId="09A5A465" w14:textId="77777777" w:rsidR="00B75674" w:rsidRDefault="00B75674">
      <w:pPr>
        <w:widowControl w:val="0"/>
        <w:spacing w:before="4" w:line="240" w:lineRule="auto"/>
        <w:ind w:firstLine="0"/>
        <w:jc w:val="left"/>
      </w:pPr>
    </w:p>
    <w:p w14:paraId="5251A00C" w14:textId="77777777" w:rsidR="00B75674" w:rsidRDefault="00B75674">
      <w:pPr>
        <w:widowControl w:val="0"/>
        <w:spacing w:before="4" w:line="240" w:lineRule="auto"/>
        <w:ind w:firstLine="0"/>
        <w:jc w:val="left"/>
      </w:pPr>
    </w:p>
    <w:p w14:paraId="618C20D6" w14:textId="77777777" w:rsidR="00B75674" w:rsidRDefault="00B75674">
      <w:pPr>
        <w:widowControl w:val="0"/>
        <w:spacing w:before="4" w:line="240" w:lineRule="auto"/>
        <w:ind w:firstLine="0"/>
        <w:jc w:val="left"/>
      </w:pPr>
    </w:p>
    <w:p w14:paraId="111B17DF" w14:textId="77777777" w:rsidR="00B75674" w:rsidRDefault="00B75674">
      <w:pPr>
        <w:widowControl w:val="0"/>
        <w:spacing w:before="4" w:line="240" w:lineRule="auto"/>
        <w:ind w:firstLine="0"/>
        <w:jc w:val="left"/>
      </w:pPr>
    </w:p>
    <w:p w14:paraId="6BFEB1C9" w14:textId="77777777" w:rsidR="00B75674" w:rsidRDefault="00B75674">
      <w:pPr>
        <w:widowControl w:val="0"/>
        <w:spacing w:before="4" w:line="240" w:lineRule="auto"/>
        <w:ind w:firstLine="0"/>
        <w:jc w:val="left"/>
      </w:pPr>
    </w:p>
    <w:p w14:paraId="21BBF051" w14:textId="46126F17" w:rsidR="00B75674" w:rsidRDefault="00B75674" w:rsidP="00B75674">
      <w:pPr>
        <w:widowControl w:val="0"/>
        <w:spacing w:before="119" w:line="249" w:lineRule="auto"/>
        <w:ind w:left="100" w:right="98"/>
        <w:jc w:val="center"/>
      </w:pPr>
      <w:r w:rsidRPr="009A335C">
        <w:rPr>
          <w:rFonts w:ascii="Arial" w:hAnsi="Arial" w:cs="Arial"/>
          <w:b/>
          <w:bCs/>
          <w:sz w:val="20"/>
          <w:szCs w:val="20"/>
        </w:rPr>
        <w:t xml:space="preserve">Figura </w:t>
      </w:r>
      <w:r>
        <w:rPr>
          <w:rFonts w:ascii="Arial" w:hAnsi="Arial" w:cs="Arial"/>
          <w:b/>
          <w:bCs/>
          <w:sz w:val="20"/>
          <w:szCs w:val="20"/>
        </w:rPr>
        <w:t>4</w:t>
      </w:r>
      <w:r w:rsidRPr="009A335C">
        <w:rPr>
          <w:rFonts w:ascii="Arial" w:hAnsi="Arial" w:cs="Arial"/>
          <w:b/>
          <w:bCs/>
          <w:sz w:val="20"/>
          <w:szCs w:val="20"/>
        </w:rPr>
        <w:t xml:space="preserve"> – </w:t>
      </w:r>
      <w:r w:rsidRPr="00C27E32">
        <w:rPr>
          <w:rFonts w:ascii="Arial" w:hAnsi="Arial" w:cs="Arial"/>
          <w:b/>
          <w:bCs/>
          <w:i/>
          <w:iCs/>
          <w:sz w:val="20"/>
          <w:szCs w:val="20"/>
        </w:rPr>
        <w:t>String</w:t>
      </w:r>
      <w:r w:rsidRPr="009A335C">
        <w:rPr>
          <w:rFonts w:ascii="Arial" w:hAnsi="Arial" w:cs="Arial"/>
          <w:b/>
          <w:bCs/>
          <w:sz w:val="20"/>
          <w:szCs w:val="20"/>
        </w:rPr>
        <w:t xml:space="preserve"> </w:t>
      </w:r>
      <w:r>
        <w:rPr>
          <w:rFonts w:ascii="Arial" w:hAnsi="Arial" w:cs="Arial"/>
          <w:b/>
          <w:bCs/>
          <w:sz w:val="20"/>
          <w:szCs w:val="20"/>
        </w:rPr>
        <w:t>3</w:t>
      </w:r>
      <w:r w:rsidRPr="009A335C">
        <w:rPr>
          <w:rFonts w:ascii="Arial" w:hAnsi="Arial" w:cs="Arial"/>
          <w:b/>
          <w:bCs/>
          <w:sz w:val="20"/>
          <w:szCs w:val="20"/>
        </w:rPr>
        <w:t xml:space="preserve"> para identificação </w:t>
      </w:r>
      <w:r w:rsidR="00071E73">
        <w:rPr>
          <w:rFonts w:ascii="Arial" w:hAnsi="Arial" w:cs="Arial"/>
          <w:b/>
          <w:bCs/>
          <w:sz w:val="20"/>
          <w:szCs w:val="20"/>
        </w:rPr>
        <w:t>de estudos de caso ou empíricos</w:t>
      </w:r>
    </w:p>
    <w:p w14:paraId="3FDABCAA" w14:textId="77777777" w:rsidR="00B75674" w:rsidRDefault="00B75674">
      <w:pPr>
        <w:widowControl w:val="0"/>
        <w:spacing w:before="4" w:line="240" w:lineRule="auto"/>
        <w:ind w:firstLine="0"/>
        <w:jc w:val="left"/>
      </w:pPr>
    </w:p>
    <w:p w14:paraId="0D5891D5" w14:textId="0EDEA4A0" w:rsidR="00B75674" w:rsidRDefault="00071E73">
      <w:pPr>
        <w:widowControl w:val="0"/>
        <w:spacing w:before="4" w:line="240" w:lineRule="auto"/>
        <w:ind w:firstLine="0"/>
        <w:jc w:val="left"/>
      </w:pPr>
      <w:r>
        <w:rPr>
          <w:noProof/>
        </w:rPr>
        <w:drawing>
          <wp:anchor distT="0" distB="0" distL="114300" distR="114300" simplePos="0" relativeHeight="251662336" behindDoc="0" locked="0" layoutInCell="1" allowOverlap="1" wp14:anchorId="6900116C" wp14:editId="6384CF45">
            <wp:simplePos x="0" y="0"/>
            <wp:positionH relativeFrom="column">
              <wp:posOffset>280035</wp:posOffset>
            </wp:positionH>
            <wp:positionV relativeFrom="paragraph">
              <wp:posOffset>115570</wp:posOffset>
            </wp:positionV>
            <wp:extent cx="5316220" cy="3060700"/>
            <wp:effectExtent l="0" t="0" r="0" b="6350"/>
            <wp:wrapNone/>
            <wp:docPr id="1771465139"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6220" cy="3060700"/>
                    </a:xfrm>
                    <a:prstGeom prst="rect">
                      <a:avLst/>
                    </a:prstGeom>
                    <a:noFill/>
                  </pic:spPr>
                </pic:pic>
              </a:graphicData>
            </a:graphic>
          </wp:anchor>
        </w:drawing>
      </w:r>
    </w:p>
    <w:p w14:paraId="286AAB57" w14:textId="55C2735B" w:rsidR="00B75674" w:rsidRDefault="00B75674">
      <w:pPr>
        <w:widowControl w:val="0"/>
        <w:spacing w:before="4" w:line="240" w:lineRule="auto"/>
        <w:ind w:firstLine="0"/>
        <w:jc w:val="left"/>
      </w:pPr>
    </w:p>
    <w:p w14:paraId="5C1142C4" w14:textId="4D0689BB" w:rsidR="00B75674" w:rsidRDefault="00B75674">
      <w:pPr>
        <w:widowControl w:val="0"/>
        <w:spacing w:before="4" w:line="240" w:lineRule="auto"/>
        <w:ind w:firstLine="0"/>
        <w:jc w:val="left"/>
      </w:pPr>
    </w:p>
    <w:p w14:paraId="05584532" w14:textId="77777777" w:rsidR="00B75674" w:rsidRDefault="00B75674">
      <w:pPr>
        <w:widowControl w:val="0"/>
        <w:spacing w:before="4" w:line="240" w:lineRule="auto"/>
        <w:ind w:firstLine="0"/>
        <w:jc w:val="left"/>
      </w:pPr>
    </w:p>
    <w:p w14:paraId="48008AC3" w14:textId="77777777" w:rsidR="00B75674" w:rsidRDefault="00B75674">
      <w:pPr>
        <w:widowControl w:val="0"/>
        <w:spacing w:before="4" w:line="240" w:lineRule="auto"/>
        <w:ind w:firstLine="0"/>
        <w:jc w:val="left"/>
      </w:pPr>
    </w:p>
    <w:p w14:paraId="19D1C6C2" w14:textId="77777777" w:rsidR="00B75674" w:rsidRDefault="00B75674">
      <w:pPr>
        <w:widowControl w:val="0"/>
        <w:spacing w:before="4" w:line="240" w:lineRule="auto"/>
        <w:ind w:firstLine="0"/>
        <w:jc w:val="left"/>
      </w:pPr>
    </w:p>
    <w:p w14:paraId="101BD42A" w14:textId="77777777" w:rsidR="00B75674" w:rsidRDefault="00B75674">
      <w:pPr>
        <w:widowControl w:val="0"/>
        <w:spacing w:before="4" w:line="240" w:lineRule="auto"/>
        <w:ind w:firstLine="0"/>
        <w:jc w:val="left"/>
      </w:pPr>
    </w:p>
    <w:p w14:paraId="1F3222B5" w14:textId="77777777" w:rsidR="00B75674" w:rsidRDefault="00B75674">
      <w:pPr>
        <w:widowControl w:val="0"/>
        <w:spacing w:before="4" w:line="240" w:lineRule="auto"/>
        <w:ind w:firstLine="0"/>
        <w:jc w:val="left"/>
      </w:pPr>
    </w:p>
    <w:p w14:paraId="40C92871" w14:textId="77777777" w:rsidR="00B75674" w:rsidRDefault="00B75674">
      <w:pPr>
        <w:widowControl w:val="0"/>
        <w:spacing w:before="4" w:line="240" w:lineRule="auto"/>
        <w:ind w:firstLine="0"/>
        <w:jc w:val="left"/>
      </w:pPr>
    </w:p>
    <w:p w14:paraId="1A9BDBD2" w14:textId="77777777" w:rsidR="00B75674" w:rsidRDefault="00B75674">
      <w:pPr>
        <w:widowControl w:val="0"/>
        <w:spacing w:before="4" w:line="240" w:lineRule="auto"/>
        <w:ind w:firstLine="0"/>
        <w:jc w:val="left"/>
      </w:pPr>
    </w:p>
    <w:p w14:paraId="63666893" w14:textId="77777777" w:rsidR="00B75674" w:rsidRDefault="00B75674">
      <w:pPr>
        <w:widowControl w:val="0"/>
        <w:spacing w:before="4" w:line="240" w:lineRule="auto"/>
        <w:ind w:firstLine="0"/>
        <w:jc w:val="left"/>
      </w:pPr>
    </w:p>
    <w:p w14:paraId="67598784" w14:textId="77777777" w:rsidR="00B75674" w:rsidRDefault="00B75674">
      <w:pPr>
        <w:widowControl w:val="0"/>
        <w:spacing w:before="4" w:line="240" w:lineRule="auto"/>
        <w:ind w:firstLine="0"/>
        <w:jc w:val="left"/>
      </w:pPr>
    </w:p>
    <w:p w14:paraId="4554B43F" w14:textId="77777777" w:rsidR="00B75674" w:rsidRDefault="00B75674">
      <w:pPr>
        <w:widowControl w:val="0"/>
        <w:spacing w:before="4" w:line="240" w:lineRule="auto"/>
        <w:ind w:firstLine="0"/>
        <w:jc w:val="left"/>
      </w:pPr>
    </w:p>
    <w:p w14:paraId="03E27B6C" w14:textId="77777777" w:rsidR="00B75674" w:rsidRDefault="00B75674">
      <w:pPr>
        <w:widowControl w:val="0"/>
        <w:spacing w:before="4" w:line="240" w:lineRule="auto"/>
        <w:ind w:firstLine="0"/>
        <w:jc w:val="left"/>
      </w:pPr>
    </w:p>
    <w:p w14:paraId="435E159A" w14:textId="77777777" w:rsidR="00B75674" w:rsidRDefault="00B75674">
      <w:pPr>
        <w:widowControl w:val="0"/>
        <w:spacing w:before="4" w:line="240" w:lineRule="auto"/>
        <w:ind w:firstLine="0"/>
        <w:jc w:val="left"/>
      </w:pPr>
    </w:p>
    <w:p w14:paraId="518089CB" w14:textId="77777777" w:rsidR="00B75674" w:rsidRDefault="00B75674">
      <w:pPr>
        <w:widowControl w:val="0"/>
        <w:spacing w:before="4" w:line="240" w:lineRule="auto"/>
        <w:ind w:firstLine="0"/>
        <w:jc w:val="left"/>
      </w:pPr>
    </w:p>
    <w:p w14:paraId="036B88AA" w14:textId="77777777" w:rsidR="00B75674" w:rsidRDefault="00B75674">
      <w:pPr>
        <w:widowControl w:val="0"/>
        <w:spacing w:before="4" w:line="240" w:lineRule="auto"/>
        <w:ind w:firstLine="0"/>
        <w:jc w:val="left"/>
      </w:pPr>
    </w:p>
    <w:p w14:paraId="2C867B55" w14:textId="77777777" w:rsidR="00B75674" w:rsidRDefault="00B75674">
      <w:pPr>
        <w:widowControl w:val="0"/>
        <w:spacing w:before="4" w:line="240" w:lineRule="auto"/>
        <w:ind w:firstLine="0"/>
        <w:jc w:val="left"/>
      </w:pPr>
    </w:p>
    <w:p w14:paraId="432EB4BD" w14:textId="77777777" w:rsidR="00B75674" w:rsidRDefault="00B75674">
      <w:pPr>
        <w:widowControl w:val="0"/>
        <w:spacing w:before="4" w:line="240" w:lineRule="auto"/>
        <w:ind w:firstLine="0"/>
        <w:jc w:val="left"/>
      </w:pPr>
    </w:p>
    <w:p w14:paraId="1E26396A" w14:textId="52A45E06" w:rsidR="00B75674" w:rsidRPr="00071E73" w:rsidRDefault="00071E73" w:rsidP="00071E73">
      <w:pPr>
        <w:widowControl w:val="0"/>
        <w:spacing w:before="4" w:line="240" w:lineRule="auto"/>
        <w:ind w:firstLine="0"/>
        <w:jc w:val="center"/>
        <w:rPr>
          <w:rFonts w:ascii="Arial" w:hAnsi="Arial" w:cs="Arial"/>
          <w:b/>
          <w:bCs/>
          <w:sz w:val="20"/>
          <w:szCs w:val="20"/>
        </w:rPr>
      </w:pPr>
      <w:r w:rsidRPr="00071E73">
        <w:rPr>
          <w:rFonts w:ascii="Arial" w:hAnsi="Arial" w:cs="Arial"/>
          <w:b/>
          <w:bCs/>
          <w:sz w:val="20"/>
          <w:szCs w:val="20"/>
        </w:rPr>
        <w:t xml:space="preserve">Figura 5 – </w:t>
      </w:r>
      <w:r w:rsidRPr="00C27E32">
        <w:rPr>
          <w:rFonts w:ascii="Arial" w:hAnsi="Arial" w:cs="Arial"/>
          <w:b/>
          <w:bCs/>
          <w:i/>
          <w:iCs/>
          <w:sz w:val="20"/>
          <w:szCs w:val="20"/>
        </w:rPr>
        <w:t>String</w:t>
      </w:r>
      <w:r w:rsidRPr="00071E73">
        <w:rPr>
          <w:rFonts w:ascii="Arial" w:hAnsi="Arial" w:cs="Arial"/>
          <w:b/>
          <w:bCs/>
          <w:sz w:val="20"/>
          <w:szCs w:val="20"/>
        </w:rPr>
        <w:t xml:space="preserve"> 4 para identificação de artigos MI que aplicaram métodos PSM</w:t>
      </w:r>
    </w:p>
    <w:p w14:paraId="1E48F188" w14:textId="77777777" w:rsidR="00B75674" w:rsidRPr="00071E73" w:rsidRDefault="00B75674" w:rsidP="00071E73">
      <w:pPr>
        <w:widowControl w:val="0"/>
        <w:spacing w:before="4" w:line="240" w:lineRule="auto"/>
        <w:ind w:firstLine="0"/>
        <w:jc w:val="center"/>
        <w:rPr>
          <w:rFonts w:ascii="Arial" w:hAnsi="Arial" w:cs="Arial"/>
          <w:sz w:val="20"/>
          <w:szCs w:val="20"/>
        </w:rPr>
      </w:pPr>
    </w:p>
    <w:p w14:paraId="50DE5B71" w14:textId="40D6ABA0" w:rsidR="00B75674" w:rsidRDefault="00071E73" w:rsidP="00AB2C62">
      <w:pPr>
        <w:widowControl w:val="0"/>
        <w:spacing w:before="119" w:line="249" w:lineRule="auto"/>
        <w:ind w:left="100" w:right="98"/>
      </w:pPr>
      <w:r w:rsidRPr="00071E73">
        <w:t xml:space="preserve">O processo de construção das </w:t>
      </w:r>
      <w:r w:rsidRPr="00C27E32">
        <w:rPr>
          <w:i/>
          <w:iCs/>
        </w:rPr>
        <w:t>strings</w:t>
      </w:r>
      <w:r w:rsidRPr="00071E73">
        <w:t xml:space="preserve"> desenvolvidas nas Figuras 2 a 5 buscou identificar palavras-chave essenciais, como "</w:t>
      </w:r>
      <w:r w:rsidRPr="00C27E32">
        <w:rPr>
          <w:i/>
          <w:iCs/>
        </w:rPr>
        <w:t>management innovations</w:t>
      </w:r>
      <w:r w:rsidRPr="00071E73">
        <w:t>", "</w:t>
      </w:r>
      <w:r w:rsidRPr="00C27E32">
        <w:rPr>
          <w:i/>
          <w:iCs/>
        </w:rPr>
        <w:t>model</w:t>
      </w:r>
      <w:r w:rsidRPr="00071E73">
        <w:t>", "</w:t>
      </w:r>
      <w:proofErr w:type="spellStart"/>
      <w:r w:rsidRPr="00C27E32">
        <w:rPr>
          <w:i/>
          <w:iCs/>
        </w:rPr>
        <w:t>empirical</w:t>
      </w:r>
      <w:proofErr w:type="spellEnd"/>
      <w:r w:rsidRPr="00C27E32">
        <w:rPr>
          <w:i/>
          <w:iCs/>
        </w:rPr>
        <w:t xml:space="preserve"> research</w:t>
      </w:r>
      <w:r w:rsidRPr="00071E73">
        <w:t>", e "</w:t>
      </w:r>
      <w:r w:rsidRPr="00C27E32">
        <w:rPr>
          <w:i/>
          <w:iCs/>
        </w:rPr>
        <w:t>problem structuring methods</w:t>
      </w:r>
      <w:r w:rsidRPr="00071E73">
        <w:t>". A partir desses termos foram adicionados outros termos recorrentes, identificados em pesquisas na literatura, consulta a especialistas da área e alinhamento a questão da revisão. O objetivo foi assegurar, nas bases de dados, a identificação ampla de estudos, inicialmente a partir dos campos título, palavras-chave e resumo dos documentos.</w:t>
      </w:r>
    </w:p>
    <w:p w14:paraId="2D6A9083" w14:textId="77777777" w:rsidR="00B75674" w:rsidRDefault="00B75674">
      <w:pPr>
        <w:widowControl w:val="0"/>
        <w:spacing w:before="4" w:line="240" w:lineRule="auto"/>
        <w:ind w:firstLine="0"/>
        <w:jc w:val="left"/>
      </w:pPr>
    </w:p>
    <w:p w14:paraId="20E6F2DA" w14:textId="73BEF900" w:rsidR="00764B51" w:rsidRPr="00AB2C62" w:rsidRDefault="00764B51" w:rsidP="00AB2C62">
      <w:pPr>
        <w:ind w:firstLine="0"/>
        <w:jc w:val="center"/>
        <w:rPr>
          <w:rFonts w:ascii="Arial" w:hAnsi="Arial" w:cs="Arial"/>
          <w:b/>
          <w:bCs/>
          <w:sz w:val="20"/>
          <w:szCs w:val="20"/>
        </w:rPr>
      </w:pPr>
      <w:r w:rsidRPr="00AB2C62">
        <w:rPr>
          <w:rFonts w:ascii="Arial" w:hAnsi="Arial" w:cs="Arial"/>
          <w:b/>
          <w:bCs/>
          <w:sz w:val="20"/>
          <w:szCs w:val="20"/>
        </w:rPr>
        <w:t>Quadro 3 – Critérios de inclusão, exclusão e qualidade</w:t>
      </w:r>
      <w:r w:rsidR="00D02706" w:rsidRPr="00AB2C62">
        <w:rPr>
          <w:rFonts w:ascii="Arial" w:hAnsi="Arial" w:cs="Arial"/>
          <w:b/>
          <w:bCs/>
          <w:sz w:val="20"/>
          <w:szCs w:val="20"/>
        </w:rPr>
        <w:t xml:space="preserve"> – Fonte: </w:t>
      </w:r>
      <w:r w:rsidR="00D02706" w:rsidRPr="00AB2C62">
        <w:rPr>
          <w:rFonts w:ascii="Arial" w:hAnsi="Arial" w:cs="Arial"/>
          <w:b/>
          <w:bCs/>
          <w:color w:val="000000"/>
          <w:sz w:val="20"/>
          <w:szCs w:val="20"/>
        </w:rPr>
        <w:t>Adaptado de Ferreira (2022)</w:t>
      </w:r>
    </w:p>
    <w:tbl>
      <w:tblPr>
        <w:tblStyle w:val="Tabelacomgrade"/>
        <w:tblW w:w="8500" w:type="dxa"/>
        <w:tblLook w:val="04A0" w:firstRow="1" w:lastRow="0" w:firstColumn="1" w:lastColumn="0" w:noHBand="0" w:noVBand="1"/>
      </w:tblPr>
      <w:tblGrid>
        <w:gridCol w:w="1132"/>
        <w:gridCol w:w="1415"/>
        <w:gridCol w:w="5953"/>
      </w:tblGrid>
      <w:tr w:rsidR="00764B51" w:rsidRPr="005955C9" w14:paraId="600E05E4" w14:textId="77777777" w:rsidTr="00DB5FE8">
        <w:trPr>
          <w:trHeight w:val="694"/>
        </w:trPr>
        <w:tc>
          <w:tcPr>
            <w:tcW w:w="1132" w:type="dxa"/>
          </w:tcPr>
          <w:p w14:paraId="50EEC13C"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Tipos de critérios</w:t>
            </w:r>
          </w:p>
        </w:tc>
        <w:tc>
          <w:tcPr>
            <w:tcW w:w="1415" w:type="dxa"/>
          </w:tcPr>
          <w:p w14:paraId="72780C03"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Códigos dos critérios</w:t>
            </w:r>
          </w:p>
        </w:tc>
        <w:tc>
          <w:tcPr>
            <w:tcW w:w="5953" w:type="dxa"/>
          </w:tcPr>
          <w:p w14:paraId="0271BA8B"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Descrição do critério</w:t>
            </w:r>
          </w:p>
        </w:tc>
      </w:tr>
      <w:tr w:rsidR="00764B51" w:rsidRPr="00EC10BA" w14:paraId="19FA379A" w14:textId="77777777" w:rsidTr="00DB5FE8">
        <w:trPr>
          <w:trHeight w:val="491"/>
        </w:trPr>
        <w:tc>
          <w:tcPr>
            <w:tcW w:w="1132" w:type="dxa"/>
          </w:tcPr>
          <w:p w14:paraId="1504D9CB"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Inclusão</w:t>
            </w:r>
          </w:p>
        </w:tc>
        <w:tc>
          <w:tcPr>
            <w:tcW w:w="1415" w:type="dxa"/>
          </w:tcPr>
          <w:p w14:paraId="762402AE"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CI-1</w:t>
            </w:r>
          </w:p>
        </w:tc>
        <w:tc>
          <w:tcPr>
            <w:tcW w:w="5953" w:type="dxa"/>
          </w:tcPr>
          <w:p w14:paraId="5E87C76B"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Artigos com palavras da string 1 em título, resumo ou palavras-chave.</w:t>
            </w:r>
          </w:p>
        </w:tc>
      </w:tr>
      <w:tr w:rsidR="00764B51" w:rsidRPr="002A474B" w14:paraId="0AA6E6FF" w14:textId="77777777" w:rsidTr="00DB5FE8">
        <w:trPr>
          <w:trHeight w:val="271"/>
        </w:trPr>
        <w:tc>
          <w:tcPr>
            <w:tcW w:w="1132" w:type="dxa"/>
          </w:tcPr>
          <w:p w14:paraId="2F33DFB8"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Qualidade</w:t>
            </w:r>
          </w:p>
        </w:tc>
        <w:tc>
          <w:tcPr>
            <w:tcW w:w="1415" w:type="dxa"/>
          </w:tcPr>
          <w:p w14:paraId="741A6856"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CQ-1</w:t>
            </w:r>
          </w:p>
        </w:tc>
        <w:tc>
          <w:tcPr>
            <w:tcW w:w="5953" w:type="dxa"/>
          </w:tcPr>
          <w:p w14:paraId="3421AAEC"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Somente artigos científicos revisados por pares.</w:t>
            </w:r>
          </w:p>
        </w:tc>
      </w:tr>
      <w:tr w:rsidR="00764B51" w:rsidRPr="002A474B" w14:paraId="591F9133" w14:textId="77777777" w:rsidTr="00DB5FE8">
        <w:trPr>
          <w:trHeight w:val="276"/>
        </w:trPr>
        <w:tc>
          <w:tcPr>
            <w:tcW w:w="1132" w:type="dxa"/>
          </w:tcPr>
          <w:p w14:paraId="3FF86E26"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lastRenderedPageBreak/>
              <w:t xml:space="preserve"> Exclusão</w:t>
            </w:r>
          </w:p>
        </w:tc>
        <w:tc>
          <w:tcPr>
            <w:tcW w:w="1415" w:type="dxa"/>
          </w:tcPr>
          <w:p w14:paraId="38A67368"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CE-1</w:t>
            </w:r>
          </w:p>
        </w:tc>
        <w:tc>
          <w:tcPr>
            <w:tcW w:w="5953" w:type="dxa"/>
          </w:tcPr>
          <w:p w14:paraId="64A6412F"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Artigos sem status final de publicado.</w:t>
            </w:r>
          </w:p>
        </w:tc>
      </w:tr>
      <w:tr w:rsidR="00764B51" w:rsidRPr="002A474B" w14:paraId="7ABE2402" w14:textId="77777777" w:rsidTr="00DB5FE8">
        <w:trPr>
          <w:trHeight w:val="279"/>
        </w:trPr>
        <w:tc>
          <w:tcPr>
            <w:tcW w:w="1132" w:type="dxa"/>
          </w:tcPr>
          <w:p w14:paraId="2B12254C"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Exclusão</w:t>
            </w:r>
          </w:p>
        </w:tc>
        <w:tc>
          <w:tcPr>
            <w:tcW w:w="1415" w:type="dxa"/>
          </w:tcPr>
          <w:p w14:paraId="722DB14B"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CE-2</w:t>
            </w:r>
          </w:p>
        </w:tc>
        <w:tc>
          <w:tcPr>
            <w:tcW w:w="5953" w:type="dxa"/>
          </w:tcPr>
          <w:p w14:paraId="5DF77E89"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Artigos científicos anteriores a 2000.</w:t>
            </w:r>
          </w:p>
        </w:tc>
      </w:tr>
      <w:tr w:rsidR="00764B51" w:rsidRPr="002A474B" w14:paraId="5769BAFF" w14:textId="77777777" w:rsidTr="00DB5FE8">
        <w:trPr>
          <w:trHeight w:val="269"/>
        </w:trPr>
        <w:tc>
          <w:tcPr>
            <w:tcW w:w="1132" w:type="dxa"/>
          </w:tcPr>
          <w:p w14:paraId="6B78638D"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Exclusão</w:t>
            </w:r>
          </w:p>
        </w:tc>
        <w:tc>
          <w:tcPr>
            <w:tcW w:w="1415" w:type="dxa"/>
          </w:tcPr>
          <w:p w14:paraId="048FF7C3"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CE-3</w:t>
            </w:r>
          </w:p>
        </w:tc>
        <w:tc>
          <w:tcPr>
            <w:tcW w:w="5953" w:type="dxa"/>
          </w:tcPr>
          <w:p w14:paraId="222097BC"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Artigos em idioma diferente do inglês.</w:t>
            </w:r>
          </w:p>
        </w:tc>
      </w:tr>
      <w:tr w:rsidR="00764B51" w:rsidRPr="00EC10BA" w14:paraId="676DFA73" w14:textId="77777777" w:rsidTr="00DB5FE8">
        <w:trPr>
          <w:trHeight w:val="415"/>
        </w:trPr>
        <w:tc>
          <w:tcPr>
            <w:tcW w:w="1132" w:type="dxa"/>
          </w:tcPr>
          <w:p w14:paraId="0E37AF38"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Inclusão</w:t>
            </w:r>
          </w:p>
        </w:tc>
        <w:tc>
          <w:tcPr>
            <w:tcW w:w="1415" w:type="dxa"/>
          </w:tcPr>
          <w:p w14:paraId="09499E03"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CI-2</w:t>
            </w:r>
          </w:p>
        </w:tc>
        <w:tc>
          <w:tcPr>
            <w:tcW w:w="5953" w:type="dxa"/>
          </w:tcPr>
          <w:p w14:paraId="683F8213"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Artigos com palavras da string 2 em título, resumo ou palavras-chave.</w:t>
            </w:r>
          </w:p>
        </w:tc>
      </w:tr>
      <w:tr w:rsidR="00764B51" w:rsidRPr="005955C9" w14:paraId="4F0D07CE" w14:textId="77777777" w:rsidTr="00DB5FE8">
        <w:trPr>
          <w:trHeight w:val="507"/>
        </w:trPr>
        <w:tc>
          <w:tcPr>
            <w:tcW w:w="1132" w:type="dxa"/>
          </w:tcPr>
          <w:p w14:paraId="012E0F08" w14:textId="77777777" w:rsidR="00764B51" w:rsidRPr="00764B51" w:rsidRDefault="00764B51" w:rsidP="00DB5FE8">
            <w:pPr>
              <w:rPr>
                <w:rFonts w:ascii="Times New Roman" w:hAnsi="Times New Roman" w:cs="Times New Roman"/>
                <w:color w:val="000000"/>
                <w:sz w:val="20"/>
                <w:szCs w:val="20"/>
              </w:rPr>
            </w:pPr>
            <w:r w:rsidRPr="00764B51">
              <w:rPr>
                <w:rFonts w:ascii="Times New Roman" w:hAnsi="Times New Roman" w:cs="Times New Roman"/>
                <w:sz w:val="20"/>
                <w:szCs w:val="20"/>
              </w:rPr>
              <w:t>Inclusão</w:t>
            </w:r>
          </w:p>
        </w:tc>
        <w:tc>
          <w:tcPr>
            <w:tcW w:w="1415" w:type="dxa"/>
          </w:tcPr>
          <w:p w14:paraId="5F03660B"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sz w:val="20"/>
                <w:szCs w:val="20"/>
              </w:rPr>
              <w:t>CI-3</w:t>
            </w:r>
          </w:p>
        </w:tc>
        <w:tc>
          <w:tcPr>
            <w:tcW w:w="5953" w:type="dxa"/>
          </w:tcPr>
          <w:p w14:paraId="206EA06C"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sz w:val="20"/>
                <w:szCs w:val="20"/>
              </w:rPr>
              <w:t>Artigos com palavras da string 3 em título, resumo ou palavras-chave.</w:t>
            </w:r>
          </w:p>
        </w:tc>
      </w:tr>
      <w:tr w:rsidR="00764B51" w:rsidRPr="005955C9" w14:paraId="6A83F460" w14:textId="77777777" w:rsidTr="00DB5FE8">
        <w:trPr>
          <w:trHeight w:val="522"/>
        </w:trPr>
        <w:tc>
          <w:tcPr>
            <w:tcW w:w="1132" w:type="dxa"/>
          </w:tcPr>
          <w:p w14:paraId="41F148FF"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Exclusão</w:t>
            </w:r>
          </w:p>
        </w:tc>
        <w:tc>
          <w:tcPr>
            <w:tcW w:w="1415" w:type="dxa"/>
          </w:tcPr>
          <w:p w14:paraId="608A2C56"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CE-4</w:t>
            </w:r>
          </w:p>
        </w:tc>
        <w:tc>
          <w:tcPr>
            <w:tcW w:w="5953" w:type="dxa"/>
          </w:tcPr>
          <w:p w14:paraId="2FD3C6F2" w14:textId="77777777" w:rsidR="00764B51" w:rsidRPr="00764B51" w:rsidRDefault="00764B51" w:rsidP="00DB5FE8">
            <w:pPr>
              <w:jc w:val="center"/>
              <w:rPr>
                <w:rFonts w:ascii="Times New Roman" w:hAnsi="Times New Roman" w:cs="Times New Roman"/>
                <w:sz w:val="20"/>
                <w:szCs w:val="20"/>
              </w:rPr>
            </w:pPr>
            <w:r w:rsidRPr="00764B51">
              <w:rPr>
                <w:rFonts w:ascii="Times New Roman" w:hAnsi="Times New Roman" w:cs="Times New Roman"/>
                <w:sz w:val="20"/>
                <w:szCs w:val="20"/>
              </w:rPr>
              <w:t>Título e resumo não atendem ao objetivo definido no item 3.1.1.</w:t>
            </w:r>
          </w:p>
        </w:tc>
      </w:tr>
      <w:tr w:rsidR="00764B51" w:rsidRPr="005955C9" w14:paraId="13761324" w14:textId="77777777" w:rsidTr="00DB5FE8">
        <w:trPr>
          <w:trHeight w:val="267"/>
        </w:trPr>
        <w:tc>
          <w:tcPr>
            <w:tcW w:w="1132" w:type="dxa"/>
          </w:tcPr>
          <w:p w14:paraId="6342E522"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Exclusão</w:t>
            </w:r>
          </w:p>
        </w:tc>
        <w:tc>
          <w:tcPr>
            <w:tcW w:w="1415" w:type="dxa"/>
          </w:tcPr>
          <w:p w14:paraId="185D3686" w14:textId="77777777" w:rsidR="00764B51" w:rsidRPr="00764B51" w:rsidRDefault="00764B51" w:rsidP="00DB5FE8">
            <w:pPr>
              <w:jc w:val="center"/>
              <w:rPr>
                <w:rFonts w:ascii="Times New Roman" w:hAnsi="Times New Roman" w:cs="Times New Roman"/>
                <w:color w:val="000000"/>
                <w:sz w:val="20"/>
                <w:szCs w:val="20"/>
              </w:rPr>
            </w:pPr>
            <w:r w:rsidRPr="00764B51">
              <w:rPr>
                <w:rFonts w:ascii="Times New Roman" w:hAnsi="Times New Roman" w:cs="Times New Roman"/>
                <w:color w:val="000000"/>
                <w:sz w:val="20"/>
                <w:szCs w:val="20"/>
              </w:rPr>
              <w:t>CE-5</w:t>
            </w:r>
          </w:p>
        </w:tc>
        <w:tc>
          <w:tcPr>
            <w:tcW w:w="5953" w:type="dxa"/>
          </w:tcPr>
          <w:p w14:paraId="4B017F1B" w14:textId="77777777" w:rsidR="00764B51" w:rsidRPr="00764B51" w:rsidRDefault="00764B51" w:rsidP="00DB5FE8">
            <w:pPr>
              <w:jc w:val="center"/>
              <w:rPr>
                <w:rFonts w:ascii="Times New Roman" w:hAnsi="Times New Roman" w:cs="Times New Roman"/>
                <w:sz w:val="20"/>
                <w:szCs w:val="20"/>
              </w:rPr>
            </w:pPr>
            <w:r w:rsidRPr="00764B51">
              <w:rPr>
                <w:rFonts w:ascii="Times New Roman" w:hAnsi="Times New Roman" w:cs="Times New Roman"/>
                <w:sz w:val="20"/>
                <w:szCs w:val="20"/>
              </w:rPr>
              <w:t>Artigos indisponíveis para consulta ou download.</w:t>
            </w:r>
          </w:p>
        </w:tc>
      </w:tr>
    </w:tbl>
    <w:p w14:paraId="100CD4CA" w14:textId="78C3D501" w:rsidR="00B75674" w:rsidRDefault="00AB2C62" w:rsidP="00AB2C62">
      <w:pPr>
        <w:widowControl w:val="0"/>
        <w:spacing w:before="119" w:line="249" w:lineRule="auto"/>
        <w:ind w:left="100" w:right="98"/>
      </w:pPr>
      <w:r w:rsidRPr="00AB2C62">
        <w:t>Após construção das strings de busca, foram delineados os critérios de inclusão, qualidade e exclusão da pesquisa, conforme Quadro 3. Através desses critérios aplicou-se filtros para captura de estudos relevantes junto a base Scopus.</w:t>
      </w:r>
    </w:p>
    <w:p w14:paraId="206DD6AE" w14:textId="5F2078C8" w:rsidR="00C61A06" w:rsidRDefault="00C61A06" w:rsidP="00C61A06">
      <w:pPr>
        <w:pStyle w:val="Ttulo2"/>
        <w:keepNext w:val="0"/>
        <w:keepLines w:val="0"/>
        <w:widowControl w:val="0"/>
        <w:numPr>
          <w:ilvl w:val="2"/>
          <w:numId w:val="10"/>
        </w:numPr>
        <w:tabs>
          <w:tab w:val="left" w:pos="570"/>
        </w:tabs>
        <w:spacing w:before="235" w:line="240" w:lineRule="auto"/>
        <w:jc w:val="both"/>
      </w:pPr>
      <w:r>
        <w:t>Condução da Revisão</w:t>
      </w:r>
    </w:p>
    <w:p w14:paraId="2D9FE64A" w14:textId="77777777" w:rsidR="00C61A06" w:rsidRDefault="00C61A06" w:rsidP="002636E3">
      <w:pPr>
        <w:widowControl w:val="0"/>
        <w:spacing w:before="135" w:line="249" w:lineRule="auto"/>
        <w:ind w:right="98" w:firstLine="0"/>
      </w:pPr>
      <w:r>
        <w:t>A condução da revisão teve como objetivo mapear o estado da arte sobre modelagem de inovação em gestão (MI) e sua integração com os PSM. Tomaram-se como base: (i) as quatro strings de busca (Figuras 2-5), (</w:t>
      </w:r>
      <w:proofErr w:type="spellStart"/>
      <w:r>
        <w:t>ii</w:t>
      </w:r>
      <w:proofErr w:type="spellEnd"/>
      <w:r>
        <w:t>) os critérios do Quadro 3, (</w:t>
      </w:r>
      <w:proofErr w:type="spellStart"/>
      <w:r>
        <w:t>iii</w:t>
      </w:r>
      <w:proofErr w:type="spellEnd"/>
      <w:r>
        <w:t>) a base Scopus, (</w:t>
      </w:r>
      <w:proofErr w:type="spellStart"/>
      <w:r>
        <w:t>iv</w:t>
      </w:r>
      <w:proofErr w:type="spellEnd"/>
      <w:r>
        <w:t>) as posições de busca no documento (título, resumo e palavras-chave) e (v) a questão de revisão.</w:t>
      </w:r>
    </w:p>
    <w:p w14:paraId="769B6852" w14:textId="77777777" w:rsidR="00C61A06" w:rsidRDefault="00C61A06" w:rsidP="00C61A06">
      <w:pPr>
        <w:widowControl w:val="0"/>
        <w:spacing w:before="4" w:line="240" w:lineRule="auto"/>
        <w:ind w:firstLine="0"/>
      </w:pPr>
    </w:p>
    <w:p w14:paraId="6A52628C" w14:textId="77777777" w:rsidR="00C61A06" w:rsidRDefault="00C61A06" w:rsidP="002636E3">
      <w:pPr>
        <w:widowControl w:val="0"/>
        <w:spacing w:before="119" w:line="249" w:lineRule="auto"/>
        <w:ind w:left="100" w:right="98"/>
      </w:pPr>
      <w:r>
        <w:t xml:space="preserve">1) Aplicou-se a String 1 (Figura 2) na Scopus (título, resumo e palavras-chave), recuperando 30.477 documentos. A distribuição por palavra-chave foi: </w:t>
      </w:r>
    </w:p>
    <w:p w14:paraId="47E1F37D" w14:textId="77777777" w:rsidR="00C61A06" w:rsidRDefault="00C61A06" w:rsidP="00C61A06">
      <w:pPr>
        <w:widowControl w:val="0"/>
        <w:spacing w:before="4" w:line="240" w:lineRule="auto"/>
        <w:ind w:firstLine="0"/>
      </w:pPr>
    </w:p>
    <w:p w14:paraId="759B8181" w14:textId="77777777" w:rsidR="00C61A06" w:rsidRDefault="00C61A06" w:rsidP="00C61A06">
      <w:pPr>
        <w:widowControl w:val="0"/>
        <w:spacing w:before="4" w:line="240" w:lineRule="auto"/>
        <w:ind w:firstLine="0"/>
      </w:pPr>
      <w:r>
        <w:t>•</w:t>
      </w:r>
      <w:r>
        <w:tab/>
        <w:t>90,84% “</w:t>
      </w:r>
      <w:r w:rsidRPr="00C27E32">
        <w:rPr>
          <w:i/>
          <w:iCs/>
        </w:rPr>
        <w:t>organizational innovation</w:t>
      </w:r>
      <w:r>
        <w:t xml:space="preserve">”; </w:t>
      </w:r>
    </w:p>
    <w:p w14:paraId="69C41A3C" w14:textId="77777777" w:rsidR="00C61A06" w:rsidRDefault="00C61A06" w:rsidP="00C61A06">
      <w:pPr>
        <w:widowControl w:val="0"/>
        <w:spacing w:before="4" w:line="240" w:lineRule="auto"/>
        <w:ind w:firstLine="0"/>
      </w:pPr>
      <w:r>
        <w:t>•</w:t>
      </w:r>
      <w:r>
        <w:tab/>
        <w:t>7,00% “</w:t>
      </w:r>
      <w:r w:rsidRPr="00C27E32">
        <w:rPr>
          <w:i/>
          <w:iCs/>
        </w:rPr>
        <w:t>management innovation</w:t>
      </w:r>
      <w:r>
        <w:t xml:space="preserve">”; </w:t>
      </w:r>
    </w:p>
    <w:p w14:paraId="232F710D" w14:textId="77777777" w:rsidR="00C61A06" w:rsidRDefault="00C61A06" w:rsidP="00C61A06">
      <w:pPr>
        <w:widowControl w:val="0"/>
        <w:spacing w:before="4" w:line="240" w:lineRule="auto"/>
        <w:ind w:firstLine="0"/>
      </w:pPr>
      <w:r>
        <w:t>•</w:t>
      </w:r>
      <w:r>
        <w:tab/>
        <w:t>1,28% “</w:t>
      </w:r>
      <w:r w:rsidRPr="00C27E32">
        <w:rPr>
          <w:i/>
          <w:iCs/>
        </w:rPr>
        <w:t>managerial innovation</w:t>
      </w:r>
      <w:r>
        <w:t>”;</w:t>
      </w:r>
    </w:p>
    <w:p w14:paraId="6E10BFDC" w14:textId="77777777" w:rsidR="00C61A06" w:rsidRDefault="00C61A06" w:rsidP="00C61A06">
      <w:pPr>
        <w:widowControl w:val="0"/>
        <w:spacing w:before="4" w:line="240" w:lineRule="auto"/>
        <w:ind w:firstLine="0"/>
      </w:pPr>
      <w:r>
        <w:t>•</w:t>
      </w:r>
      <w:r>
        <w:tab/>
        <w:t>0,89% “</w:t>
      </w:r>
      <w:r w:rsidRPr="00C27E32">
        <w:rPr>
          <w:i/>
          <w:iCs/>
        </w:rPr>
        <w:t>administrative innovation</w:t>
      </w:r>
      <w:r>
        <w:t xml:space="preserve">”. </w:t>
      </w:r>
    </w:p>
    <w:p w14:paraId="65149D9E" w14:textId="77777777" w:rsidR="00C61A06" w:rsidRDefault="00C61A06" w:rsidP="00C61A06">
      <w:pPr>
        <w:widowControl w:val="0"/>
        <w:spacing w:before="4" w:line="240" w:lineRule="auto"/>
        <w:ind w:firstLine="0"/>
      </w:pPr>
    </w:p>
    <w:p w14:paraId="139D4759" w14:textId="77777777" w:rsidR="00C61A06" w:rsidRDefault="00C61A06" w:rsidP="002636E3">
      <w:pPr>
        <w:widowControl w:val="0"/>
        <w:spacing w:before="4" w:line="240" w:lineRule="auto"/>
        <w:ind w:left="100"/>
      </w:pPr>
      <w:r>
        <w:t>Esses dados evidenciam a predominância do termo “</w:t>
      </w:r>
      <w:r w:rsidRPr="00C27E32">
        <w:rPr>
          <w:i/>
          <w:iCs/>
        </w:rPr>
        <w:t>organizational innovation</w:t>
      </w:r>
      <w:r>
        <w:t xml:space="preserve">” na literatura sobre inovação em gestão, em relação às demais palavras-chave investigadas. </w:t>
      </w:r>
    </w:p>
    <w:p w14:paraId="13C6CE84" w14:textId="77777777" w:rsidR="00C61A06" w:rsidRDefault="00C61A06" w:rsidP="002636E3">
      <w:pPr>
        <w:widowControl w:val="0"/>
        <w:spacing w:before="119" w:line="249" w:lineRule="auto"/>
        <w:ind w:left="100" w:right="98"/>
      </w:pPr>
      <w:r>
        <w:t>2) Sobre esse conjunto, aplicaram-se sucessivamente os critérios do Quadro 3: CQ-1 (revisão por pares) → 22.866 artigos; CE-1 (status final publicado) → 22.745; CE-2 (ano ≥ 2000) → 15.644; CE-3 (idioma inglês) → reduzindo o total para 15.015 artigos.</w:t>
      </w:r>
    </w:p>
    <w:p w14:paraId="4CED65BC" w14:textId="77777777" w:rsidR="00C61A06" w:rsidRDefault="00C61A06" w:rsidP="002636E3">
      <w:pPr>
        <w:widowControl w:val="0"/>
        <w:spacing w:before="119" w:line="249" w:lineRule="auto"/>
        <w:ind w:left="100" w:right="98"/>
      </w:pPr>
      <w:r>
        <w:t xml:space="preserve">3) Combinou-se a </w:t>
      </w:r>
      <w:r w:rsidRPr="00C27E32">
        <w:rPr>
          <w:i/>
          <w:iCs/>
        </w:rPr>
        <w:t>String</w:t>
      </w:r>
      <w:r>
        <w:t xml:space="preserve"> 2 (Figura 3) à </w:t>
      </w:r>
      <w:r w:rsidRPr="00C27E32">
        <w:rPr>
          <w:i/>
          <w:iCs/>
        </w:rPr>
        <w:t>String</w:t>
      </w:r>
      <w:r>
        <w:t xml:space="preserve"> 1 via operador AND, restrita ao resumo, obtendo-se 7.004 artigos.</w:t>
      </w:r>
    </w:p>
    <w:p w14:paraId="2FD631E8" w14:textId="6BA4FD49" w:rsidR="002636E3" w:rsidRDefault="00C61A06" w:rsidP="002636E3">
      <w:pPr>
        <w:widowControl w:val="0"/>
        <w:spacing w:before="119" w:line="249" w:lineRule="auto"/>
        <w:ind w:left="100" w:right="98"/>
      </w:pPr>
      <w:r>
        <w:t xml:space="preserve">4) Acrescentou-se a </w:t>
      </w:r>
      <w:r w:rsidRPr="00C27E32">
        <w:rPr>
          <w:i/>
          <w:iCs/>
        </w:rPr>
        <w:t>String</w:t>
      </w:r>
      <w:r>
        <w:t xml:space="preserve"> 3 (Figura 4), também no </w:t>
      </w:r>
      <w:r w:rsidR="0062122A">
        <w:t xml:space="preserve">resumo </w:t>
      </w:r>
      <w:r w:rsidR="0062122A" w:rsidRPr="00C27E32">
        <w:t>e via operadores</w:t>
      </w:r>
      <w:r w:rsidRPr="00C27E32">
        <w:t xml:space="preserve"> AND</w:t>
      </w:r>
      <w:r>
        <w:t xml:space="preserve"> com as </w:t>
      </w:r>
      <w:r w:rsidRPr="00C27E32">
        <w:rPr>
          <w:i/>
          <w:iCs/>
        </w:rPr>
        <w:t>Strings</w:t>
      </w:r>
      <w:r>
        <w:t xml:space="preserve"> 1 e 2, reduzindo o total para 767 artigos.</w:t>
      </w:r>
    </w:p>
    <w:p w14:paraId="16B7AAAA" w14:textId="77777777" w:rsidR="002636E3" w:rsidRDefault="00C61A06" w:rsidP="002636E3">
      <w:pPr>
        <w:widowControl w:val="0"/>
        <w:spacing w:before="119" w:line="249" w:lineRule="auto"/>
        <w:ind w:left="100" w:right="98"/>
      </w:pPr>
      <w:r>
        <w:t>5) Desses 767, aplicou-se CE-4 (aderência ao objetivo), selecionando 51 artigos para leitura completa; em seguida, CE-5 (disponibilidade) reduziu o conjunto para 41 artigos elegíveis. Esse subconjunto embasou as respostas às Questões 1 e 1.1.</w:t>
      </w:r>
    </w:p>
    <w:p w14:paraId="29263FAC" w14:textId="4BC9C5D7" w:rsidR="00B75674" w:rsidRDefault="00C61A06" w:rsidP="002636E3">
      <w:pPr>
        <w:widowControl w:val="0"/>
        <w:spacing w:before="119" w:line="249" w:lineRule="auto"/>
        <w:ind w:left="100" w:right="98"/>
      </w:pPr>
      <w:r>
        <w:t xml:space="preserve">6) Por fim, para responder à Questão 2, aplicou-se a </w:t>
      </w:r>
      <w:r w:rsidRPr="00C27E32">
        <w:rPr>
          <w:i/>
          <w:iCs/>
        </w:rPr>
        <w:t>String</w:t>
      </w:r>
      <w:r>
        <w:t xml:space="preserve"> 4 (Figura 5), no resumo e via AND com as </w:t>
      </w:r>
      <w:r w:rsidRPr="00C27E32">
        <w:rPr>
          <w:i/>
          <w:iCs/>
        </w:rPr>
        <w:t>Strings</w:t>
      </w:r>
      <w:r>
        <w:t xml:space="preserve"> 1, 2 e 3, resultando em 11 artigos para leitura completa e seleção final.</w:t>
      </w:r>
    </w:p>
    <w:p w14:paraId="14488F6E" w14:textId="77777777" w:rsidR="00B75674" w:rsidRDefault="00B75674">
      <w:pPr>
        <w:widowControl w:val="0"/>
        <w:spacing w:before="4" w:line="240" w:lineRule="auto"/>
        <w:ind w:firstLine="0"/>
        <w:jc w:val="left"/>
      </w:pPr>
    </w:p>
    <w:p w14:paraId="48D75BC2" w14:textId="77777777" w:rsidR="00CF3146" w:rsidRDefault="00CF3146">
      <w:pPr>
        <w:widowControl w:val="0"/>
        <w:spacing w:before="4" w:line="240" w:lineRule="auto"/>
        <w:ind w:firstLine="0"/>
        <w:jc w:val="left"/>
      </w:pPr>
    </w:p>
    <w:p w14:paraId="1BD9DAD6" w14:textId="708B5079" w:rsidR="002636E3" w:rsidRDefault="002636E3" w:rsidP="002636E3">
      <w:pPr>
        <w:pStyle w:val="Ttulo1"/>
        <w:keepNext w:val="0"/>
        <w:keepLines w:val="0"/>
        <w:widowControl w:val="0"/>
        <w:numPr>
          <w:ilvl w:val="0"/>
          <w:numId w:val="1"/>
        </w:numPr>
        <w:tabs>
          <w:tab w:val="left" w:pos="415"/>
        </w:tabs>
        <w:spacing w:before="1" w:line="240" w:lineRule="auto"/>
        <w:jc w:val="both"/>
        <w:rPr>
          <w:sz w:val="26"/>
          <w:szCs w:val="26"/>
        </w:rPr>
      </w:pPr>
      <w:r>
        <w:rPr>
          <w:sz w:val="26"/>
          <w:szCs w:val="26"/>
        </w:rPr>
        <w:lastRenderedPageBreak/>
        <w:t>Resultados e discussão</w:t>
      </w:r>
    </w:p>
    <w:p w14:paraId="383ABF36" w14:textId="77777777" w:rsidR="002636E3" w:rsidRDefault="002636E3">
      <w:pPr>
        <w:widowControl w:val="0"/>
        <w:spacing w:before="4" w:line="240" w:lineRule="auto"/>
        <w:ind w:firstLine="0"/>
        <w:jc w:val="left"/>
      </w:pPr>
    </w:p>
    <w:p w14:paraId="7C908EA7" w14:textId="79BC4330" w:rsidR="002636E3" w:rsidRDefault="002636E3" w:rsidP="002636E3">
      <w:pPr>
        <w:widowControl w:val="0"/>
        <w:spacing w:before="119" w:line="249" w:lineRule="auto"/>
        <w:ind w:left="100" w:right="98"/>
      </w:pPr>
      <w:r>
        <w:t>Para responder a essas questões, foram analisados artigos publicados entre 2000 e 2025.</w:t>
      </w:r>
    </w:p>
    <w:p w14:paraId="6700FA43" w14:textId="08E7F9F8" w:rsidR="002636E3" w:rsidRDefault="002636E3" w:rsidP="002636E3">
      <w:pPr>
        <w:pStyle w:val="Ttulo2"/>
        <w:keepNext w:val="0"/>
        <w:keepLines w:val="0"/>
        <w:widowControl w:val="0"/>
        <w:numPr>
          <w:ilvl w:val="1"/>
          <w:numId w:val="1"/>
        </w:numPr>
        <w:tabs>
          <w:tab w:val="left" w:pos="570"/>
        </w:tabs>
        <w:spacing w:before="235" w:line="240" w:lineRule="auto"/>
        <w:jc w:val="both"/>
      </w:pPr>
      <w:r>
        <w:t xml:space="preserve">Resposta à questão 1 </w:t>
      </w:r>
    </w:p>
    <w:p w14:paraId="4672105B" w14:textId="3143B1AF" w:rsidR="00AF24B4" w:rsidRDefault="00AF24B4" w:rsidP="00AF24B4">
      <w:pPr>
        <w:pStyle w:val="PargrafodaLista"/>
        <w:widowControl w:val="0"/>
        <w:spacing w:before="119" w:line="249" w:lineRule="auto"/>
        <w:ind w:left="414" w:right="98" w:firstLine="0"/>
      </w:pPr>
      <w:r w:rsidRPr="00CF3146">
        <w:t>Questão1) Quais pesquisas introduzem novos modelos ou melhorias em modelos existentes de inovação em gestão que foram aplicados e validados por estudos empíricos? Quais os resultados foram alcançados?</w:t>
      </w:r>
    </w:p>
    <w:p w14:paraId="7292C87C" w14:textId="77777777" w:rsidR="002636E3" w:rsidRDefault="002636E3" w:rsidP="002636E3">
      <w:pPr>
        <w:widowControl w:val="0"/>
        <w:spacing w:before="4" w:line="240" w:lineRule="auto"/>
        <w:ind w:firstLine="0"/>
        <w:jc w:val="left"/>
      </w:pPr>
    </w:p>
    <w:p w14:paraId="0DF91680" w14:textId="22A6C2FA" w:rsidR="002636E3" w:rsidRDefault="002636E3" w:rsidP="002636E3">
      <w:pPr>
        <w:widowControl w:val="0"/>
        <w:spacing w:before="4" w:line="240" w:lineRule="auto"/>
        <w:ind w:firstLine="0"/>
        <w:jc w:val="left"/>
      </w:pPr>
      <w:r>
        <w:t>Realizou-se a leitura e a análise integral dos 41 documentos selecionados no subitem 5 da seção anterior. Esses estudos foram organizados em quatro categorias:</w:t>
      </w:r>
    </w:p>
    <w:p w14:paraId="27E0DEEE" w14:textId="3CC7A29D" w:rsidR="002636E3" w:rsidRDefault="002636E3" w:rsidP="002636E3">
      <w:pPr>
        <w:widowControl w:val="0"/>
        <w:spacing w:before="119" w:line="249" w:lineRule="auto"/>
        <w:ind w:left="100" w:right="98"/>
      </w:pPr>
      <w:r>
        <w:t>I – Artigos que apenas testam modelos existentes por meio de estudos empíricos;</w:t>
      </w:r>
    </w:p>
    <w:p w14:paraId="78D50D4D" w14:textId="77777777" w:rsidR="002636E3" w:rsidRDefault="002636E3" w:rsidP="002636E3">
      <w:pPr>
        <w:widowControl w:val="0"/>
        <w:spacing w:before="119" w:line="249" w:lineRule="auto"/>
        <w:ind w:left="100" w:right="98"/>
      </w:pPr>
      <w:r>
        <w:t>II – Artigos com achados sobre subtópicos de MI, sem propor modelos, quadros, métodos, estruturas ou abordagens;</w:t>
      </w:r>
    </w:p>
    <w:p w14:paraId="206C2FB2" w14:textId="77777777" w:rsidR="002636E3" w:rsidRDefault="002636E3" w:rsidP="002636E3">
      <w:pPr>
        <w:widowControl w:val="0"/>
        <w:spacing w:before="119" w:line="249" w:lineRule="auto"/>
        <w:ind w:left="100" w:right="98"/>
      </w:pPr>
      <w:r>
        <w:t>III – Artigos que apresentam modelos teóricos não testados empiricamente;</w:t>
      </w:r>
    </w:p>
    <w:p w14:paraId="716E88B7" w14:textId="77777777" w:rsidR="002636E3" w:rsidRDefault="002636E3" w:rsidP="002636E3">
      <w:pPr>
        <w:widowControl w:val="0"/>
        <w:spacing w:before="119" w:line="249" w:lineRule="auto"/>
        <w:ind w:left="100" w:right="98"/>
      </w:pPr>
      <w:r>
        <w:t>IV – Artigos que apresentam modelos de MI aplicados ou testados empiricamente.</w:t>
      </w:r>
    </w:p>
    <w:p w14:paraId="59A1017E" w14:textId="387FD881" w:rsidR="002636E3" w:rsidRDefault="002636E3" w:rsidP="002636E3">
      <w:pPr>
        <w:widowControl w:val="0"/>
        <w:spacing w:before="119" w:line="249" w:lineRule="auto"/>
        <w:ind w:left="100" w:right="98"/>
      </w:pPr>
      <w:r>
        <w:t>Dos 41 documentos, 27 enquadraram-se nas categorias I a III e não atenderam ao escopo desta pesquisa; foram, portanto, excluídos. Os 14 restantes, classificados na categoria IV e capazes de responder à questão 1 e à subquestão 1.1, estão listados no Quadro 4.</w:t>
      </w:r>
    </w:p>
    <w:p w14:paraId="376E07A7" w14:textId="77777777" w:rsidR="007811A7" w:rsidRDefault="007811A7" w:rsidP="007811A7">
      <w:pPr>
        <w:ind w:firstLine="0"/>
        <w:jc w:val="center"/>
        <w:rPr>
          <w:rFonts w:ascii="Arial" w:hAnsi="Arial" w:cs="Arial"/>
          <w:sz w:val="20"/>
          <w:szCs w:val="20"/>
        </w:rPr>
      </w:pPr>
    </w:p>
    <w:p w14:paraId="20C6A252" w14:textId="30EE528D" w:rsidR="002636E3" w:rsidRDefault="002636E3" w:rsidP="007811A7">
      <w:pPr>
        <w:ind w:firstLine="0"/>
        <w:jc w:val="center"/>
        <w:rPr>
          <w:rFonts w:ascii="Arial" w:hAnsi="Arial" w:cs="Arial"/>
          <w:sz w:val="20"/>
          <w:szCs w:val="20"/>
        </w:rPr>
      </w:pPr>
      <w:r w:rsidRPr="004D073D">
        <w:rPr>
          <w:rFonts w:ascii="Arial" w:hAnsi="Arial" w:cs="Arial"/>
          <w:sz w:val="20"/>
          <w:szCs w:val="20"/>
        </w:rPr>
        <w:t>Quadro 4 – Seleção de Modelos MI</w:t>
      </w:r>
      <w:r w:rsidR="007811A7">
        <w:rPr>
          <w:rFonts w:ascii="Arial" w:hAnsi="Arial" w:cs="Arial"/>
          <w:sz w:val="20"/>
          <w:szCs w:val="20"/>
        </w:rPr>
        <w:t xml:space="preserve"> – Fonte: Autores</w:t>
      </w:r>
    </w:p>
    <w:tbl>
      <w:tblPr>
        <w:tblStyle w:val="Tabelacomgrade"/>
        <w:tblW w:w="8941" w:type="dxa"/>
        <w:tblLayout w:type="fixed"/>
        <w:tblLook w:val="04A0" w:firstRow="1" w:lastRow="0" w:firstColumn="1" w:lastColumn="0" w:noHBand="0" w:noVBand="1"/>
      </w:tblPr>
      <w:tblGrid>
        <w:gridCol w:w="552"/>
        <w:gridCol w:w="1286"/>
        <w:gridCol w:w="2552"/>
        <w:gridCol w:w="2551"/>
        <w:gridCol w:w="2000"/>
      </w:tblGrid>
      <w:tr w:rsidR="002636E3" w:rsidRPr="002636E3" w14:paraId="1E675BD4" w14:textId="77777777" w:rsidTr="00DB5FE8">
        <w:tc>
          <w:tcPr>
            <w:tcW w:w="552" w:type="dxa"/>
          </w:tcPr>
          <w:p w14:paraId="64229309" w14:textId="77777777" w:rsidR="002636E3" w:rsidRPr="002636E3" w:rsidRDefault="002636E3" w:rsidP="00DB5FE8">
            <w:pPr>
              <w:jc w:val="center"/>
              <w:rPr>
                <w:rFonts w:ascii="Times New Roman" w:hAnsi="Times New Roman" w:cs="Times New Roman"/>
                <w:sz w:val="16"/>
                <w:szCs w:val="16"/>
              </w:rPr>
            </w:pPr>
            <w:r w:rsidRPr="002636E3">
              <w:rPr>
                <w:rFonts w:ascii="Times New Roman" w:hAnsi="Times New Roman" w:cs="Times New Roman"/>
                <w:sz w:val="16"/>
                <w:szCs w:val="16"/>
              </w:rPr>
              <w:t>N°</w:t>
            </w:r>
          </w:p>
        </w:tc>
        <w:tc>
          <w:tcPr>
            <w:tcW w:w="1286" w:type="dxa"/>
          </w:tcPr>
          <w:p w14:paraId="1D6FA1AE" w14:textId="77777777" w:rsidR="002636E3" w:rsidRPr="002636E3" w:rsidRDefault="002636E3" w:rsidP="00DB5FE8">
            <w:pPr>
              <w:jc w:val="center"/>
              <w:rPr>
                <w:rFonts w:ascii="Times New Roman" w:hAnsi="Times New Roman" w:cs="Times New Roman"/>
                <w:sz w:val="16"/>
                <w:szCs w:val="16"/>
              </w:rPr>
            </w:pPr>
            <w:r w:rsidRPr="002636E3">
              <w:rPr>
                <w:rFonts w:ascii="Times New Roman" w:hAnsi="Times New Roman" w:cs="Times New Roman"/>
                <w:sz w:val="16"/>
                <w:szCs w:val="16"/>
              </w:rPr>
              <w:t>Autores</w:t>
            </w:r>
          </w:p>
        </w:tc>
        <w:tc>
          <w:tcPr>
            <w:tcW w:w="2552" w:type="dxa"/>
          </w:tcPr>
          <w:p w14:paraId="5E9A48C8" w14:textId="77777777" w:rsidR="002636E3" w:rsidRPr="002636E3" w:rsidRDefault="002636E3" w:rsidP="00DB5FE8">
            <w:pPr>
              <w:jc w:val="center"/>
              <w:rPr>
                <w:rFonts w:ascii="Times New Roman" w:hAnsi="Times New Roman" w:cs="Times New Roman"/>
                <w:sz w:val="16"/>
                <w:szCs w:val="16"/>
              </w:rPr>
            </w:pPr>
            <w:r w:rsidRPr="002636E3">
              <w:rPr>
                <w:rFonts w:ascii="Times New Roman" w:hAnsi="Times New Roman" w:cs="Times New Roman"/>
                <w:sz w:val="16"/>
                <w:szCs w:val="16"/>
              </w:rPr>
              <w:t>Modelo</w:t>
            </w:r>
          </w:p>
        </w:tc>
        <w:tc>
          <w:tcPr>
            <w:tcW w:w="2551" w:type="dxa"/>
          </w:tcPr>
          <w:p w14:paraId="5FE6FFD0" w14:textId="77777777" w:rsidR="002636E3" w:rsidRPr="002636E3" w:rsidRDefault="002636E3" w:rsidP="00DB5FE8">
            <w:pPr>
              <w:jc w:val="center"/>
              <w:rPr>
                <w:rFonts w:ascii="Times New Roman" w:hAnsi="Times New Roman" w:cs="Times New Roman"/>
                <w:sz w:val="16"/>
                <w:szCs w:val="16"/>
              </w:rPr>
            </w:pPr>
            <w:r w:rsidRPr="002636E3">
              <w:rPr>
                <w:rFonts w:ascii="Times New Roman" w:hAnsi="Times New Roman" w:cs="Times New Roman"/>
                <w:sz w:val="16"/>
                <w:szCs w:val="16"/>
              </w:rPr>
              <w:t>Resultados</w:t>
            </w:r>
          </w:p>
        </w:tc>
        <w:tc>
          <w:tcPr>
            <w:tcW w:w="2000" w:type="dxa"/>
          </w:tcPr>
          <w:p w14:paraId="3BF0C2A1" w14:textId="77777777" w:rsidR="002636E3" w:rsidRPr="002636E3" w:rsidRDefault="002636E3" w:rsidP="00DB5FE8">
            <w:pPr>
              <w:jc w:val="center"/>
              <w:rPr>
                <w:rFonts w:ascii="Times New Roman" w:hAnsi="Times New Roman" w:cs="Times New Roman"/>
                <w:sz w:val="16"/>
                <w:szCs w:val="16"/>
              </w:rPr>
            </w:pPr>
            <w:r w:rsidRPr="002636E3">
              <w:rPr>
                <w:rFonts w:ascii="Times New Roman" w:hAnsi="Times New Roman" w:cs="Times New Roman"/>
                <w:sz w:val="16"/>
                <w:szCs w:val="16"/>
              </w:rPr>
              <w:t>Aplicação e Limitações</w:t>
            </w:r>
          </w:p>
        </w:tc>
      </w:tr>
      <w:tr w:rsidR="002636E3" w:rsidRPr="002636E3" w14:paraId="29E66621" w14:textId="77777777" w:rsidTr="00DB5FE8">
        <w:tc>
          <w:tcPr>
            <w:tcW w:w="552" w:type="dxa"/>
          </w:tcPr>
          <w:p w14:paraId="7E3A9679"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1</w:t>
            </w:r>
          </w:p>
        </w:tc>
        <w:tc>
          <w:tcPr>
            <w:tcW w:w="1286" w:type="dxa"/>
          </w:tcPr>
          <w:p w14:paraId="28ABA495"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ZHANG E WANG (2024)</w:t>
            </w:r>
          </w:p>
        </w:tc>
        <w:tc>
          <w:tcPr>
            <w:tcW w:w="2552" w:type="dxa"/>
          </w:tcPr>
          <w:p w14:paraId="5BD5AF16"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Constroem um diagrama lógico da transformação digital em empresas de manufatura, identificando três fatores-chave para a competitividade sustentável: (i) inovação em tecnologia central (</w:t>
            </w:r>
            <w:r w:rsidRPr="00CF3146">
              <w:rPr>
                <w:rFonts w:ascii="Times New Roman" w:hAnsi="Times New Roman" w:cs="Times New Roman"/>
                <w:i/>
                <w:iCs/>
                <w:sz w:val="16"/>
                <w:szCs w:val="16"/>
              </w:rPr>
              <w:t>core</w:t>
            </w:r>
            <w:r w:rsidRPr="002636E3">
              <w:rPr>
                <w:rFonts w:ascii="Times New Roman" w:hAnsi="Times New Roman" w:cs="Times New Roman"/>
                <w:sz w:val="16"/>
                <w:szCs w:val="16"/>
              </w:rPr>
              <w:t>), (</w:t>
            </w:r>
            <w:proofErr w:type="spellStart"/>
            <w:r w:rsidRPr="002636E3">
              <w:rPr>
                <w:rFonts w:ascii="Times New Roman" w:hAnsi="Times New Roman" w:cs="Times New Roman"/>
                <w:sz w:val="16"/>
                <w:szCs w:val="16"/>
              </w:rPr>
              <w:t>ii</w:t>
            </w:r>
            <w:proofErr w:type="spellEnd"/>
            <w:r w:rsidRPr="002636E3">
              <w:rPr>
                <w:rFonts w:ascii="Times New Roman" w:hAnsi="Times New Roman" w:cs="Times New Roman"/>
                <w:sz w:val="16"/>
                <w:szCs w:val="16"/>
              </w:rPr>
              <w:t>) reengenharia do modelo de negócios e (</w:t>
            </w:r>
            <w:proofErr w:type="spellStart"/>
            <w:r w:rsidRPr="002636E3">
              <w:rPr>
                <w:rFonts w:ascii="Times New Roman" w:hAnsi="Times New Roman" w:cs="Times New Roman"/>
                <w:sz w:val="16"/>
                <w:szCs w:val="16"/>
              </w:rPr>
              <w:t>iii</w:t>
            </w:r>
            <w:proofErr w:type="spellEnd"/>
            <w:r w:rsidRPr="002636E3">
              <w:rPr>
                <w:rFonts w:ascii="Times New Roman" w:hAnsi="Times New Roman" w:cs="Times New Roman"/>
                <w:sz w:val="16"/>
                <w:szCs w:val="16"/>
              </w:rPr>
              <w:t>) otimização da estrutura organizacional.</w:t>
            </w:r>
          </w:p>
        </w:tc>
        <w:tc>
          <w:tcPr>
            <w:tcW w:w="2551" w:type="dxa"/>
          </w:tcPr>
          <w:p w14:paraId="2FAAB95B"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A capacidade de transformação digital melhora ao longo da trajetória mudança de tecnologia central → reengenharia do modelo de negócios → otimização da estrutura organizacional, elevando a vantagem competitiva sustentável.</w:t>
            </w:r>
          </w:p>
        </w:tc>
        <w:tc>
          <w:tcPr>
            <w:tcW w:w="2000" w:type="dxa"/>
          </w:tcPr>
          <w:p w14:paraId="4395B425"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Área de aplicação: Indústria de manufatura (China).</w:t>
            </w:r>
          </w:p>
          <w:p w14:paraId="612CD258" w14:textId="77777777" w:rsidR="002636E3" w:rsidRPr="002636E3" w:rsidRDefault="002636E3" w:rsidP="00DB5FE8">
            <w:pPr>
              <w:jc w:val="both"/>
              <w:rPr>
                <w:rFonts w:ascii="Times New Roman" w:hAnsi="Times New Roman" w:cs="Times New Roman"/>
                <w:sz w:val="16"/>
                <w:szCs w:val="16"/>
              </w:rPr>
            </w:pPr>
          </w:p>
          <w:p w14:paraId="0F8E712F"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 Limitações: </w:t>
            </w:r>
          </w:p>
          <w:p w14:paraId="6698CB2C" w14:textId="77777777" w:rsidR="002636E3" w:rsidRPr="002636E3" w:rsidRDefault="002636E3" w:rsidP="00DB5FE8">
            <w:pPr>
              <w:jc w:val="both"/>
              <w:rPr>
                <w:rFonts w:ascii="Times New Roman" w:hAnsi="Times New Roman" w:cs="Times New Roman"/>
                <w:sz w:val="16"/>
                <w:szCs w:val="16"/>
              </w:rPr>
            </w:pPr>
          </w:p>
          <w:p w14:paraId="0EB7528B"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1) Necessidade de mais validações empíricas em diferentes empresas para validar a estrutura proposta.</w:t>
            </w:r>
          </w:p>
        </w:tc>
      </w:tr>
      <w:tr w:rsidR="002636E3" w:rsidRPr="002636E3" w14:paraId="0AAE49B0" w14:textId="77777777" w:rsidTr="00DB5FE8">
        <w:trPr>
          <w:trHeight w:val="1590"/>
        </w:trPr>
        <w:tc>
          <w:tcPr>
            <w:tcW w:w="552" w:type="dxa"/>
          </w:tcPr>
          <w:p w14:paraId="06E8CC58"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2</w:t>
            </w:r>
          </w:p>
        </w:tc>
        <w:tc>
          <w:tcPr>
            <w:tcW w:w="1286" w:type="dxa"/>
          </w:tcPr>
          <w:p w14:paraId="2BF402F8"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QILIN E YUE (2022)</w:t>
            </w:r>
          </w:p>
        </w:tc>
        <w:tc>
          <w:tcPr>
            <w:tcW w:w="2552" w:type="dxa"/>
          </w:tcPr>
          <w:p w14:paraId="4B22A402"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Propuseram e testaram um modelo que relaciona clima de inovação, comportamento inovador individual e inovação da estrutura organizacional em empresas de manufatura com tecnologia IoT</w:t>
            </w:r>
          </w:p>
        </w:tc>
        <w:tc>
          <w:tcPr>
            <w:tcW w:w="2551" w:type="dxa"/>
          </w:tcPr>
          <w:p w14:paraId="0AFAB83F"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Observou-se quanto melhor o clima de inovação, mais as pessoas inovam e maior é a inovação da estrutura organizacional, nas empresas de manufatura que usam Internet das Coisas (IoT).</w:t>
            </w:r>
          </w:p>
          <w:p w14:paraId="4F7B025B" w14:textId="77777777" w:rsidR="002636E3" w:rsidRPr="002636E3" w:rsidRDefault="002636E3" w:rsidP="00DB5FE8">
            <w:pPr>
              <w:jc w:val="both"/>
              <w:rPr>
                <w:rFonts w:ascii="Times New Roman" w:hAnsi="Times New Roman" w:cs="Times New Roman"/>
                <w:sz w:val="16"/>
                <w:szCs w:val="16"/>
              </w:rPr>
            </w:pPr>
          </w:p>
        </w:tc>
        <w:tc>
          <w:tcPr>
            <w:tcW w:w="2000" w:type="dxa"/>
          </w:tcPr>
          <w:p w14:paraId="3D16431D"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Área de aplicação: Manufatura (tecnologia IoT)</w:t>
            </w:r>
          </w:p>
          <w:p w14:paraId="1A197226" w14:textId="77777777" w:rsidR="002636E3" w:rsidRPr="002636E3" w:rsidRDefault="002636E3" w:rsidP="00DB5FE8">
            <w:pPr>
              <w:jc w:val="both"/>
              <w:rPr>
                <w:rFonts w:ascii="Times New Roman" w:hAnsi="Times New Roman" w:cs="Times New Roman"/>
                <w:sz w:val="16"/>
                <w:szCs w:val="16"/>
              </w:rPr>
            </w:pPr>
          </w:p>
          <w:p w14:paraId="5D3CE1A3"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 Limitações: </w:t>
            </w:r>
          </w:p>
          <w:p w14:paraId="03A90F26" w14:textId="77777777" w:rsidR="002636E3" w:rsidRPr="002636E3" w:rsidRDefault="002636E3" w:rsidP="00DB5FE8">
            <w:pPr>
              <w:jc w:val="both"/>
              <w:rPr>
                <w:rFonts w:ascii="Times New Roman" w:hAnsi="Times New Roman" w:cs="Times New Roman"/>
                <w:sz w:val="16"/>
                <w:szCs w:val="16"/>
              </w:rPr>
            </w:pPr>
          </w:p>
          <w:p w14:paraId="07B6CB9F"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1) Amostra específica e generalização limitada</w:t>
            </w:r>
          </w:p>
        </w:tc>
      </w:tr>
      <w:tr w:rsidR="002636E3" w:rsidRPr="002636E3" w14:paraId="1BDA6350" w14:textId="77777777" w:rsidTr="00DB5FE8">
        <w:tc>
          <w:tcPr>
            <w:tcW w:w="552" w:type="dxa"/>
          </w:tcPr>
          <w:p w14:paraId="5B4D9DE2"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3</w:t>
            </w:r>
          </w:p>
        </w:tc>
        <w:tc>
          <w:tcPr>
            <w:tcW w:w="1286" w:type="dxa"/>
          </w:tcPr>
          <w:p w14:paraId="4BAEC2BD"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ROBERT; GIULIANI;</w:t>
            </w:r>
          </w:p>
          <w:p w14:paraId="0A71AC1F"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DUBOULOZ (2022) </w:t>
            </w:r>
          </w:p>
        </w:tc>
        <w:tc>
          <w:tcPr>
            <w:tcW w:w="2552" w:type="dxa"/>
          </w:tcPr>
          <w:p w14:paraId="45E4E479" w14:textId="72E58CB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Refinaram o modelo de implementação de MI de </w:t>
            </w:r>
            <w:proofErr w:type="spellStart"/>
            <w:r w:rsidRPr="002636E3">
              <w:rPr>
                <w:rFonts w:ascii="Times New Roman" w:hAnsi="Times New Roman" w:cs="Times New Roman"/>
                <w:sz w:val="16"/>
                <w:szCs w:val="16"/>
              </w:rPr>
              <w:t>Birkinshaw</w:t>
            </w:r>
            <w:proofErr w:type="spellEnd"/>
            <w:r w:rsidRPr="002636E3">
              <w:rPr>
                <w:rFonts w:ascii="Times New Roman" w:hAnsi="Times New Roman" w:cs="Times New Roman"/>
                <w:sz w:val="16"/>
                <w:szCs w:val="16"/>
              </w:rPr>
              <w:t xml:space="preserve"> et al. (2008), mapeando obstáculos por categoria de ator (interno/externo) e pelas cinco atividades cognitivas da fase de implementação: tentativa e erro, refino da ideia, teste da ideia, experimentação reflexiva e teorização reflexiva.</w:t>
            </w:r>
          </w:p>
        </w:tc>
        <w:tc>
          <w:tcPr>
            <w:tcW w:w="2551" w:type="dxa"/>
          </w:tcPr>
          <w:p w14:paraId="791DCD2C"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Constatou-se que os obstáculos na implementação de MI variam conforme as atividades e os atores envolvidos, evidenciando a insuficiência dos frameworks tradicionais. É essencial compreender as dinâmicas específicas de cada contexto organizacional para superar esses desafios. o estudo propõe equilibrar: (i) rigidez com flexibilidade e (</w:t>
            </w:r>
            <w:proofErr w:type="spellStart"/>
            <w:r w:rsidRPr="002636E3">
              <w:rPr>
                <w:rFonts w:ascii="Times New Roman" w:hAnsi="Times New Roman" w:cs="Times New Roman"/>
                <w:sz w:val="16"/>
                <w:szCs w:val="16"/>
              </w:rPr>
              <w:t>ii</w:t>
            </w:r>
            <w:proofErr w:type="spellEnd"/>
            <w:r w:rsidRPr="002636E3">
              <w:rPr>
                <w:rFonts w:ascii="Times New Roman" w:hAnsi="Times New Roman" w:cs="Times New Roman"/>
                <w:sz w:val="16"/>
                <w:szCs w:val="16"/>
              </w:rPr>
              <w:t>) liderança com comunitarismo elevando a.</w:t>
            </w:r>
          </w:p>
        </w:tc>
        <w:tc>
          <w:tcPr>
            <w:tcW w:w="2000" w:type="dxa"/>
          </w:tcPr>
          <w:p w14:paraId="0754FB50"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Área de aplicação: Indústria de Manufatura</w:t>
            </w:r>
          </w:p>
          <w:p w14:paraId="6239D5F2" w14:textId="77777777" w:rsidR="002636E3" w:rsidRPr="002636E3" w:rsidRDefault="002636E3" w:rsidP="00DB5FE8">
            <w:pPr>
              <w:jc w:val="both"/>
              <w:rPr>
                <w:rFonts w:ascii="Times New Roman" w:hAnsi="Times New Roman" w:cs="Times New Roman"/>
                <w:sz w:val="16"/>
                <w:szCs w:val="16"/>
              </w:rPr>
            </w:pPr>
          </w:p>
          <w:p w14:paraId="5FD1935B"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 Limitações: </w:t>
            </w:r>
          </w:p>
          <w:p w14:paraId="060F0039" w14:textId="77777777" w:rsidR="002636E3" w:rsidRPr="002636E3" w:rsidRDefault="002636E3" w:rsidP="00DB5FE8">
            <w:pPr>
              <w:jc w:val="both"/>
              <w:rPr>
                <w:rFonts w:ascii="Times New Roman" w:hAnsi="Times New Roman" w:cs="Times New Roman"/>
                <w:sz w:val="16"/>
                <w:szCs w:val="16"/>
              </w:rPr>
            </w:pPr>
          </w:p>
          <w:p w14:paraId="08884F58"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1) Possibilidade vieses dos entrevistados.</w:t>
            </w:r>
          </w:p>
          <w:p w14:paraId="7058A521"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2) Necessidade de mais tempo para teste do modelo refinado.</w:t>
            </w:r>
          </w:p>
          <w:p w14:paraId="13C3CBBE"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3) Necessidade de aplicação do modelo em contextos diferentes.</w:t>
            </w:r>
          </w:p>
          <w:p w14:paraId="596BE91A" w14:textId="77777777" w:rsidR="002636E3" w:rsidRPr="002636E3" w:rsidRDefault="002636E3" w:rsidP="00DB5FE8">
            <w:pPr>
              <w:jc w:val="both"/>
              <w:rPr>
                <w:rFonts w:ascii="Times New Roman" w:hAnsi="Times New Roman" w:cs="Times New Roman"/>
                <w:sz w:val="16"/>
                <w:szCs w:val="16"/>
              </w:rPr>
            </w:pPr>
          </w:p>
        </w:tc>
      </w:tr>
      <w:tr w:rsidR="002636E3" w:rsidRPr="002636E3" w14:paraId="77200EC1" w14:textId="77777777" w:rsidTr="00DB5FE8">
        <w:tc>
          <w:tcPr>
            <w:tcW w:w="552" w:type="dxa"/>
          </w:tcPr>
          <w:p w14:paraId="2420B7E0" w14:textId="77777777" w:rsidR="002636E3" w:rsidRPr="002636E3" w:rsidRDefault="002636E3" w:rsidP="00DB5FE8">
            <w:pPr>
              <w:jc w:val="both"/>
              <w:rPr>
                <w:rFonts w:ascii="Times New Roman" w:hAnsi="Times New Roman" w:cs="Times New Roman"/>
                <w:sz w:val="16"/>
                <w:szCs w:val="16"/>
                <w:lang w:val="es-ES"/>
              </w:rPr>
            </w:pPr>
            <w:r w:rsidRPr="002636E3">
              <w:rPr>
                <w:rFonts w:ascii="Times New Roman" w:hAnsi="Times New Roman" w:cs="Times New Roman"/>
                <w:sz w:val="16"/>
                <w:szCs w:val="16"/>
                <w:lang w:val="es-ES"/>
              </w:rPr>
              <w:lastRenderedPageBreak/>
              <w:t>4</w:t>
            </w:r>
          </w:p>
        </w:tc>
        <w:tc>
          <w:tcPr>
            <w:tcW w:w="1286" w:type="dxa"/>
          </w:tcPr>
          <w:p w14:paraId="163ACE9D" w14:textId="6B544648" w:rsidR="002636E3" w:rsidRPr="002636E3" w:rsidRDefault="002636E3" w:rsidP="00DB5FE8">
            <w:pPr>
              <w:jc w:val="both"/>
              <w:rPr>
                <w:rFonts w:ascii="Times New Roman" w:hAnsi="Times New Roman" w:cs="Times New Roman"/>
                <w:sz w:val="16"/>
                <w:szCs w:val="16"/>
                <w:lang w:val="es-ES"/>
              </w:rPr>
            </w:pPr>
            <w:r w:rsidRPr="002636E3">
              <w:rPr>
                <w:rFonts w:ascii="Times New Roman" w:hAnsi="Times New Roman" w:cs="Times New Roman"/>
                <w:sz w:val="16"/>
                <w:szCs w:val="16"/>
                <w:lang w:val="es-ES"/>
              </w:rPr>
              <w:t xml:space="preserve">NUNES, </w:t>
            </w:r>
            <w:r w:rsidRPr="00951087">
              <w:rPr>
                <w:rFonts w:ascii="Times New Roman" w:hAnsi="Times New Roman" w:cs="Times New Roman"/>
                <w:sz w:val="16"/>
                <w:szCs w:val="16"/>
                <w:lang w:val="es-ES"/>
              </w:rPr>
              <w:t>et al.</w:t>
            </w:r>
            <w:r w:rsidRPr="002636E3">
              <w:rPr>
                <w:rFonts w:ascii="Times New Roman" w:hAnsi="Times New Roman" w:cs="Times New Roman"/>
                <w:sz w:val="16"/>
                <w:szCs w:val="16"/>
                <w:lang w:val="es-ES"/>
              </w:rPr>
              <w:t xml:space="preserve"> (2021)</w:t>
            </w:r>
          </w:p>
        </w:tc>
        <w:tc>
          <w:tcPr>
            <w:tcW w:w="2552" w:type="dxa"/>
          </w:tcPr>
          <w:p w14:paraId="69152663"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Modelo heurístico DCN-PP para medir colaboração dinâmica em projetos virtuais, combinando gestão de riscos em projetos e análise de redes sociais (social network analysis, SNA) com métricas de centralidade. Analisa 3 dimensões: coesão (NCE/densidade), grau médio (NDE) e variabilidade da equipa (NTVE), a partir de e-mails e de ferramentas instantâneas (</w:t>
            </w:r>
            <w:proofErr w:type="spellStart"/>
            <w:r w:rsidRPr="002636E3">
              <w:rPr>
                <w:rFonts w:ascii="Times New Roman" w:hAnsi="Times New Roman" w:cs="Times New Roman"/>
                <w:sz w:val="16"/>
                <w:szCs w:val="16"/>
              </w:rPr>
              <w:t>iTools</w:t>
            </w:r>
            <w:proofErr w:type="spellEnd"/>
            <w:r w:rsidRPr="002636E3">
              <w:rPr>
                <w:rFonts w:ascii="Times New Roman" w:hAnsi="Times New Roman" w:cs="Times New Roman"/>
                <w:sz w:val="16"/>
                <w:szCs w:val="16"/>
              </w:rPr>
              <w:t>).</w:t>
            </w:r>
          </w:p>
        </w:tc>
        <w:tc>
          <w:tcPr>
            <w:tcW w:w="2551" w:type="dxa"/>
          </w:tcPr>
          <w:p w14:paraId="6B6E9D7F"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Permite quantificar padrões colaborativos e correlacioná-los ao desempenho/resultado dos projetos; identifica fatores críticos de sucesso ao comparar projetos bem-sucedidos e malsucedidos (quando há amostra suficiente); gera insumos para decisão e gestão de riscos colaborativos.</w:t>
            </w:r>
          </w:p>
        </w:tc>
        <w:tc>
          <w:tcPr>
            <w:tcW w:w="2000" w:type="dxa"/>
          </w:tcPr>
          <w:p w14:paraId="0D9D02CE"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Área de aplicação: Indústria Alimentícia</w:t>
            </w:r>
          </w:p>
          <w:p w14:paraId="5B816171" w14:textId="77777777" w:rsidR="002636E3" w:rsidRPr="002636E3" w:rsidRDefault="002636E3" w:rsidP="00DB5FE8">
            <w:pPr>
              <w:jc w:val="both"/>
              <w:rPr>
                <w:rFonts w:ascii="Times New Roman" w:hAnsi="Times New Roman" w:cs="Times New Roman"/>
                <w:sz w:val="16"/>
                <w:szCs w:val="16"/>
              </w:rPr>
            </w:pPr>
          </w:p>
          <w:p w14:paraId="0D840645"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Limitações:</w:t>
            </w:r>
          </w:p>
          <w:p w14:paraId="1CF12CDB" w14:textId="77777777" w:rsidR="002636E3" w:rsidRPr="002636E3" w:rsidRDefault="002636E3" w:rsidP="00DB5FE8">
            <w:pPr>
              <w:jc w:val="both"/>
              <w:rPr>
                <w:rFonts w:ascii="Times New Roman" w:hAnsi="Times New Roman" w:cs="Times New Roman"/>
                <w:sz w:val="16"/>
                <w:szCs w:val="16"/>
              </w:rPr>
            </w:pPr>
          </w:p>
          <w:p w14:paraId="6B529257"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1) Acesso, questões legais e éticas de proteção de dados.</w:t>
            </w:r>
          </w:p>
          <w:p w14:paraId="59C50A11"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2) Necessidade de infraestrutura tecnológica para coleta e tratamento.</w:t>
            </w:r>
          </w:p>
        </w:tc>
      </w:tr>
      <w:tr w:rsidR="002636E3" w:rsidRPr="002636E3" w14:paraId="4F9CF5B0" w14:textId="77777777" w:rsidTr="00DB5FE8">
        <w:tc>
          <w:tcPr>
            <w:tcW w:w="552" w:type="dxa"/>
          </w:tcPr>
          <w:p w14:paraId="23E3077D" w14:textId="77777777" w:rsidR="002636E3" w:rsidRPr="002636E3" w:rsidRDefault="002636E3" w:rsidP="00DB5FE8">
            <w:pPr>
              <w:jc w:val="both"/>
              <w:rPr>
                <w:rFonts w:ascii="Times New Roman" w:hAnsi="Times New Roman" w:cs="Times New Roman"/>
                <w:sz w:val="16"/>
                <w:szCs w:val="16"/>
                <w:lang w:val="en-US"/>
              </w:rPr>
            </w:pPr>
            <w:r w:rsidRPr="002636E3">
              <w:rPr>
                <w:rFonts w:ascii="Times New Roman" w:hAnsi="Times New Roman" w:cs="Times New Roman"/>
                <w:sz w:val="16"/>
                <w:szCs w:val="16"/>
                <w:lang w:val="en-US"/>
              </w:rPr>
              <w:t>5</w:t>
            </w:r>
          </w:p>
        </w:tc>
        <w:tc>
          <w:tcPr>
            <w:tcW w:w="1286" w:type="dxa"/>
          </w:tcPr>
          <w:p w14:paraId="57A3062C" w14:textId="77777777" w:rsidR="002636E3" w:rsidRPr="002636E3" w:rsidRDefault="002636E3" w:rsidP="00DB5FE8">
            <w:pPr>
              <w:jc w:val="both"/>
              <w:rPr>
                <w:rFonts w:ascii="Times New Roman" w:hAnsi="Times New Roman" w:cs="Times New Roman"/>
                <w:sz w:val="16"/>
                <w:szCs w:val="16"/>
                <w:lang w:val="en-US"/>
              </w:rPr>
            </w:pPr>
            <w:r w:rsidRPr="002636E3">
              <w:rPr>
                <w:rFonts w:ascii="Times New Roman" w:hAnsi="Times New Roman" w:cs="Times New Roman"/>
                <w:sz w:val="16"/>
                <w:szCs w:val="16"/>
                <w:lang w:val="en-US"/>
              </w:rPr>
              <w:t>VINCENT-HÖPER, E STEIN (2019)</w:t>
            </w:r>
          </w:p>
        </w:tc>
        <w:tc>
          <w:tcPr>
            <w:tcW w:w="2552" w:type="dxa"/>
          </w:tcPr>
          <w:p w14:paraId="2430B5EE"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Criaram um </w:t>
            </w:r>
            <w:r w:rsidRPr="00CF3146">
              <w:rPr>
                <w:rFonts w:ascii="Times New Roman" w:hAnsi="Times New Roman" w:cs="Times New Roman"/>
                <w:i/>
                <w:iCs/>
                <w:sz w:val="16"/>
                <w:szCs w:val="16"/>
              </w:rPr>
              <w:t>framework</w:t>
            </w:r>
            <w:r w:rsidRPr="002636E3">
              <w:rPr>
                <w:rFonts w:ascii="Times New Roman" w:hAnsi="Times New Roman" w:cs="Times New Roman"/>
                <w:sz w:val="16"/>
                <w:szCs w:val="16"/>
              </w:rPr>
              <w:t xml:space="preserve"> que combina o conceito de suporte do líder com o modelo de inovação de três estágios (geração, promoção e implementação) de Scott e Bruce (1994). Com base nesse framework, foi desenvolvido e validado o Questionário de Suporte do Líder à Inovação (LSIQ), que mede comportamentos específicos de liderança que apoiam os funcionários na geração, promoção e implementação de ideias. O LSIQ foi testado com dados em alemão e inglês. O estudo avalia a validade fatorial (estrutura multidimensional do LSIQ), a validade de construto (relação do LSIQ com a inovação individual e organizacional) e a validade incremental (capacidade do LSIQ de explicar a variação na inovação além das medidas de liderança transformacional e troca líder-membro).</w:t>
            </w:r>
          </w:p>
        </w:tc>
        <w:tc>
          <w:tcPr>
            <w:tcW w:w="2551" w:type="dxa"/>
          </w:tcPr>
          <w:p w14:paraId="7BC02D2B"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O LSIQ quantifica comportamentos do líder para geração, promoção e implementação. A CFA apoia 3 fatores, mas com correlações altas (estrutura com suporte fraco). O índice se correlaciona com inovação individual e organizacional e explica variância adicional além de TFL/LMX; por usar comportamentos observáveis, gera recomendações práticas.</w:t>
            </w:r>
          </w:p>
        </w:tc>
        <w:tc>
          <w:tcPr>
            <w:tcW w:w="2000" w:type="dxa"/>
          </w:tcPr>
          <w:p w14:paraId="1691D64A"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Área de aplicação: Multissetorial na Alemanha e África do Sul</w:t>
            </w:r>
          </w:p>
          <w:p w14:paraId="73D69E89" w14:textId="77777777" w:rsidR="002636E3" w:rsidRPr="002636E3" w:rsidRDefault="002636E3" w:rsidP="00DB5FE8">
            <w:pPr>
              <w:jc w:val="both"/>
              <w:rPr>
                <w:rFonts w:ascii="Times New Roman" w:hAnsi="Times New Roman" w:cs="Times New Roman"/>
                <w:sz w:val="16"/>
                <w:szCs w:val="16"/>
              </w:rPr>
            </w:pPr>
          </w:p>
          <w:p w14:paraId="0B8CDCD1"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 Limitações: </w:t>
            </w:r>
          </w:p>
          <w:p w14:paraId="35FFF8E5" w14:textId="77777777" w:rsidR="002636E3" w:rsidRPr="002636E3" w:rsidRDefault="002636E3" w:rsidP="00DB5FE8">
            <w:pPr>
              <w:jc w:val="both"/>
              <w:rPr>
                <w:rFonts w:ascii="Times New Roman" w:hAnsi="Times New Roman" w:cs="Times New Roman"/>
                <w:sz w:val="16"/>
                <w:szCs w:val="16"/>
              </w:rPr>
            </w:pPr>
          </w:p>
          <w:p w14:paraId="37FC4128"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1) Estrutura de 3 fatores com correlações fortes (cautela na interpretação).</w:t>
            </w:r>
          </w:p>
          <w:p w14:paraId="635C7ECF"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2) Amostra inglesa pequena.</w:t>
            </w:r>
          </w:p>
          <w:p w14:paraId="6E79BEE3"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3) Estudos adicionais para reforçar a validação do construto e replicação em outros contextos.</w:t>
            </w:r>
          </w:p>
        </w:tc>
      </w:tr>
      <w:tr w:rsidR="002636E3" w:rsidRPr="002636E3" w14:paraId="7E380DD4" w14:textId="77777777" w:rsidTr="00DB5FE8">
        <w:tc>
          <w:tcPr>
            <w:tcW w:w="552" w:type="dxa"/>
          </w:tcPr>
          <w:p w14:paraId="538A3814" w14:textId="77777777" w:rsidR="002636E3" w:rsidRPr="002636E3" w:rsidRDefault="002636E3" w:rsidP="00DB5FE8">
            <w:pPr>
              <w:jc w:val="both"/>
              <w:rPr>
                <w:rFonts w:ascii="Times New Roman" w:hAnsi="Times New Roman" w:cs="Times New Roman"/>
                <w:sz w:val="16"/>
                <w:szCs w:val="16"/>
                <w:lang w:val="en-US"/>
              </w:rPr>
            </w:pPr>
            <w:r w:rsidRPr="002636E3">
              <w:rPr>
                <w:rFonts w:ascii="Times New Roman" w:hAnsi="Times New Roman" w:cs="Times New Roman"/>
                <w:sz w:val="16"/>
                <w:szCs w:val="16"/>
                <w:lang w:val="en-US"/>
              </w:rPr>
              <w:t>6</w:t>
            </w:r>
          </w:p>
        </w:tc>
        <w:tc>
          <w:tcPr>
            <w:tcW w:w="1286" w:type="dxa"/>
          </w:tcPr>
          <w:p w14:paraId="78963A9E" w14:textId="1B193776" w:rsidR="002636E3" w:rsidRPr="002636E3" w:rsidRDefault="002636E3" w:rsidP="00DB5FE8">
            <w:pPr>
              <w:jc w:val="both"/>
              <w:rPr>
                <w:rFonts w:ascii="Times New Roman" w:hAnsi="Times New Roman" w:cs="Times New Roman"/>
                <w:sz w:val="16"/>
                <w:szCs w:val="16"/>
                <w:lang w:val="en-US"/>
              </w:rPr>
            </w:pPr>
            <w:r w:rsidRPr="002636E3">
              <w:rPr>
                <w:rFonts w:ascii="Times New Roman" w:hAnsi="Times New Roman" w:cs="Times New Roman"/>
                <w:sz w:val="16"/>
                <w:szCs w:val="16"/>
                <w:lang w:val="en-US"/>
              </w:rPr>
              <w:t xml:space="preserve">WU </w:t>
            </w:r>
            <w:r w:rsidRPr="00951087">
              <w:rPr>
                <w:rFonts w:ascii="Times New Roman" w:hAnsi="Times New Roman" w:cs="Times New Roman"/>
                <w:sz w:val="16"/>
                <w:szCs w:val="16"/>
                <w:lang w:val="en-US"/>
              </w:rPr>
              <w:t>et al</w:t>
            </w:r>
            <w:r w:rsidRPr="002636E3">
              <w:rPr>
                <w:rFonts w:ascii="Times New Roman" w:hAnsi="Times New Roman" w:cs="Times New Roman"/>
                <w:sz w:val="16"/>
                <w:szCs w:val="16"/>
                <w:lang w:val="en-US"/>
              </w:rPr>
              <w:t>. (2019)</w:t>
            </w:r>
          </w:p>
        </w:tc>
        <w:tc>
          <w:tcPr>
            <w:tcW w:w="2552" w:type="dxa"/>
          </w:tcPr>
          <w:p w14:paraId="3653BA0F"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Propuseram e testaram um modelo Cultura-Estratégia-Inovação que integra tipos de cultura organizacional inovadora (IOC), burocrática (BOC) e de confiança/suporte (TOC), com estratégias de operações: orientada à flexibilidade (FOS), à entrega (DOS), ao custo (COS), e à qualidade (QOS), para explicar inovação de produto (PI) e inovação de processo (CI). </w:t>
            </w:r>
          </w:p>
          <w:p w14:paraId="45159243" w14:textId="77777777" w:rsidR="002636E3" w:rsidRPr="002636E3" w:rsidRDefault="002636E3" w:rsidP="00DB5FE8">
            <w:pPr>
              <w:jc w:val="both"/>
              <w:rPr>
                <w:rFonts w:ascii="Times New Roman" w:hAnsi="Times New Roman" w:cs="Times New Roman"/>
                <w:sz w:val="16"/>
                <w:szCs w:val="16"/>
              </w:rPr>
            </w:pPr>
          </w:p>
          <w:p w14:paraId="6798F2BF"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O modelo foi operacionalizado via SEM (modelagem de equações estruturais) em uma pesquisa-</w:t>
            </w:r>
            <w:proofErr w:type="spellStart"/>
            <w:r w:rsidRPr="002636E3">
              <w:rPr>
                <w:rFonts w:ascii="Times New Roman" w:hAnsi="Times New Roman" w:cs="Times New Roman"/>
                <w:sz w:val="16"/>
                <w:szCs w:val="16"/>
              </w:rPr>
              <w:t>survey</w:t>
            </w:r>
            <w:proofErr w:type="spellEnd"/>
            <w:r w:rsidRPr="002636E3">
              <w:rPr>
                <w:rFonts w:ascii="Times New Roman" w:hAnsi="Times New Roman" w:cs="Times New Roman"/>
                <w:sz w:val="16"/>
                <w:szCs w:val="16"/>
              </w:rPr>
              <w:t xml:space="preserve"> com 233 respondentes de 17 </w:t>
            </w:r>
            <w:proofErr w:type="spellStart"/>
            <w:r w:rsidRPr="002636E3">
              <w:rPr>
                <w:rFonts w:ascii="Times New Roman" w:hAnsi="Times New Roman" w:cs="Times New Roman"/>
                <w:sz w:val="16"/>
                <w:szCs w:val="16"/>
              </w:rPr>
              <w:t>PMEs</w:t>
            </w:r>
            <w:proofErr w:type="spellEnd"/>
            <w:r w:rsidRPr="002636E3">
              <w:rPr>
                <w:rFonts w:ascii="Times New Roman" w:hAnsi="Times New Roman" w:cs="Times New Roman"/>
                <w:sz w:val="16"/>
                <w:szCs w:val="16"/>
              </w:rPr>
              <w:t xml:space="preserve"> de manufatura em Taiwan.</w:t>
            </w:r>
          </w:p>
        </w:tc>
        <w:tc>
          <w:tcPr>
            <w:tcW w:w="2551" w:type="dxa"/>
          </w:tcPr>
          <w:p w14:paraId="71A5847E"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1) O modelo mostrou-se adequado e evidenciou que a combinação IOC + FOS tem o maior efeito sobre a inovação de processo (CI), o que melhora os resultados inovadores da organização. </w:t>
            </w:r>
          </w:p>
          <w:p w14:paraId="75D8C052" w14:textId="77777777" w:rsidR="002636E3" w:rsidRPr="002636E3" w:rsidRDefault="002636E3" w:rsidP="00DB5FE8">
            <w:pPr>
              <w:jc w:val="both"/>
              <w:rPr>
                <w:rFonts w:ascii="Times New Roman" w:hAnsi="Times New Roman" w:cs="Times New Roman"/>
                <w:sz w:val="16"/>
                <w:szCs w:val="16"/>
              </w:rPr>
            </w:pPr>
          </w:p>
          <w:p w14:paraId="1756EF05"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2) Os autores observam que, em outros contextos, outras combinações cultura-estratégia podem produzir níveis distintos de sucesso em inovação (i.e., há contingência).</w:t>
            </w:r>
          </w:p>
        </w:tc>
        <w:tc>
          <w:tcPr>
            <w:tcW w:w="2000" w:type="dxa"/>
          </w:tcPr>
          <w:p w14:paraId="7D1C5593"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 Área de aplicação: </w:t>
            </w:r>
            <w:proofErr w:type="spellStart"/>
            <w:r w:rsidRPr="002636E3">
              <w:rPr>
                <w:rFonts w:ascii="Times New Roman" w:hAnsi="Times New Roman" w:cs="Times New Roman"/>
                <w:sz w:val="16"/>
                <w:szCs w:val="16"/>
              </w:rPr>
              <w:t>PMEs</w:t>
            </w:r>
            <w:proofErr w:type="spellEnd"/>
            <w:r w:rsidRPr="002636E3">
              <w:rPr>
                <w:rFonts w:ascii="Times New Roman" w:hAnsi="Times New Roman" w:cs="Times New Roman"/>
                <w:sz w:val="16"/>
                <w:szCs w:val="16"/>
              </w:rPr>
              <w:t xml:space="preserve"> Manufatura </w:t>
            </w:r>
          </w:p>
          <w:p w14:paraId="430BE289" w14:textId="77777777" w:rsidR="002636E3" w:rsidRPr="002636E3" w:rsidRDefault="002636E3" w:rsidP="00DB5FE8">
            <w:pPr>
              <w:jc w:val="both"/>
              <w:rPr>
                <w:rFonts w:ascii="Times New Roman" w:hAnsi="Times New Roman" w:cs="Times New Roman"/>
                <w:sz w:val="16"/>
                <w:szCs w:val="16"/>
              </w:rPr>
            </w:pPr>
          </w:p>
          <w:p w14:paraId="39FE7E9B"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 Limitações: </w:t>
            </w:r>
          </w:p>
          <w:p w14:paraId="734BDC2B" w14:textId="77777777" w:rsidR="002636E3" w:rsidRPr="002636E3" w:rsidRDefault="002636E3" w:rsidP="00DB5FE8">
            <w:pPr>
              <w:jc w:val="both"/>
              <w:rPr>
                <w:rFonts w:ascii="Times New Roman" w:hAnsi="Times New Roman" w:cs="Times New Roman"/>
                <w:sz w:val="16"/>
                <w:szCs w:val="16"/>
              </w:rPr>
            </w:pPr>
          </w:p>
          <w:p w14:paraId="404A51FC"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1) Amostra restrita; viés.</w:t>
            </w:r>
          </w:p>
        </w:tc>
      </w:tr>
      <w:tr w:rsidR="002636E3" w:rsidRPr="002636E3" w14:paraId="7FEBE069" w14:textId="77777777" w:rsidTr="00DB5FE8">
        <w:tc>
          <w:tcPr>
            <w:tcW w:w="552" w:type="dxa"/>
          </w:tcPr>
          <w:p w14:paraId="477783B0" w14:textId="77777777" w:rsidR="002636E3" w:rsidRPr="002636E3" w:rsidRDefault="002636E3" w:rsidP="00DB5FE8">
            <w:pPr>
              <w:jc w:val="both"/>
              <w:rPr>
                <w:rFonts w:ascii="Times New Roman" w:hAnsi="Times New Roman" w:cs="Times New Roman"/>
                <w:sz w:val="16"/>
                <w:szCs w:val="16"/>
                <w:lang w:val="en-US"/>
              </w:rPr>
            </w:pPr>
            <w:r w:rsidRPr="002636E3">
              <w:rPr>
                <w:rFonts w:ascii="Times New Roman" w:hAnsi="Times New Roman" w:cs="Times New Roman"/>
                <w:sz w:val="16"/>
                <w:szCs w:val="16"/>
                <w:lang w:val="en-US"/>
              </w:rPr>
              <w:t>7</w:t>
            </w:r>
          </w:p>
        </w:tc>
        <w:tc>
          <w:tcPr>
            <w:tcW w:w="1286" w:type="dxa"/>
          </w:tcPr>
          <w:p w14:paraId="4F03D293" w14:textId="77777777" w:rsidR="002636E3" w:rsidRPr="002636E3" w:rsidRDefault="002636E3" w:rsidP="00DB5FE8">
            <w:pPr>
              <w:jc w:val="both"/>
              <w:rPr>
                <w:rFonts w:ascii="Times New Roman" w:hAnsi="Times New Roman" w:cs="Times New Roman"/>
                <w:sz w:val="16"/>
                <w:szCs w:val="16"/>
                <w:lang w:val="en-US"/>
              </w:rPr>
            </w:pPr>
            <w:r w:rsidRPr="002636E3">
              <w:rPr>
                <w:rFonts w:ascii="Times New Roman" w:hAnsi="Times New Roman" w:cs="Times New Roman"/>
                <w:sz w:val="16"/>
                <w:szCs w:val="16"/>
                <w:lang w:val="en-US"/>
              </w:rPr>
              <w:t>HAN; TENG; CAI (2019)</w:t>
            </w:r>
          </w:p>
        </w:tc>
        <w:tc>
          <w:tcPr>
            <w:tcW w:w="2552" w:type="dxa"/>
          </w:tcPr>
          <w:p w14:paraId="60B230DC"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Propuseram um método de seleção de parceiros que integra duas redes: a de colaboração e a de conhecimento. O processo ocorre em três etapas: primeiro, “desconstrói” a rede colaborativa egocêntrica para reduzir redundâncias, detectando comunidades (</w:t>
            </w:r>
            <w:proofErr w:type="spellStart"/>
            <w:r w:rsidRPr="002636E3">
              <w:rPr>
                <w:rFonts w:ascii="Times New Roman" w:hAnsi="Times New Roman" w:cs="Times New Roman"/>
                <w:sz w:val="16"/>
                <w:szCs w:val="16"/>
              </w:rPr>
              <w:t>Louvain</w:t>
            </w:r>
            <w:proofErr w:type="spellEnd"/>
            <w:r w:rsidRPr="002636E3">
              <w:rPr>
                <w:rFonts w:ascii="Times New Roman" w:hAnsi="Times New Roman" w:cs="Times New Roman"/>
                <w:sz w:val="16"/>
                <w:szCs w:val="16"/>
              </w:rPr>
              <w:t xml:space="preserve">) e escolhendo contatos primários-chave com base em centralidade de intermediação e de proximidade, o que libera capacidade para novos vínculos; depois, modela a fusão de conhecimento usando a centralidade de grau dos elementos de conhecimento, estimando quanto cada parceria acrescenta ao repertório técnico; por fim, aplica programação multiobjetivo para </w:t>
            </w:r>
            <w:r w:rsidRPr="002636E3">
              <w:rPr>
                <w:rFonts w:ascii="Times New Roman" w:hAnsi="Times New Roman" w:cs="Times New Roman"/>
                <w:sz w:val="16"/>
                <w:szCs w:val="16"/>
              </w:rPr>
              <w:lastRenderedPageBreak/>
              <w:t>maximizar simultaneamente benefícios sociais, como acesso a contatos secundários, e benefícios de conhecimento, produzindo um conjunto de soluções eficientes de Pareto.</w:t>
            </w:r>
          </w:p>
        </w:tc>
        <w:tc>
          <w:tcPr>
            <w:tcW w:w="2551" w:type="dxa"/>
          </w:tcPr>
          <w:p w14:paraId="2F09517F"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lastRenderedPageBreak/>
              <w:t xml:space="preserve">Na prática, o método levou o ator focal a escolher três novos parceiros para otimização local (v_c3, v_c7 e v_c8) e a substituir contatos por primários-chave, delegando a estes a gestão da informação (ex.: v2, v12 e v39 passaram a gerir v1, v14 e v51), o que abriu capacidade para novas conexões. </w:t>
            </w:r>
          </w:p>
          <w:p w14:paraId="13884C5B"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 Como efeito imediato, a tamanho efetivo da rede subiu de 12,508 para 13,272, a eficiência de 0,695 para 0,737, a restrição caiu de 0,224 para 0,193, e houve ganho de conhecimento de 543,4. </w:t>
            </w:r>
          </w:p>
          <w:p w14:paraId="6EE60304"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 Em termos de capacidade futura, o estudo indica que é possível integrar até 11 novos parceiros; por simulação, colaborar com 11 uma vez reduz a restrição para 0,241, e </w:t>
            </w:r>
            <w:r w:rsidRPr="002636E3">
              <w:rPr>
                <w:rFonts w:ascii="Times New Roman" w:hAnsi="Times New Roman" w:cs="Times New Roman"/>
                <w:sz w:val="16"/>
                <w:szCs w:val="16"/>
              </w:rPr>
              <w:lastRenderedPageBreak/>
              <w:t>duas vezes para 0,183, aumentando os benefícios sociais com menos tempo e energia.</w:t>
            </w:r>
          </w:p>
        </w:tc>
        <w:tc>
          <w:tcPr>
            <w:tcW w:w="2000" w:type="dxa"/>
          </w:tcPr>
          <w:p w14:paraId="090EA6FE"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lastRenderedPageBreak/>
              <w:t>- Área de aplicação: Indústria Intensiva de Tecnologia</w:t>
            </w:r>
          </w:p>
          <w:p w14:paraId="12291F8A" w14:textId="77777777" w:rsidR="002636E3" w:rsidRPr="002636E3" w:rsidRDefault="002636E3" w:rsidP="00DB5FE8">
            <w:pPr>
              <w:jc w:val="both"/>
              <w:rPr>
                <w:rFonts w:ascii="Times New Roman" w:hAnsi="Times New Roman" w:cs="Times New Roman"/>
                <w:sz w:val="16"/>
                <w:szCs w:val="16"/>
              </w:rPr>
            </w:pPr>
          </w:p>
          <w:p w14:paraId="4EABACA0"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 Limitações: </w:t>
            </w:r>
          </w:p>
          <w:p w14:paraId="2B0A5882" w14:textId="77777777" w:rsidR="002636E3" w:rsidRPr="002636E3" w:rsidRDefault="002636E3" w:rsidP="00DB5FE8">
            <w:pPr>
              <w:jc w:val="both"/>
              <w:rPr>
                <w:rFonts w:ascii="Times New Roman" w:hAnsi="Times New Roman" w:cs="Times New Roman"/>
                <w:sz w:val="16"/>
                <w:szCs w:val="16"/>
              </w:rPr>
            </w:pPr>
          </w:p>
          <w:p w14:paraId="46F239A9"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1) O método não incorpora atributos humanos qualitativos, como confiabilidade, histórico de cooperação, lealdade, disponibilidade e compatibilidade cultural.</w:t>
            </w:r>
          </w:p>
          <w:p w14:paraId="559AD858" w14:textId="77777777" w:rsidR="002636E3" w:rsidRPr="002636E3" w:rsidRDefault="002636E3" w:rsidP="00DB5FE8">
            <w:pPr>
              <w:jc w:val="both"/>
              <w:rPr>
                <w:rFonts w:ascii="Times New Roman" w:hAnsi="Times New Roman" w:cs="Times New Roman"/>
                <w:sz w:val="16"/>
                <w:szCs w:val="16"/>
              </w:rPr>
            </w:pPr>
          </w:p>
          <w:p w14:paraId="306A7A8A"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2) A fusão de conhecimento é representada apenas por ligações diretas entre elementos do conhecimento, sem considerar encadeamentos </w:t>
            </w:r>
            <w:r w:rsidRPr="002636E3">
              <w:rPr>
                <w:rFonts w:ascii="Times New Roman" w:hAnsi="Times New Roman" w:cs="Times New Roman"/>
                <w:sz w:val="16"/>
                <w:szCs w:val="16"/>
              </w:rPr>
              <w:lastRenderedPageBreak/>
              <w:t>mais longos, complementaridades emergentes, dependências temporais e mecanismos organizacionais mais amplos de gestão do conhecimento.</w:t>
            </w:r>
          </w:p>
        </w:tc>
      </w:tr>
      <w:tr w:rsidR="002636E3" w:rsidRPr="002636E3" w14:paraId="73C23DA4" w14:textId="77777777" w:rsidTr="00DB5FE8">
        <w:tc>
          <w:tcPr>
            <w:tcW w:w="552" w:type="dxa"/>
          </w:tcPr>
          <w:p w14:paraId="170D2C02" w14:textId="77777777" w:rsidR="002636E3" w:rsidRPr="002636E3" w:rsidRDefault="002636E3" w:rsidP="00DB5FE8">
            <w:pPr>
              <w:jc w:val="both"/>
              <w:rPr>
                <w:rFonts w:ascii="Times New Roman" w:hAnsi="Times New Roman" w:cs="Times New Roman"/>
                <w:sz w:val="16"/>
                <w:szCs w:val="16"/>
                <w:lang w:val="en-US"/>
              </w:rPr>
            </w:pPr>
            <w:r w:rsidRPr="002636E3">
              <w:rPr>
                <w:rFonts w:ascii="Times New Roman" w:hAnsi="Times New Roman" w:cs="Times New Roman"/>
                <w:sz w:val="16"/>
                <w:szCs w:val="16"/>
                <w:lang w:val="en-US"/>
              </w:rPr>
              <w:lastRenderedPageBreak/>
              <w:t>8</w:t>
            </w:r>
          </w:p>
        </w:tc>
        <w:tc>
          <w:tcPr>
            <w:tcW w:w="1286" w:type="dxa"/>
          </w:tcPr>
          <w:p w14:paraId="6F5E18F9" w14:textId="77777777" w:rsidR="002636E3" w:rsidRPr="002636E3" w:rsidRDefault="002636E3" w:rsidP="00DB5FE8">
            <w:pPr>
              <w:jc w:val="both"/>
              <w:rPr>
                <w:rFonts w:ascii="Times New Roman" w:hAnsi="Times New Roman" w:cs="Times New Roman"/>
                <w:sz w:val="16"/>
                <w:szCs w:val="16"/>
                <w:lang w:val="en-US"/>
              </w:rPr>
            </w:pPr>
            <w:r w:rsidRPr="002636E3">
              <w:rPr>
                <w:rFonts w:ascii="Times New Roman" w:hAnsi="Times New Roman" w:cs="Times New Roman"/>
                <w:sz w:val="16"/>
                <w:szCs w:val="16"/>
                <w:lang w:val="en-US"/>
              </w:rPr>
              <w:t>RASMUSSEN E HALL, H. (2016)</w:t>
            </w:r>
          </w:p>
        </w:tc>
        <w:tc>
          <w:tcPr>
            <w:tcW w:w="2552" w:type="dxa"/>
          </w:tcPr>
          <w:p w14:paraId="07F0F6E8"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Estudar em profundidade como uma inovação gerencial (um programa de Gestão do Conhecimento) é adotada numa organização e, a partir disso, estender/refinar um modelo do processo de adoção: 3 fases (iniciação, implementação, resultados), 9 episódios (com 2 recursivos), com pontos de decisão dentro dos episódios, entre fases e entre episódios.</w:t>
            </w:r>
          </w:p>
        </w:tc>
        <w:tc>
          <w:tcPr>
            <w:tcW w:w="2551" w:type="dxa"/>
          </w:tcPr>
          <w:p w14:paraId="423CCBDE"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1) Modelo de adoção refinado: três fases (Iniciação, Implementação, Resultados) e nove episódios, com decisões situadas dentro dos episódios, entre fases e entre episódios.</w:t>
            </w:r>
          </w:p>
          <w:p w14:paraId="3165D638" w14:textId="77777777" w:rsidR="002636E3" w:rsidRPr="002636E3" w:rsidRDefault="002636E3" w:rsidP="00DB5FE8">
            <w:pPr>
              <w:jc w:val="both"/>
              <w:rPr>
                <w:rFonts w:ascii="Times New Roman" w:hAnsi="Times New Roman" w:cs="Times New Roman"/>
                <w:sz w:val="16"/>
                <w:szCs w:val="16"/>
              </w:rPr>
            </w:pPr>
          </w:p>
          <w:p w14:paraId="2AD802A1"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2) Não linearidade e sobreposição: as fases podem ocorrer em paralelo; os episódios não seguem uma sequência fixa.</w:t>
            </w:r>
          </w:p>
          <w:p w14:paraId="3BE99DA0" w14:textId="77777777" w:rsidR="002636E3" w:rsidRPr="002636E3" w:rsidRDefault="002636E3" w:rsidP="00DB5FE8">
            <w:pPr>
              <w:jc w:val="both"/>
              <w:rPr>
                <w:rFonts w:ascii="Times New Roman" w:hAnsi="Times New Roman" w:cs="Times New Roman"/>
                <w:sz w:val="16"/>
                <w:szCs w:val="16"/>
              </w:rPr>
            </w:pPr>
          </w:p>
          <w:p w14:paraId="0C50D360"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3) O modelo serve como ferramenta de gestão de projetos, orientando perguntas e decisões em momentos críticos da adoção de inovações gerenciais</w:t>
            </w:r>
          </w:p>
        </w:tc>
        <w:tc>
          <w:tcPr>
            <w:tcW w:w="2000" w:type="dxa"/>
          </w:tcPr>
          <w:p w14:paraId="13C9D1F6"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Área de aplicação: agência pública europeia</w:t>
            </w:r>
          </w:p>
          <w:p w14:paraId="408873CE" w14:textId="77777777" w:rsidR="002636E3" w:rsidRPr="002636E3" w:rsidRDefault="002636E3" w:rsidP="00DB5FE8">
            <w:pPr>
              <w:jc w:val="both"/>
              <w:rPr>
                <w:rFonts w:ascii="Times New Roman" w:hAnsi="Times New Roman" w:cs="Times New Roman"/>
                <w:sz w:val="16"/>
                <w:szCs w:val="16"/>
              </w:rPr>
            </w:pPr>
          </w:p>
          <w:p w14:paraId="4DCF6A78"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 Limitações: </w:t>
            </w:r>
          </w:p>
          <w:p w14:paraId="2934661F" w14:textId="77777777" w:rsidR="002636E3" w:rsidRPr="002636E3" w:rsidRDefault="002636E3" w:rsidP="00DB5FE8">
            <w:pPr>
              <w:jc w:val="both"/>
              <w:rPr>
                <w:rFonts w:ascii="Times New Roman" w:hAnsi="Times New Roman" w:cs="Times New Roman"/>
                <w:sz w:val="16"/>
                <w:szCs w:val="16"/>
              </w:rPr>
            </w:pPr>
          </w:p>
          <w:p w14:paraId="5A3E75A6"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1) Um único caso em um setor e contexto específicos.</w:t>
            </w:r>
          </w:p>
          <w:p w14:paraId="29343899"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2) Não foi possível realizar entrevistas / levantamentos com funcionários, o que limita a triangulação; parte dos dados veio de documentos internos e observação), o que pode introduzir vieses.</w:t>
            </w:r>
          </w:p>
          <w:p w14:paraId="536C1082" w14:textId="77777777" w:rsidR="002636E3" w:rsidRPr="002636E3" w:rsidRDefault="002636E3" w:rsidP="00DB5FE8">
            <w:pPr>
              <w:jc w:val="both"/>
              <w:rPr>
                <w:rFonts w:ascii="Times New Roman" w:hAnsi="Times New Roman" w:cs="Times New Roman"/>
                <w:sz w:val="16"/>
                <w:szCs w:val="16"/>
              </w:rPr>
            </w:pPr>
          </w:p>
        </w:tc>
      </w:tr>
      <w:tr w:rsidR="002636E3" w:rsidRPr="002636E3" w14:paraId="664AE085" w14:textId="77777777" w:rsidTr="00DB5FE8">
        <w:tc>
          <w:tcPr>
            <w:tcW w:w="552" w:type="dxa"/>
          </w:tcPr>
          <w:p w14:paraId="7DC3A46D"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9</w:t>
            </w:r>
          </w:p>
        </w:tc>
        <w:tc>
          <w:tcPr>
            <w:tcW w:w="1286" w:type="dxa"/>
          </w:tcPr>
          <w:p w14:paraId="5587E082"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VISHNEVSKIY; KARASEV; MEISSNER (2015)</w:t>
            </w:r>
          </w:p>
        </w:tc>
        <w:tc>
          <w:tcPr>
            <w:tcW w:w="2552" w:type="dxa"/>
          </w:tcPr>
          <w:p w14:paraId="58BCBF41" w14:textId="6BF71D86" w:rsidR="002636E3" w:rsidRPr="002636E3" w:rsidRDefault="002636E3" w:rsidP="00DB5FE8">
            <w:pPr>
              <w:jc w:val="both"/>
              <w:rPr>
                <w:rFonts w:ascii="Times New Roman" w:hAnsi="Times New Roman" w:cs="Times New Roman"/>
                <w:sz w:val="16"/>
                <w:szCs w:val="16"/>
              </w:rPr>
            </w:pPr>
            <w:r w:rsidRPr="00CF3146">
              <w:rPr>
                <w:rFonts w:ascii="Times New Roman" w:hAnsi="Times New Roman" w:cs="Times New Roman"/>
                <w:sz w:val="16"/>
                <w:szCs w:val="16"/>
              </w:rPr>
              <w:t>Propuseram uma abordagem integrada que combina Antevisão Corporativa (</w:t>
            </w:r>
            <w:r w:rsidR="00FE3BE8" w:rsidRPr="00CF3146">
              <w:rPr>
                <w:rFonts w:ascii="Times New Roman" w:hAnsi="Times New Roman" w:cs="Times New Roman"/>
                <w:i/>
                <w:iCs/>
                <w:sz w:val="16"/>
                <w:szCs w:val="16"/>
              </w:rPr>
              <w:t>C</w:t>
            </w:r>
            <w:r w:rsidRPr="00CF3146">
              <w:rPr>
                <w:rFonts w:ascii="Times New Roman" w:hAnsi="Times New Roman" w:cs="Times New Roman"/>
                <w:i/>
                <w:iCs/>
                <w:sz w:val="16"/>
                <w:szCs w:val="16"/>
              </w:rPr>
              <w:t xml:space="preserve">orporate </w:t>
            </w:r>
            <w:proofErr w:type="spellStart"/>
            <w:r w:rsidR="00FE3BE8" w:rsidRPr="00CF3146">
              <w:rPr>
                <w:rFonts w:ascii="Times New Roman" w:hAnsi="Times New Roman" w:cs="Times New Roman"/>
                <w:i/>
                <w:iCs/>
                <w:sz w:val="16"/>
                <w:szCs w:val="16"/>
              </w:rPr>
              <w:t>F</w:t>
            </w:r>
            <w:r w:rsidRPr="00CF3146">
              <w:rPr>
                <w:rFonts w:ascii="Times New Roman" w:hAnsi="Times New Roman" w:cs="Times New Roman"/>
                <w:i/>
                <w:iCs/>
                <w:sz w:val="16"/>
                <w:szCs w:val="16"/>
              </w:rPr>
              <w:t>oresight</w:t>
            </w:r>
            <w:proofErr w:type="spellEnd"/>
            <w:r w:rsidRPr="00CF3146">
              <w:rPr>
                <w:rFonts w:ascii="Times New Roman" w:hAnsi="Times New Roman" w:cs="Times New Roman"/>
                <w:sz w:val="16"/>
                <w:szCs w:val="16"/>
              </w:rPr>
              <w:t>) e Roteiros Integrados (</w:t>
            </w:r>
            <w:proofErr w:type="spellStart"/>
            <w:r w:rsidRPr="00CF3146">
              <w:rPr>
                <w:rFonts w:ascii="Times New Roman" w:hAnsi="Times New Roman" w:cs="Times New Roman"/>
                <w:i/>
                <w:iCs/>
                <w:sz w:val="16"/>
                <w:szCs w:val="16"/>
              </w:rPr>
              <w:t>integrated</w:t>
            </w:r>
            <w:proofErr w:type="spellEnd"/>
            <w:r w:rsidRPr="00CF3146">
              <w:rPr>
                <w:rFonts w:ascii="Times New Roman" w:hAnsi="Times New Roman" w:cs="Times New Roman"/>
                <w:i/>
                <w:iCs/>
                <w:sz w:val="16"/>
                <w:szCs w:val="16"/>
              </w:rPr>
              <w:t xml:space="preserve"> roadmapping</w:t>
            </w:r>
            <w:r w:rsidRPr="00CF3146">
              <w:rPr>
                <w:rFonts w:ascii="Times New Roman" w:hAnsi="Times New Roman" w:cs="Times New Roman"/>
                <w:sz w:val="16"/>
                <w:szCs w:val="16"/>
              </w:rPr>
              <w:t>), com processo em fases, novo desenho de roadmap (camadas de tecnologias, produtos, mercados) e interface direta com a estratégia corporativa</w:t>
            </w:r>
          </w:p>
        </w:tc>
        <w:tc>
          <w:tcPr>
            <w:tcW w:w="2551" w:type="dxa"/>
          </w:tcPr>
          <w:p w14:paraId="5C020D42"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Aplicada em 46 casos (2008 -2013), a abordagem permitiu estimar a dinâmica de longo prazo dos mercados, avaliar o potencial competitivo de grupos de produtos inovadores, identificar fatores que influenciam tamanho/forma/ evolução de segmentos de mercado, perfis de usuários e requisitos; gerou planos (P&amp;D, manufatura, produto, comercialização) e </w:t>
            </w:r>
            <w:proofErr w:type="spellStart"/>
            <w:r w:rsidRPr="00CF3146">
              <w:rPr>
                <w:rFonts w:ascii="Times New Roman" w:hAnsi="Times New Roman" w:cs="Times New Roman"/>
                <w:i/>
                <w:iCs/>
                <w:sz w:val="16"/>
                <w:szCs w:val="16"/>
              </w:rPr>
              <w:t>roadmaps</w:t>
            </w:r>
            <w:proofErr w:type="spellEnd"/>
            <w:r w:rsidRPr="002636E3">
              <w:rPr>
                <w:rFonts w:ascii="Times New Roman" w:hAnsi="Times New Roman" w:cs="Times New Roman"/>
                <w:sz w:val="16"/>
                <w:szCs w:val="16"/>
              </w:rPr>
              <w:t xml:space="preserve"> com trajetórias, prioridades e pontos de decisão.</w:t>
            </w:r>
          </w:p>
        </w:tc>
        <w:tc>
          <w:tcPr>
            <w:tcW w:w="2000" w:type="dxa"/>
          </w:tcPr>
          <w:p w14:paraId="55C3855A"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 Área de aplicação: </w:t>
            </w:r>
            <w:proofErr w:type="spellStart"/>
            <w:r w:rsidRPr="002636E3">
              <w:rPr>
                <w:rFonts w:ascii="Times New Roman" w:hAnsi="Times New Roman" w:cs="Times New Roman"/>
                <w:sz w:val="16"/>
                <w:szCs w:val="16"/>
              </w:rPr>
              <w:t>Multissetoria</w:t>
            </w:r>
            <w:proofErr w:type="spellEnd"/>
            <w:r w:rsidRPr="002636E3">
              <w:rPr>
                <w:rFonts w:ascii="Times New Roman" w:hAnsi="Times New Roman" w:cs="Times New Roman"/>
                <w:sz w:val="16"/>
                <w:szCs w:val="16"/>
              </w:rPr>
              <w:t>: aplicada em óleo e gás, energia e aviação (entre outros)</w:t>
            </w:r>
          </w:p>
          <w:p w14:paraId="48DFA882" w14:textId="77777777" w:rsidR="002636E3" w:rsidRPr="002636E3" w:rsidRDefault="002636E3" w:rsidP="00DB5FE8">
            <w:pPr>
              <w:jc w:val="both"/>
              <w:rPr>
                <w:rFonts w:ascii="Times New Roman" w:hAnsi="Times New Roman" w:cs="Times New Roman"/>
                <w:sz w:val="16"/>
                <w:szCs w:val="16"/>
              </w:rPr>
            </w:pPr>
          </w:p>
          <w:p w14:paraId="475062C3"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 Limitações: </w:t>
            </w:r>
          </w:p>
          <w:p w14:paraId="71E99D04" w14:textId="77777777" w:rsidR="002636E3" w:rsidRPr="002636E3" w:rsidRDefault="002636E3" w:rsidP="00DB5FE8">
            <w:pPr>
              <w:jc w:val="both"/>
              <w:rPr>
                <w:rFonts w:ascii="Times New Roman" w:hAnsi="Times New Roman" w:cs="Times New Roman"/>
                <w:sz w:val="16"/>
                <w:szCs w:val="16"/>
              </w:rPr>
            </w:pPr>
          </w:p>
          <w:p w14:paraId="2A399BEA"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1) Custo e necessidade de atualizações regulares do </w:t>
            </w:r>
            <w:proofErr w:type="spellStart"/>
            <w:r w:rsidRPr="00CF3146">
              <w:rPr>
                <w:rFonts w:ascii="Times New Roman" w:hAnsi="Times New Roman" w:cs="Times New Roman"/>
                <w:i/>
                <w:iCs/>
                <w:sz w:val="16"/>
                <w:szCs w:val="16"/>
              </w:rPr>
              <w:t>foresight</w:t>
            </w:r>
            <w:proofErr w:type="spellEnd"/>
            <w:r w:rsidRPr="00CF3146">
              <w:rPr>
                <w:rFonts w:ascii="Times New Roman" w:hAnsi="Times New Roman" w:cs="Times New Roman"/>
                <w:i/>
                <w:iCs/>
                <w:sz w:val="16"/>
                <w:szCs w:val="16"/>
              </w:rPr>
              <w:t>/roadmap</w:t>
            </w:r>
            <w:r w:rsidRPr="002636E3">
              <w:rPr>
                <w:rFonts w:ascii="Times New Roman" w:hAnsi="Times New Roman" w:cs="Times New Roman"/>
                <w:sz w:val="16"/>
                <w:szCs w:val="16"/>
              </w:rPr>
              <w:t>.</w:t>
            </w:r>
          </w:p>
          <w:p w14:paraId="7F1F246A" w14:textId="77777777" w:rsidR="002636E3" w:rsidRPr="002636E3" w:rsidRDefault="002636E3" w:rsidP="00DB5FE8">
            <w:pPr>
              <w:jc w:val="both"/>
              <w:rPr>
                <w:rFonts w:ascii="Times New Roman" w:hAnsi="Times New Roman" w:cs="Times New Roman"/>
                <w:sz w:val="16"/>
                <w:szCs w:val="16"/>
              </w:rPr>
            </w:pPr>
          </w:p>
          <w:p w14:paraId="68C4F07D"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2) Dependência de especialistas e cultura organizacional e outras.</w:t>
            </w:r>
          </w:p>
        </w:tc>
      </w:tr>
      <w:tr w:rsidR="002636E3" w:rsidRPr="002636E3" w14:paraId="4243AD62" w14:textId="77777777" w:rsidTr="00DB5FE8">
        <w:tc>
          <w:tcPr>
            <w:tcW w:w="552" w:type="dxa"/>
          </w:tcPr>
          <w:p w14:paraId="61944AD8" w14:textId="77777777" w:rsidR="002636E3" w:rsidRPr="002636E3" w:rsidRDefault="002636E3" w:rsidP="00DB5FE8">
            <w:pPr>
              <w:jc w:val="both"/>
              <w:rPr>
                <w:rFonts w:ascii="Times New Roman" w:hAnsi="Times New Roman" w:cs="Times New Roman"/>
                <w:sz w:val="16"/>
                <w:szCs w:val="16"/>
                <w:lang w:val="en-US"/>
              </w:rPr>
            </w:pPr>
            <w:r w:rsidRPr="002636E3">
              <w:rPr>
                <w:rFonts w:ascii="Times New Roman" w:hAnsi="Times New Roman" w:cs="Times New Roman"/>
                <w:sz w:val="16"/>
                <w:szCs w:val="16"/>
                <w:lang w:val="en-US"/>
              </w:rPr>
              <w:t>10</w:t>
            </w:r>
          </w:p>
        </w:tc>
        <w:tc>
          <w:tcPr>
            <w:tcW w:w="1286" w:type="dxa"/>
          </w:tcPr>
          <w:p w14:paraId="11083C54" w14:textId="77777777" w:rsidR="002636E3" w:rsidRPr="002636E3" w:rsidRDefault="002636E3" w:rsidP="00DB5FE8">
            <w:pPr>
              <w:jc w:val="both"/>
              <w:rPr>
                <w:rFonts w:ascii="Times New Roman" w:hAnsi="Times New Roman" w:cs="Times New Roman"/>
                <w:sz w:val="16"/>
                <w:szCs w:val="16"/>
                <w:lang w:val="en-US"/>
              </w:rPr>
            </w:pPr>
            <w:r w:rsidRPr="002636E3">
              <w:rPr>
                <w:rFonts w:ascii="Times New Roman" w:hAnsi="Times New Roman" w:cs="Times New Roman"/>
                <w:sz w:val="16"/>
                <w:szCs w:val="16"/>
                <w:lang w:val="en-US"/>
              </w:rPr>
              <w:t>PEETERS; MASSINI; LEWIN (2014)</w:t>
            </w:r>
          </w:p>
        </w:tc>
        <w:tc>
          <w:tcPr>
            <w:tcW w:w="2552" w:type="dxa"/>
          </w:tcPr>
          <w:p w14:paraId="03FF1FA9"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O trabalho propõe explicar por que as organizações variam na eficiência (tempo e esforço) ao adotar e adaptar uma inovação gerencial, tomando como exemplo a aquisição global de serviços de negócios por meio de terceirização e realocação internacional. Apresenta um modelo centrado nas rotinas de capacidade de absorção e em sua evolução. O modelo sustenta que há equifinalidade, ou seja, diferentes configurações podem levar ao sucesso, mas a sequência, a adequação e o encaixe das interdependências entre rotinas determinam a velocidade e a suavidade da implementação. Essas rotinas são mediadas por duas alavancas inter-relacionadas: atenção gerencial e legitimidade organizacional, que ampliam ou restringem a eficiência do processo.</w:t>
            </w:r>
          </w:p>
        </w:tc>
        <w:tc>
          <w:tcPr>
            <w:tcW w:w="2551" w:type="dxa"/>
          </w:tcPr>
          <w:p w14:paraId="6D6E5243"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Em síntese, o estudo mostra que organizações diferentes podem alcançar o mesmo sucesso com arranjos distintos de rotinas de capacidade de absorção, porém a sequência, a adequação e o encaixe dessas rotinas determinam a rapidez e o esforço da implementação. Atenção gerencial e legitimidade organizacional são os principais motores da eficiência. Quando a alta liderança direciona a atenção de forma clara, o processo tende a ser mais rápido e suave do que quando depende apenas de buscas locais e reativas.</w:t>
            </w:r>
          </w:p>
        </w:tc>
        <w:tc>
          <w:tcPr>
            <w:tcW w:w="2000" w:type="dxa"/>
          </w:tcPr>
          <w:p w14:paraId="3C56B333"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Área de aplicação: Indústria de Serviços</w:t>
            </w:r>
          </w:p>
          <w:p w14:paraId="652583DE" w14:textId="77777777" w:rsidR="002636E3" w:rsidRPr="002636E3" w:rsidRDefault="002636E3" w:rsidP="00DB5FE8">
            <w:pPr>
              <w:jc w:val="both"/>
              <w:rPr>
                <w:rFonts w:ascii="Times New Roman" w:hAnsi="Times New Roman" w:cs="Times New Roman"/>
                <w:sz w:val="16"/>
                <w:szCs w:val="16"/>
              </w:rPr>
            </w:pPr>
          </w:p>
          <w:p w14:paraId="6B40BB68"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 Limitações: </w:t>
            </w:r>
          </w:p>
          <w:p w14:paraId="2D6263DE" w14:textId="77777777" w:rsidR="002636E3" w:rsidRPr="002636E3" w:rsidRDefault="002636E3" w:rsidP="00DB5FE8">
            <w:pPr>
              <w:jc w:val="both"/>
              <w:rPr>
                <w:rFonts w:ascii="Times New Roman" w:hAnsi="Times New Roman" w:cs="Times New Roman"/>
                <w:sz w:val="16"/>
                <w:szCs w:val="16"/>
              </w:rPr>
            </w:pPr>
          </w:p>
          <w:p w14:paraId="329E0275"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1) Amostra: apenas dois casos de multinacionais dos EUA, o que limita a generalização ampla.</w:t>
            </w:r>
          </w:p>
          <w:p w14:paraId="72D10EEE" w14:textId="77777777" w:rsidR="002636E3" w:rsidRPr="002636E3" w:rsidRDefault="002636E3" w:rsidP="00DB5FE8">
            <w:pPr>
              <w:jc w:val="both"/>
              <w:rPr>
                <w:rFonts w:ascii="Times New Roman" w:hAnsi="Times New Roman" w:cs="Times New Roman"/>
                <w:sz w:val="16"/>
                <w:szCs w:val="16"/>
              </w:rPr>
            </w:pPr>
          </w:p>
          <w:p w14:paraId="5936A4CA"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2) Janela temporal: adoção iniciada em 2001; dados coletados sobretudo em 2005/2006.</w:t>
            </w:r>
          </w:p>
          <w:p w14:paraId="205CBB9E" w14:textId="77777777" w:rsidR="002636E3" w:rsidRPr="002636E3" w:rsidRDefault="002636E3" w:rsidP="00DB5FE8">
            <w:pPr>
              <w:jc w:val="both"/>
              <w:rPr>
                <w:rFonts w:ascii="Times New Roman" w:hAnsi="Times New Roman" w:cs="Times New Roman"/>
                <w:sz w:val="16"/>
                <w:szCs w:val="16"/>
              </w:rPr>
            </w:pPr>
          </w:p>
          <w:p w14:paraId="209654E6"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3) Predominância de entrevistas, sujeitas a viés de recordação, ainda que mitigado.</w:t>
            </w:r>
          </w:p>
        </w:tc>
      </w:tr>
      <w:tr w:rsidR="002636E3" w:rsidRPr="002636E3" w14:paraId="1061A3BD" w14:textId="77777777" w:rsidTr="00DB5FE8">
        <w:tc>
          <w:tcPr>
            <w:tcW w:w="552" w:type="dxa"/>
          </w:tcPr>
          <w:p w14:paraId="395F5A6D"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11</w:t>
            </w:r>
          </w:p>
        </w:tc>
        <w:tc>
          <w:tcPr>
            <w:tcW w:w="1286" w:type="dxa"/>
          </w:tcPr>
          <w:p w14:paraId="1A1CC890"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WANG E TSAI (2014)</w:t>
            </w:r>
          </w:p>
        </w:tc>
        <w:tc>
          <w:tcPr>
            <w:tcW w:w="2552" w:type="dxa"/>
          </w:tcPr>
          <w:p w14:paraId="5D47024B"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Os autores desenvolveram um modelo não-recursivo baseado na teoria da criatividade organizacional de </w:t>
            </w:r>
            <w:proofErr w:type="spellStart"/>
            <w:r w:rsidRPr="002636E3">
              <w:rPr>
                <w:rFonts w:ascii="Times New Roman" w:hAnsi="Times New Roman" w:cs="Times New Roman"/>
                <w:sz w:val="16"/>
                <w:szCs w:val="16"/>
              </w:rPr>
              <w:t>Amabile</w:t>
            </w:r>
            <w:proofErr w:type="spellEnd"/>
            <w:r w:rsidRPr="002636E3">
              <w:rPr>
                <w:rFonts w:ascii="Times New Roman" w:hAnsi="Times New Roman" w:cs="Times New Roman"/>
                <w:sz w:val="16"/>
                <w:szCs w:val="16"/>
              </w:rPr>
              <w:t xml:space="preserve"> para explicar como recursos, práticas de gestão, motivação organizacional, expertise, habilidades criativas e motivação intrínseca afetam a inovação e a criatividade nas organizações. O modelo propõe uma relação recíproca entre inovação organizacional e criatividade.</w:t>
            </w:r>
          </w:p>
        </w:tc>
        <w:tc>
          <w:tcPr>
            <w:tcW w:w="2551" w:type="dxa"/>
          </w:tcPr>
          <w:p w14:paraId="082FEA1D"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Os resultados indicaram que recursos, práticas de gestão e motivação organizacional têm efeitos diretos positivos únicos na inovação, enquanto expertise, habilidades criativas e motivação intrínseca têm efeitos diretos positivos únicos na criatividade. Além disso, foi confirmada a relação recíproca positiva entre inovação organizacional e criatividade. O estudo também demonstrou que </w:t>
            </w:r>
            <w:r w:rsidRPr="002636E3">
              <w:rPr>
                <w:rFonts w:ascii="Times New Roman" w:hAnsi="Times New Roman" w:cs="Times New Roman"/>
                <w:sz w:val="16"/>
                <w:szCs w:val="16"/>
              </w:rPr>
              <w:lastRenderedPageBreak/>
              <w:t>inovação e criatividade atuam como mediadores positivos nos efeitos indiretos entre recursos, práticas de gestão, motivação organizacional, expertise, habilidades criativas e motivação intrínseca.</w:t>
            </w:r>
          </w:p>
        </w:tc>
        <w:tc>
          <w:tcPr>
            <w:tcW w:w="2000" w:type="dxa"/>
          </w:tcPr>
          <w:p w14:paraId="31351F78"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lastRenderedPageBreak/>
              <w:t>- Área de aplicação: Indústria de Serviços</w:t>
            </w:r>
          </w:p>
          <w:p w14:paraId="5E051CA1" w14:textId="77777777" w:rsidR="002636E3" w:rsidRPr="002636E3" w:rsidRDefault="002636E3" w:rsidP="00DB5FE8">
            <w:pPr>
              <w:jc w:val="both"/>
              <w:rPr>
                <w:rFonts w:ascii="Times New Roman" w:hAnsi="Times New Roman" w:cs="Times New Roman"/>
                <w:sz w:val="16"/>
                <w:szCs w:val="16"/>
              </w:rPr>
            </w:pPr>
          </w:p>
          <w:p w14:paraId="052824C2"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 Limitações: </w:t>
            </w:r>
          </w:p>
          <w:p w14:paraId="7016D8E7" w14:textId="77777777" w:rsidR="002636E3" w:rsidRPr="002636E3" w:rsidRDefault="002636E3" w:rsidP="00DB5FE8">
            <w:pPr>
              <w:jc w:val="both"/>
              <w:rPr>
                <w:rFonts w:ascii="Times New Roman" w:hAnsi="Times New Roman" w:cs="Times New Roman"/>
                <w:sz w:val="16"/>
                <w:szCs w:val="16"/>
              </w:rPr>
            </w:pPr>
          </w:p>
          <w:p w14:paraId="378BF920"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1) Dados autorrelatados sujeitos a viés.</w:t>
            </w:r>
          </w:p>
          <w:p w14:paraId="0FE106FC"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2) Contexto específico em empresas de serviços em Taiwan reduz a generalização.</w:t>
            </w:r>
          </w:p>
          <w:p w14:paraId="46D5BA87"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lastRenderedPageBreak/>
              <w:t>3) Recorte temporal único, recomendando novos estudos longitudinais.</w:t>
            </w:r>
          </w:p>
        </w:tc>
      </w:tr>
      <w:tr w:rsidR="002636E3" w:rsidRPr="002636E3" w14:paraId="2A2DED0E" w14:textId="77777777" w:rsidTr="00DB5FE8">
        <w:tc>
          <w:tcPr>
            <w:tcW w:w="552" w:type="dxa"/>
          </w:tcPr>
          <w:p w14:paraId="0CD34335"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lastRenderedPageBreak/>
              <w:t>12</w:t>
            </w:r>
          </w:p>
        </w:tc>
        <w:tc>
          <w:tcPr>
            <w:tcW w:w="1286" w:type="dxa"/>
          </w:tcPr>
          <w:p w14:paraId="1FC60EEA"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ALÄNGE E  </w:t>
            </w:r>
          </w:p>
          <w:p w14:paraId="0C36E580"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STEIBER (2011)</w:t>
            </w:r>
          </w:p>
        </w:tc>
        <w:tc>
          <w:tcPr>
            <w:tcW w:w="2552" w:type="dxa"/>
          </w:tcPr>
          <w:p w14:paraId="310F25B6" w14:textId="50156E3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Esse estudo examinou a validade e a utilidade de um Quadro analítico proposto por um dos autores (</w:t>
            </w:r>
            <w:r w:rsidR="00CF3146" w:rsidRPr="002636E3">
              <w:rPr>
                <w:rFonts w:ascii="Times New Roman" w:hAnsi="Times New Roman" w:cs="Times New Roman"/>
                <w:sz w:val="16"/>
                <w:szCs w:val="16"/>
              </w:rPr>
              <w:t>ALÄNGE, JACOBSSON E JARNEHAMMAR</w:t>
            </w:r>
            <w:r w:rsidRPr="002636E3">
              <w:rPr>
                <w:rFonts w:ascii="Times New Roman" w:hAnsi="Times New Roman" w:cs="Times New Roman"/>
                <w:sz w:val="16"/>
                <w:szCs w:val="16"/>
              </w:rPr>
              <w:t>, 1998) para estudar a difusão de inovações organizacionais</w:t>
            </w:r>
            <w:r w:rsidR="00BC1970">
              <w:rPr>
                <w:rFonts w:ascii="Times New Roman" w:hAnsi="Times New Roman" w:cs="Times New Roman"/>
                <w:sz w:val="16"/>
                <w:szCs w:val="16"/>
              </w:rPr>
              <w:t xml:space="preserve"> (</w:t>
            </w:r>
            <w:proofErr w:type="spellStart"/>
            <w:r w:rsidR="00BC1970">
              <w:rPr>
                <w:rFonts w:ascii="Times New Roman" w:hAnsi="Times New Roman" w:cs="Times New Roman"/>
                <w:sz w:val="16"/>
                <w:szCs w:val="16"/>
              </w:rPr>
              <w:t>OIs</w:t>
            </w:r>
            <w:proofErr w:type="spellEnd"/>
            <w:r w:rsidR="00BC1970">
              <w:rPr>
                <w:rFonts w:ascii="Times New Roman" w:hAnsi="Times New Roman" w:cs="Times New Roman"/>
                <w:sz w:val="16"/>
                <w:szCs w:val="16"/>
              </w:rPr>
              <w:t>)</w:t>
            </w:r>
            <w:r w:rsidRPr="002636E3">
              <w:rPr>
                <w:rFonts w:ascii="Times New Roman" w:hAnsi="Times New Roman" w:cs="Times New Roman"/>
                <w:sz w:val="16"/>
                <w:szCs w:val="16"/>
              </w:rPr>
              <w:t xml:space="preserve">. Especificamente, o estudo visou aplicar e avaliar este quadro analítico por meio de duas estudos de caso sobre a difusão da inovação organizacional TQM (Total </w:t>
            </w:r>
            <w:proofErr w:type="spellStart"/>
            <w:r w:rsidRPr="002636E3">
              <w:rPr>
                <w:rFonts w:ascii="Times New Roman" w:hAnsi="Times New Roman" w:cs="Times New Roman"/>
                <w:sz w:val="16"/>
                <w:szCs w:val="16"/>
              </w:rPr>
              <w:t>Quality</w:t>
            </w:r>
            <w:proofErr w:type="spellEnd"/>
            <w:r w:rsidRPr="002636E3">
              <w:rPr>
                <w:rFonts w:ascii="Times New Roman" w:hAnsi="Times New Roman" w:cs="Times New Roman"/>
                <w:sz w:val="16"/>
                <w:szCs w:val="16"/>
              </w:rPr>
              <w:t xml:space="preserve"> Management) em uma fábrica e um hospital. O estudo buscou entender se o quadro poderia ser uma ferramenta eficaz para analisar a difusão de </w:t>
            </w:r>
            <w:proofErr w:type="spellStart"/>
            <w:r w:rsidRPr="002636E3">
              <w:rPr>
                <w:rFonts w:ascii="Times New Roman" w:hAnsi="Times New Roman" w:cs="Times New Roman"/>
                <w:sz w:val="16"/>
                <w:szCs w:val="16"/>
              </w:rPr>
              <w:t>OIs</w:t>
            </w:r>
            <w:proofErr w:type="spellEnd"/>
            <w:r w:rsidRPr="002636E3">
              <w:rPr>
                <w:rFonts w:ascii="Times New Roman" w:hAnsi="Times New Roman" w:cs="Times New Roman"/>
                <w:sz w:val="16"/>
                <w:szCs w:val="16"/>
              </w:rPr>
              <w:t xml:space="preserve"> e identificar áreas para melhorias.</w:t>
            </w:r>
          </w:p>
        </w:tc>
        <w:tc>
          <w:tcPr>
            <w:tcW w:w="2551" w:type="dxa"/>
          </w:tcPr>
          <w:p w14:paraId="2D26722A"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Os resultados mostraram que o quadro analítico foi uma ferramenta útil para comparar e analisar a difusão de TQM nos dois casos estudados. No entanto, o estudo também identificou áreas onde o quadro poderia ser melhorado, como a necessidade de considerar processos de aprendizagem e padronização em níveis nacional e internacional e o papel de modismos. Os estudos de caso revelaram que as inovações organizacionais podem ser observadas e testadas em subcomponentes antes da difusão interna ampla, o que reduz a resistência à mudança. Além disso, destacou-se a importância do papel do CEO para legitimar a inovação e a necessidade de um compromisso de longo prazo para sustentar a inovação.</w:t>
            </w:r>
          </w:p>
        </w:tc>
        <w:tc>
          <w:tcPr>
            <w:tcW w:w="2000" w:type="dxa"/>
          </w:tcPr>
          <w:p w14:paraId="36F66DD4"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Área de aplicação: Indústria de Manufatura e Serviço Público</w:t>
            </w:r>
          </w:p>
          <w:p w14:paraId="26E03D2D" w14:textId="77777777" w:rsidR="002636E3" w:rsidRPr="002636E3" w:rsidRDefault="002636E3" w:rsidP="00DB5FE8">
            <w:pPr>
              <w:jc w:val="both"/>
              <w:rPr>
                <w:rFonts w:ascii="Times New Roman" w:hAnsi="Times New Roman" w:cs="Times New Roman"/>
                <w:sz w:val="16"/>
                <w:szCs w:val="16"/>
              </w:rPr>
            </w:pPr>
          </w:p>
          <w:p w14:paraId="0397B50D"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 Limitações: </w:t>
            </w:r>
          </w:p>
          <w:p w14:paraId="6E09750F" w14:textId="77777777" w:rsidR="002636E3" w:rsidRPr="002636E3" w:rsidRDefault="002636E3" w:rsidP="00DB5FE8">
            <w:pPr>
              <w:jc w:val="both"/>
              <w:rPr>
                <w:rFonts w:ascii="Times New Roman" w:hAnsi="Times New Roman" w:cs="Times New Roman"/>
                <w:sz w:val="16"/>
                <w:szCs w:val="16"/>
              </w:rPr>
            </w:pPr>
          </w:p>
          <w:p w14:paraId="7BDCA945"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1) A impossibilidade de realizar um estudo longitudinal completo devido a mudanças significativas nas organizações estudadas. 2) Limitação na quantidade de dados coletados nos níveis nacional e internacional, o que poderia fornecer uma compreensão mais profunda dos padrões de difusão. </w:t>
            </w:r>
          </w:p>
          <w:p w14:paraId="5B56C0C3"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3) Necessidade de investigar mais detalhadamente fatores que contribuem para a sustentabilidade de longo prazo de inovações organizacionais, como governança corporativa e sistemas políticos e culturais.</w:t>
            </w:r>
          </w:p>
        </w:tc>
      </w:tr>
      <w:tr w:rsidR="002636E3" w:rsidRPr="002636E3" w14:paraId="0BA090A6" w14:textId="77777777" w:rsidTr="00DB5FE8">
        <w:tc>
          <w:tcPr>
            <w:tcW w:w="552" w:type="dxa"/>
          </w:tcPr>
          <w:p w14:paraId="3EEC015C"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13</w:t>
            </w:r>
          </w:p>
        </w:tc>
        <w:tc>
          <w:tcPr>
            <w:tcW w:w="1286" w:type="dxa"/>
          </w:tcPr>
          <w:p w14:paraId="7EFD0700" w14:textId="77777777" w:rsidR="002636E3" w:rsidRPr="002636E3" w:rsidRDefault="002636E3" w:rsidP="00DB5FE8">
            <w:pPr>
              <w:jc w:val="both"/>
              <w:rPr>
                <w:rFonts w:ascii="Times New Roman" w:hAnsi="Times New Roman" w:cs="Times New Roman"/>
                <w:sz w:val="16"/>
                <w:szCs w:val="16"/>
                <w:lang w:val="en-US"/>
              </w:rPr>
            </w:pPr>
            <w:r w:rsidRPr="002636E3">
              <w:rPr>
                <w:rFonts w:ascii="Times New Roman" w:hAnsi="Times New Roman" w:cs="Times New Roman"/>
                <w:sz w:val="16"/>
                <w:szCs w:val="16"/>
                <w:lang w:val="en-US"/>
              </w:rPr>
              <w:t>BIRKINSHAW J., HAMEL G., MOL M. (2008)</w:t>
            </w:r>
          </w:p>
        </w:tc>
        <w:tc>
          <w:tcPr>
            <w:tcW w:w="2552" w:type="dxa"/>
          </w:tcPr>
          <w:p w14:paraId="4C02905F"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Os autores desenvolveram um modelo conceitual que analisa como a inovação gerencial ocorre através de quatro processos principais: motivação, invenção, implementação e teorização e rotulagem. O modelo destaca o papel de agentes de mudança internos e externos na condução e modelagem desses processos, que coletivamente definem como a inovação gerencial se desenvolve.</w:t>
            </w:r>
          </w:p>
        </w:tc>
        <w:tc>
          <w:tcPr>
            <w:tcW w:w="2551" w:type="dxa"/>
          </w:tcPr>
          <w:p w14:paraId="196972A4"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Os resultados mostram que a inovação gerencial envolve a introdução de práticas, processos, estruturas ou técnicas gerenciais novas ao estado da arte, com a intenção de promover os objetivos organizacionais. O estudo identifica que as inovações gerenciais são conduzidas por processos de motivação, invenção, implementação e teorização e rotulagem. Cada um desses processos é influenciado tanto por agentes internos quanto externos, e a interação entre esses agentes é crítica para o sucesso da inovação. Os autores também destacam que a implementação bem-sucedida de uma inovação gerencial depende de como ela é percebida e legitimada dentro e fora da organização.</w:t>
            </w:r>
          </w:p>
        </w:tc>
        <w:tc>
          <w:tcPr>
            <w:tcW w:w="2000" w:type="dxa"/>
          </w:tcPr>
          <w:p w14:paraId="7D5FC727"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Área de aplicação: Diversos</w:t>
            </w:r>
          </w:p>
          <w:p w14:paraId="5E68319B" w14:textId="77777777" w:rsidR="002636E3" w:rsidRPr="002636E3" w:rsidRDefault="002636E3" w:rsidP="00DB5FE8">
            <w:pPr>
              <w:jc w:val="both"/>
              <w:rPr>
                <w:rFonts w:ascii="Times New Roman" w:hAnsi="Times New Roman" w:cs="Times New Roman"/>
                <w:sz w:val="16"/>
                <w:szCs w:val="16"/>
              </w:rPr>
            </w:pPr>
          </w:p>
          <w:p w14:paraId="5E43ECAF"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 Limitações: </w:t>
            </w:r>
          </w:p>
          <w:p w14:paraId="6EDBEC8F" w14:textId="77777777" w:rsidR="002636E3" w:rsidRPr="002636E3" w:rsidRDefault="002636E3" w:rsidP="00DB5FE8">
            <w:pPr>
              <w:jc w:val="both"/>
              <w:rPr>
                <w:rFonts w:ascii="Times New Roman" w:hAnsi="Times New Roman" w:cs="Times New Roman"/>
                <w:sz w:val="16"/>
                <w:szCs w:val="16"/>
              </w:rPr>
            </w:pPr>
          </w:p>
          <w:p w14:paraId="060F14E0"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Necessidade de estudos mais empíricos para validação do modelo.</w:t>
            </w:r>
          </w:p>
        </w:tc>
      </w:tr>
      <w:tr w:rsidR="002636E3" w:rsidRPr="002636E3" w14:paraId="5DE6DC4F" w14:textId="77777777" w:rsidTr="00DB5FE8">
        <w:tc>
          <w:tcPr>
            <w:tcW w:w="552" w:type="dxa"/>
          </w:tcPr>
          <w:p w14:paraId="29D9D76B"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14</w:t>
            </w:r>
          </w:p>
        </w:tc>
        <w:tc>
          <w:tcPr>
            <w:tcW w:w="1286" w:type="dxa"/>
          </w:tcPr>
          <w:p w14:paraId="2529F6AB" w14:textId="77777777" w:rsidR="002636E3" w:rsidRPr="002636E3" w:rsidRDefault="002636E3" w:rsidP="00DB5FE8">
            <w:pPr>
              <w:jc w:val="both"/>
              <w:rPr>
                <w:rFonts w:ascii="Times New Roman" w:hAnsi="Times New Roman" w:cs="Times New Roman"/>
                <w:sz w:val="16"/>
                <w:szCs w:val="16"/>
                <w:lang w:val="en-US"/>
              </w:rPr>
            </w:pPr>
            <w:r w:rsidRPr="002636E3">
              <w:rPr>
                <w:rFonts w:ascii="Times New Roman" w:hAnsi="Times New Roman" w:cs="Times New Roman"/>
                <w:sz w:val="16"/>
                <w:szCs w:val="16"/>
                <w:lang w:val="en-US"/>
              </w:rPr>
              <w:t>HANSE e BIRKINSHAW (2007)</w:t>
            </w:r>
          </w:p>
        </w:tc>
        <w:tc>
          <w:tcPr>
            <w:tcW w:w="2552" w:type="dxa"/>
          </w:tcPr>
          <w:p w14:paraId="55E8CCF2"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Propõem a Cadeia de Valor da Inovação como um fluxo integrado em três fases, geração de ideias, conversão (seleção e desenvolvimento) e difusão, que permite diagnosticar elos fortes e fracos do processo de inovação. Ao longo das fases, gestores executam seis tarefas: prospecção (</w:t>
            </w:r>
            <w:proofErr w:type="spellStart"/>
            <w:r w:rsidRPr="00BC1970">
              <w:rPr>
                <w:rFonts w:ascii="Times New Roman" w:hAnsi="Times New Roman" w:cs="Times New Roman"/>
                <w:i/>
                <w:iCs/>
                <w:sz w:val="16"/>
                <w:szCs w:val="16"/>
              </w:rPr>
              <w:t>sourcing</w:t>
            </w:r>
            <w:proofErr w:type="spellEnd"/>
            <w:r w:rsidRPr="002636E3">
              <w:rPr>
                <w:rFonts w:ascii="Times New Roman" w:hAnsi="Times New Roman" w:cs="Times New Roman"/>
                <w:sz w:val="16"/>
                <w:szCs w:val="16"/>
              </w:rPr>
              <w:t>) interna; prospecção entre unidades; prospecção externa; seleção; desenvolvimento; difusão na empresa. A orientação é focar o elo mais fraco, e não importar “melhores práticas” genéricas.</w:t>
            </w:r>
          </w:p>
        </w:tc>
        <w:tc>
          <w:tcPr>
            <w:tcW w:w="2551" w:type="dxa"/>
          </w:tcPr>
          <w:p w14:paraId="5F0B3D0C"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Ver a inovação fim a fim ajuda a identificar tanto forças quanto fraquezas e a priorizar intervenções.</w:t>
            </w:r>
          </w:p>
          <w:p w14:paraId="4D31ED18" w14:textId="77777777" w:rsidR="002636E3" w:rsidRPr="002636E3" w:rsidRDefault="002636E3" w:rsidP="00DB5FE8">
            <w:pPr>
              <w:jc w:val="both"/>
              <w:rPr>
                <w:rFonts w:ascii="Times New Roman" w:hAnsi="Times New Roman" w:cs="Times New Roman"/>
                <w:sz w:val="16"/>
                <w:szCs w:val="16"/>
              </w:rPr>
            </w:pPr>
          </w:p>
          <w:p w14:paraId="0F61959A"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Elo forte não compensa elo fraco (p.ex., muita geração de ideias não resolve se a conversão é fraca).</w:t>
            </w:r>
          </w:p>
          <w:p w14:paraId="2DB4ED4B" w14:textId="77777777" w:rsidR="002636E3" w:rsidRPr="002636E3" w:rsidRDefault="002636E3" w:rsidP="00DB5FE8">
            <w:pPr>
              <w:jc w:val="both"/>
              <w:rPr>
                <w:rFonts w:ascii="Times New Roman" w:hAnsi="Times New Roman" w:cs="Times New Roman"/>
                <w:sz w:val="16"/>
                <w:szCs w:val="16"/>
              </w:rPr>
            </w:pPr>
          </w:p>
          <w:p w14:paraId="11002081"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Três padrões de fraqueza são comuns: empresa pobre em ideias, pobre em conversão e pobre em difusão, cada um pede práticas específicas</w:t>
            </w:r>
          </w:p>
        </w:tc>
        <w:tc>
          <w:tcPr>
            <w:tcW w:w="2000" w:type="dxa"/>
          </w:tcPr>
          <w:p w14:paraId="4CEBA890"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Área de aplicação: múltiplos setores</w:t>
            </w:r>
          </w:p>
          <w:p w14:paraId="07AE82E5" w14:textId="77777777" w:rsidR="002636E3" w:rsidRPr="002636E3" w:rsidRDefault="002636E3" w:rsidP="00DB5FE8">
            <w:pPr>
              <w:jc w:val="both"/>
              <w:rPr>
                <w:rFonts w:ascii="Times New Roman" w:hAnsi="Times New Roman" w:cs="Times New Roman"/>
                <w:sz w:val="16"/>
                <w:szCs w:val="16"/>
              </w:rPr>
            </w:pPr>
          </w:p>
          <w:p w14:paraId="4CE031DB"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 Limitações: </w:t>
            </w:r>
          </w:p>
          <w:p w14:paraId="4FE56DE8" w14:textId="77777777" w:rsidR="002636E3" w:rsidRPr="002636E3" w:rsidRDefault="002636E3" w:rsidP="00DB5FE8">
            <w:pPr>
              <w:jc w:val="both"/>
              <w:rPr>
                <w:rFonts w:ascii="Times New Roman" w:hAnsi="Times New Roman" w:cs="Times New Roman"/>
                <w:sz w:val="16"/>
                <w:szCs w:val="16"/>
              </w:rPr>
            </w:pPr>
          </w:p>
          <w:p w14:paraId="2FB644D5"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1) O quadro não captura todas as nuances organizacionais e requer adaptação ao contexto. </w:t>
            </w:r>
          </w:p>
          <w:p w14:paraId="7E7B7A43"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 xml:space="preserve">2) Diagnosticar o elo mais fraco exige dados/indicadores (nem sempre disponíveis). </w:t>
            </w:r>
          </w:p>
          <w:p w14:paraId="620E6934" w14:textId="77777777" w:rsidR="002636E3" w:rsidRPr="002636E3" w:rsidRDefault="002636E3" w:rsidP="00DB5FE8">
            <w:pPr>
              <w:jc w:val="both"/>
              <w:rPr>
                <w:rFonts w:ascii="Times New Roman" w:hAnsi="Times New Roman" w:cs="Times New Roman"/>
                <w:sz w:val="16"/>
                <w:szCs w:val="16"/>
              </w:rPr>
            </w:pPr>
            <w:r w:rsidRPr="002636E3">
              <w:rPr>
                <w:rFonts w:ascii="Times New Roman" w:hAnsi="Times New Roman" w:cs="Times New Roman"/>
                <w:sz w:val="16"/>
                <w:szCs w:val="16"/>
              </w:rPr>
              <w:t>3) Aplicação equivocada (diagnóstico errado) pode piorar o desempenho ao reforçar elos já fortes e negligenciar os fracos.</w:t>
            </w:r>
          </w:p>
        </w:tc>
      </w:tr>
    </w:tbl>
    <w:p w14:paraId="7633A869" w14:textId="77777777" w:rsidR="002636E3" w:rsidRDefault="002636E3">
      <w:pPr>
        <w:widowControl w:val="0"/>
        <w:spacing w:before="4" w:line="240" w:lineRule="auto"/>
        <w:ind w:firstLine="0"/>
        <w:jc w:val="left"/>
      </w:pPr>
    </w:p>
    <w:p w14:paraId="057DE525" w14:textId="77777777" w:rsidR="00F1442C" w:rsidRDefault="00F1442C" w:rsidP="00F1442C">
      <w:pPr>
        <w:widowControl w:val="0"/>
        <w:spacing w:before="119" w:line="249" w:lineRule="auto"/>
        <w:ind w:left="100" w:right="98"/>
      </w:pPr>
      <w:r>
        <w:t>O Quadro 4 resume cada estudo selecionado, detalhando os autores, o modelo desenvolvido, os resultados alcançados, a área de aplicação e as limitações do estudo.</w:t>
      </w:r>
    </w:p>
    <w:p w14:paraId="49CC6ABF" w14:textId="613211B7" w:rsidR="00F1442C" w:rsidRDefault="00F1442C" w:rsidP="00F1442C">
      <w:pPr>
        <w:widowControl w:val="0"/>
        <w:spacing w:before="119" w:line="249" w:lineRule="auto"/>
        <w:ind w:left="100" w:right="98"/>
      </w:pPr>
      <w:r>
        <w:t xml:space="preserve">Nesse </w:t>
      </w:r>
      <w:r w:rsidRPr="00BC1970">
        <w:t>estudo identificou</w:t>
      </w:r>
      <w:r w:rsidR="00FE3BE8" w:rsidRPr="00BC1970">
        <w:t>-se</w:t>
      </w:r>
      <w:r w:rsidRPr="00BC1970">
        <w:t xml:space="preserve"> apenas 14 estudos com modelos MI aplicados ou testados empiricamente entre 41 elegíveis. Isso indica</w:t>
      </w:r>
      <w:r>
        <w:t xml:space="preserve"> escassez relativa de modelos/</w:t>
      </w:r>
      <w:r w:rsidRPr="00BC1970">
        <w:rPr>
          <w:i/>
          <w:iCs/>
        </w:rPr>
        <w:t xml:space="preserve">frameworks </w:t>
      </w:r>
      <w:r>
        <w:t xml:space="preserve">validados no campo. As possíveis causas podem incluir o foco histórico da literatura em TInn em detrimento da MI aplicada (LIN </w:t>
      </w:r>
      <w:r w:rsidRPr="00061C26">
        <w:rPr>
          <w:i/>
          <w:iCs/>
        </w:rPr>
        <w:t>et al.</w:t>
      </w:r>
      <w:r>
        <w:t xml:space="preserve">, 2016; DAMANPOUR, 2014; KEUPP </w:t>
      </w:r>
      <w:r w:rsidRPr="00061C26">
        <w:rPr>
          <w:i/>
          <w:iCs/>
        </w:rPr>
        <w:t>et al</w:t>
      </w:r>
      <w:r>
        <w:t>., 2012), na natureza tácita e contextual da MI que dificulta codificação e replicação (OZEN; OZTURK-KOSE, 2023; BIRKINSHAW; MOL, 2006; HECKER; GANTER, 2013), e de barreiras empíricas recorrente como de acesso a dados, amostras restritas e recortes temporais curtos, observadas nos próprios estudos selecionados.</w:t>
      </w:r>
    </w:p>
    <w:p w14:paraId="422804F7" w14:textId="77777777" w:rsidR="00F1442C" w:rsidRDefault="00F1442C" w:rsidP="00F1442C">
      <w:pPr>
        <w:widowControl w:val="0"/>
        <w:spacing w:before="119" w:line="249" w:lineRule="auto"/>
        <w:ind w:left="100" w:right="98"/>
      </w:pPr>
      <w:r>
        <w:t xml:space="preserve">Os 14 estudos cobrem as áreas de manufatura, serviços, setor público e contextos multissetoriais, o que sugere aplicabilidade transversal dos modelos de MI. Em conjunto, os achados convergem para ganhos quando certos mecanismos mediadores são orquestrados de forma consistente: atenção gerencial e legitimidade; governança apoiada por antevisão corporativa e roteiros integrados; redes e colaboração; rotinas de capacidade de absorção; além de aderência entre contexto e sequência das rotinas. </w:t>
      </w:r>
    </w:p>
    <w:p w14:paraId="7EFB7F40" w14:textId="145360EF" w:rsidR="002636E3" w:rsidRDefault="00F1442C" w:rsidP="00F1442C">
      <w:pPr>
        <w:widowControl w:val="0"/>
        <w:spacing w:before="119" w:line="249" w:lineRule="auto"/>
        <w:ind w:left="100" w:right="98"/>
      </w:pPr>
      <w:r>
        <w:t>O desempenho de implementação dos modelos de MI e os resultados organizacionais são sensíveis à ordem dos passos e às condições de partida: embora existam múltiplos arranjos eficazes, a sequência, a adequação e o encaixe entre rotinas determinam a velocidade e a suavidade da implementação, afetando tempo e esforço, com atenção gerencial e legitimidade atuando como motores de eficiência (PEETERS; MASSINI; LEWIN, 2014). Além disso, os processos de adoção não são estritamente lineares e podem apresentar sobreposição entre fases e episódios, o que reforça a dependência da trajetória e o papel das condições iniciais (RASMUSSEN; HALL, 2016).</w:t>
      </w:r>
    </w:p>
    <w:p w14:paraId="553BE965" w14:textId="2FAE7C05" w:rsidR="00DC5CED" w:rsidRDefault="00DC5CED" w:rsidP="00DC5CED">
      <w:pPr>
        <w:pStyle w:val="Ttulo2"/>
        <w:keepNext w:val="0"/>
        <w:keepLines w:val="0"/>
        <w:widowControl w:val="0"/>
        <w:numPr>
          <w:ilvl w:val="1"/>
          <w:numId w:val="1"/>
        </w:numPr>
        <w:tabs>
          <w:tab w:val="left" w:pos="570"/>
        </w:tabs>
        <w:spacing w:before="235" w:line="240" w:lineRule="auto"/>
        <w:jc w:val="both"/>
      </w:pPr>
      <w:r>
        <w:t>Respondendo à questão 2</w:t>
      </w:r>
    </w:p>
    <w:p w14:paraId="0B4BCC0D" w14:textId="336764A4" w:rsidR="00AF24B4" w:rsidRDefault="00AF24B4" w:rsidP="00DC5CED">
      <w:pPr>
        <w:widowControl w:val="0"/>
        <w:spacing w:before="135" w:line="249" w:lineRule="auto"/>
        <w:ind w:left="100" w:right="98" w:firstLine="0"/>
      </w:pPr>
      <w:r w:rsidRPr="00BC1970">
        <w:t>Questão 2) De que forma os PSM foram integrados aos modelos de MI, e quais impactos essa integração gerou na resolução de problemas organizacionais complexos?</w:t>
      </w:r>
    </w:p>
    <w:p w14:paraId="40E6AA8D" w14:textId="09B1F68A" w:rsidR="00DC5CED" w:rsidRDefault="000E62E5" w:rsidP="00DC5CED">
      <w:pPr>
        <w:widowControl w:val="0"/>
        <w:spacing w:before="135" w:line="249" w:lineRule="auto"/>
        <w:ind w:left="100" w:right="98" w:firstLine="0"/>
      </w:pPr>
      <w:r w:rsidRPr="000E62E5">
        <w:t>Procedeu-se à leitura integral e à análise crítica dos 11 documentos selecionados no subitem 6 da seção anterior. À luz do período delimitado, da base consultada e dos critérios adotados, não foram identificados estudos que integrem explicitamente PSM à MI. Assim, sob este protocolo, a literatura mapeada não apresenta evidências de modelos de MI que incorporem PSM, reforçando a lacuna indicada nas seções precedentes.</w:t>
      </w:r>
    </w:p>
    <w:p w14:paraId="11EF5FF9" w14:textId="6C21D16D" w:rsidR="00DC5CED" w:rsidRDefault="00DC5CED" w:rsidP="00DC5CED">
      <w:pPr>
        <w:widowControl w:val="0"/>
        <w:spacing w:before="119" w:line="249" w:lineRule="auto"/>
        <w:ind w:left="100" w:right="98"/>
      </w:pPr>
      <w:r w:rsidRPr="00DC5CED">
        <w:t xml:space="preserve">Analisando a literatura, nos últimos anos, a área de estudos da inovação tem se expandido consideravelmente, incorporando não apenas </w:t>
      </w:r>
      <w:proofErr w:type="spellStart"/>
      <w:r w:rsidRPr="00DC5CED">
        <w:t>Tinn</w:t>
      </w:r>
      <w:proofErr w:type="spellEnd"/>
      <w:r w:rsidRPr="00DC5CED">
        <w:t xml:space="preserve">, mas também aquelas de caráter social e organizacional (TIDD &amp; BESSANT, 2013; MIDGLEY &amp; LINDHULT, 2021). Apesar desse avanço, nota-se uma lacuna na integração entre inovação e STK, uma vez que a literatura sobre inovação raramente dialoga com as abordagens da ciência dos sistemas e metodologias sistêmicas (JACKSON, 2019; MIDGLEY &amp; LINDHULT, 2021; LINDHULT, 2023). Embora existam alguns esforços pontuais para conectar essas áreas (COLVIN </w:t>
      </w:r>
      <w:r w:rsidRPr="00061C26">
        <w:rPr>
          <w:i/>
          <w:iCs/>
        </w:rPr>
        <w:t>et al</w:t>
      </w:r>
      <w:r w:rsidRPr="00DC5CED">
        <w:t xml:space="preserve">., 2014; ISON, 2016; LINDHULT &amp; MIDGLEY, 2014; LASZLO </w:t>
      </w:r>
      <w:r w:rsidRPr="00061C26">
        <w:rPr>
          <w:i/>
          <w:iCs/>
        </w:rPr>
        <w:t>et al</w:t>
      </w:r>
      <w:r w:rsidRPr="00DC5CED">
        <w:t xml:space="preserve">., 2017; MIDGLEY &amp; LINDHULT, 2017), elas ainda representam uma minoria dentro do campo acadêmico (MIDGLEY &amp; LINDHULT, 2021). Uma das razões para essa desconexão </w:t>
      </w:r>
      <w:r w:rsidRPr="00DC5CED">
        <w:lastRenderedPageBreak/>
        <w:t>pode estar no fato de que muitos modelos tradicionais de inovação permanecem enraizados em abordagens lineares e centradas na firma, o que pode ter desestimulado uma aproximação mais sistêmica ao tema (GODIN, 2006; TIDD &amp; BESSANT, 2013; MIDGLEY &amp; LINDHULT, 2021). Além disso, o campo da inovação, sendo relativamente recente, pode não ter atraído tanta atenção de pesquisadores da área sistêmica, cujas preocupações frequentemente orbitam temas como pesquisa operacional e gestão da complexidade (JACKSON, 1991; MIDGLEY &amp; OCHOA-ARIAS, 2004a; MINGERS &amp; WHITE, 2010; ULRICH, 2012; MIDGLEY &amp; LINDHULT, 2021). Apesar desses desafios, o crescimento da MI ao longo das últimas décadas consolidou sua influência em um cenário econômico cada vez mais dinâmico e interconectado, pautado por princípios Schumpeter de destruição criativa (SCHUMPETER, 1934; MIDGLEY &amp; LINDHULT, 2021). Contudo, a transição para modelos mais colaborativos, interativos e orientados por ecossistemas ainda se encontra em andamento, e verifica-se a ausência de uma base teórica e metodológica unificada, o que contribui para a dispersão do campo (GODIN, 2006; TIDD &amp; BESSANT, 2013; MIDGLEY &amp; LINDHULT, 2021; LINDHULT, 2023).</w:t>
      </w:r>
    </w:p>
    <w:p w14:paraId="573346EE" w14:textId="77777777" w:rsidR="00DC5CED" w:rsidRDefault="00DC5CED" w:rsidP="00DC5CED">
      <w:pPr>
        <w:widowControl w:val="0"/>
        <w:spacing w:before="119" w:line="249" w:lineRule="auto"/>
        <w:ind w:left="100" w:right="98"/>
      </w:pPr>
    </w:p>
    <w:p w14:paraId="27309EA1" w14:textId="32828D68" w:rsidR="00DC5CED" w:rsidRDefault="00DC5CED" w:rsidP="00DC5CED">
      <w:pPr>
        <w:pStyle w:val="Ttulo1"/>
        <w:keepNext w:val="0"/>
        <w:keepLines w:val="0"/>
        <w:widowControl w:val="0"/>
        <w:numPr>
          <w:ilvl w:val="0"/>
          <w:numId w:val="1"/>
        </w:numPr>
        <w:tabs>
          <w:tab w:val="left" w:pos="415"/>
        </w:tabs>
        <w:spacing w:before="1" w:line="240" w:lineRule="auto"/>
        <w:jc w:val="both"/>
        <w:rPr>
          <w:sz w:val="26"/>
          <w:szCs w:val="26"/>
        </w:rPr>
      </w:pPr>
      <w:r>
        <w:rPr>
          <w:sz w:val="26"/>
          <w:szCs w:val="26"/>
        </w:rPr>
        <w:t>Conclusão</w:t>
      </w:r>
    </w:p>
    <w:p w14:paraId="05C46713" w14:textId="57B62BEE" w:rsidR="00DC5CED" w:rsidRDefault="00DC5CED" w:rsidP="00DC5CED">
      <w:pPr>
        <w:widowControl w:val="0"/>
        <w:spacing w:before="135" w:line="249" w:lineRule="auto"/>
        <w:ind w:left="100" w:right="98" w:firstLine="0"/>
      </w:pPr>
      <w:r w:rsidRPr="00DC5CED">
        <w:t>Este estudo buscou atingir dois objetivos centrais: (i) identificar modelos de MI aplicados e validados empiricamente e (</w:t>
      </w:r>
      <w:proofErr w:type="spellStart"/>
      <w:r w:rsidRPr="00DC5CED">
        <w:t>ii</w:t>
      </w:r>
      <w:proofErr w:type="spellEnd"/>
      <w:r w:rsidRPr="00DC5CED">
        <w:t>) examinar a aplicação de PSM na modelagem de MI. Para tanto, realizou-se uma RSL abrangendo o período de 2000 a 2025, na qual foram identificados apenas 14 estudos que apresentam modelos de MI aplicados ou testados. Esse resultado evidencia a escassez relativa de modelos/</w:t>
      </w:r>
      <w:r w:rsidRPr="00BC1970">
        <w:rPr>
          <w:i/>
          <w:iCs/>
        </w:rPr>
        <w:t>frameworks</w:t>
      </w:r>
      <w:r w:rsidRPr="00DC5CED">
        <w:t xml:space="preserve"> de MI validados empiricamente. Entre as possíveis causas destacam-se: o foco histórico da literatura em TInn em detrimento da MI, a natureza tácita e contextual da MI que dificulta codificação e replicação, bem como barreiras empíricas recorrentes, como restrição de dados, amostras reduzidas e horizontes temporais limitados. Verificou-se também que os resultados organizacionais e o desempenho de implementação dos modelos de MI são sensíveis tanto à ordem dos passos quanto às condições iniciais, sendo favorecidos quando certos mecanismos mediadores são mobilizados de forma consistente, como atenção gerencial e legitimidade, governança baseada em antevisão corporativa, redes de colaboração e rotinas de capacidade de absorção</w:t>
      </w:r>
      <w:r w:rsidRPr="00D3784F">
        <w:t>.</w:t>
      </w:r>
    </w:p>
    <w:p w14:paraId="1726FF74" w14:textId="190EAA85" w:rsidR="00DC5CED" w:rsidRDefault="000E62E5" w:rsidP="00DC5CED">
      <w:pPr>
        <w:widowControl w:val="0"/>
        <w:spacing w:before="119" w:line="249" w:lineRule="auto"/>
        <w:ind w:left="100" w:right="98"/>
      </w:pPr>
      <w:r w:rsidRPr="000E62E5">
        <w:t>Quanto à integração entre MI e PSM, não foram encontrados, sob este protocolo, período e base consultada, estudos que conectem explicitamente essas duas áreas.</w:t>
      </w:r>
      <w:r w:rsidR="00DC5CED" w:rsidRPr="00DC5CED">
        <w:t xml:space="preserve"> Apesar da expansão recente da literatura em inovação, com maior ênfase nas dimensões sociais e organizacionais, persiste uma lacuna de diálogo com abordagens de STK. Uma das razões pode residir na permanência de modelos de inovação enraizados em lógicas lineares e centradas na firma, que desestimulam aproximações mais sistêmicas. Soma-se a isso o fato de que o campo da inovação, ainda relativamente recente, não atraiu de forma significativa a atenção de pesquisadores da ciência dos sistemas, tradicionalmente voltados a temas como pesquisa operacional e gestão da complexidade.</w:t>
      </w:r>
    </w:p>
    <w:p w14:paraId="37726A41" w14:textId="2790A9D6" w:rsidR="00DC5CED" w:rsidRDefault="00DC5CED" w:rsidP="00DC5CED">
      <w:pPr>
        <w:widowControl w:val="0"/>
        <w:spacing w:before="119" w:line="249" w:lineRule="auto"/>
        <w:ind w:left="100" w:right="98"/>
      </w:pPr>
      <w:r w:rsidRPr="00DC5CED">
        <w:t>Futuras investigações podem explorar a convergência entre MI e PSM. Recomenda-se projetar, aplicar e validar, por meio de estudos longitudinais, modelos de MI baseados em PSM, de modo a examinar diferentes sequências de implementação e condições iniciais, ampliando a compreensão sobre como esses fatores moldam os resultados organizacionais.</w:t>
      </w:r>
    </w:p>
    <w:p w14:paraId="3FDC73C9" w14:textId="3D8CC66D" w:rsidR="00D56446" w:rsidRPr="003A4E65" w:rsidRDefault="00D56446" w:rsidP="003A4E65">
      <w:pPr>
        <w:widowControl w:val="0"/>
        <w:spacing w:before="119" w:line="249" w:lineRule="auto"/>
        <w:ind w:right="98" w:firstLine="0"/>
        <w:rPr>
          <w:b/>
          <w:bCs/>
        </w:rPr>
      </w:pPr>
    </w:p>
    <w:p w14:paraId="5805D54A" w14:textId="5EC4F2D7" w:rsidR="005E1723" w:rsidRPr="00BC1970" w:rsidRDefault="005E1723" w:rsidP="005E1723">
      <w:pPr>
        <w:pStyle w:val="PargrafodaLista"/>
        <w:widowControl w:val="0"/>
        <w:numPr>
          <w:ilvl w:val="0"/>
          <w:numId w:val="1"/>
        </w:numPr>
        <w:autoSpaceDE w:val="0"/>
        <w:autoSpaceDN w:val="0"/>
        <w:adjustRightInd w:val="0"/>
        <w:snapToGrid w:val="0"/>
        <w:spacing w:before="240" w:after="120" w:line="240" w:lineRule="auto"/>
        <w:jc w:val="left"/>
        <w:rPr>
          <w:b/>
          <w:bCs/>
          <w:sz w:val="26"/>
          <w:szCs w:val="26"/>
        </w:rPr>
      </w:pPr>
      <w:r w:rsidRPr="00BC1970">
        <w:rPr>
          <w:b/>
          <w:bCs/>
          <w:sz w:val="26"/>
          <w:szCs w:val="26"/>
        </w:rPr>
        <w:lastRenderedPageBreak/>
        <w:t>Agradecimentos</w:t>
      </w:r>
    </w:p>
    <w:p w14:paraId="72D45132" w14:textId="77777777" w:rsidR="005E1723" w:rsidRPr="00B76B28" w:rsidRDefault="005E1723" w:rsidP="005E1723">
      <w:pPr>
        <w:widowControl w:val="0"/>
        <w:adjustRightInd w:val="0"/>
        <w:snapToGrid w:val="0"/>
        <w:spacing w:after="120" w:line="240" w:lineRule="auto"/>
        <w:ind w:right="-7" w:firstLine="0"/>
        <w:rPr>
          <w:b/>
          <w:bCs/>
          <w:spacing w:val="-11"/>
        </w:rPr>
      </w:pPr>
      <w:r w:rsidRPr="00BC1970">
        <w:t>O presente trabalho foi realizado com apoio da Coordenação de Aperfeiçoamento de Pessoal de Nível Superior - Brasil (CAPES) - Código de Financiamento 001.</w:t>
      </w:r>
    </w:p>
    <w:p w14:paraId="1B2728F0" w14:textId="77777777" w:rsidR="003A4E65" w:rsidRPr="003A4E65" w:rsidRDefault="003A4E65" w:rsidP="00DC5CED">
      <w:pPr>
        <w:widowControl w:val="0"/>
        <w:spacing w:before="119" w:line="249" w:lineRule="auto"/>
        <w:ind w:left="100" w:right="98"/>
      </w:pPr>
    </w:p>
    <w:p w14:paraId="49D498B8" w14:textId="77777777" w:rsidR="003A4E65" w:rsidRDefault="003A4E65" w:rsidP="00DC5CED">
      <w:pPr>
        <w:widowControl w:val="0"/>
        <w:spacing w:before="119" w:line="249" w:lineRule="auto"/>
        <w:ind w:left="100" w:right="98"/>
      </w:pPr>
    </w:p>
    <w:p w14:paraId="02E63BCF" w14:textId="00753E55" w:rsidR="00D56446" w:rsidRDefault="00D56446" w:rsidP="00D56446">
      <w:pPr>
        <w:pStyle w:val="Ttulo1"/>
        <w:keepNext w:val="0"/>
        <w:keepLines w:val="0"/>
        <w:widowControl w:val="0"/>
        <w:numPr>
          <w:ilvl w:val="0"/>
          <w:numId w:val="1"/>
        </w:numPr>
        <w:tabs>
          <w:tab w:val="left" w:pos="415"/>
        </w:tabs>
        <w:spacing w:before="1" w:line="240" w:lineRule="auto"/>
        <w:jc w:val="both"/>
        <w:rPr>
          <w:sz w:val="26"/>
          <w:szCs w:val="26"/>
        </w:rPr>
      </w:pPr>
      <w:r>
        <w:rPr>
          <w:sz w:val="26"/>
          <w:szCs w:val="26"/>
        </w:rPr>
        <w:t>Referências</w:t>
      </w:r>
    </w:p>
    <w:p w14:paraId="1EE81EC0" w14:textId="77777777" w:rsidR="004E5FFB" w:rsidRPr="004E5FFB" w:rsidRDefault="004E5FFB" w:rsidP="004E5FFB">
      <w:pPr>
        <w:widowControl w:val="0"/>
        <w:spacing w:before="119" w:line="249" w:lineRule="auto"/>
        <w:ind w:right="98" w:firstLine="0"/>
        <w:rPr>
          <w:lang w:val="en-US"/>
        </w:rPr>
      </w:pPr>
      <w:r w:rsidRPr="004E5FFB">
        <w:rPr>
          <w:lang w:val="en-US"/>
        </w:rPr>
        <w:t xml:space="preserve">ACKERMANN F.; EDEN C. Strategic options development and analysis. In: REYNOLDS M.; HOLWELL S. (Ed.). Systems </w:t>
      </w:r>
      <w:proofErr w:type="gramStart"/>
      <w:r w:rsidRPr="004E5FFB">
        <w:rPr>
          <w:lang w:val="en-US"/>
        </w:rPr>
        <w:t>approaches</w:t>
      </w:r>
      <w:proofErr w:type="gramEnd"/>
      <w:r w:rsidRPr="004E5FFB">
        <w:rPr>
          <w:lang w:val="en-US"/>
        </w:rPr>
        <w:t xml:space="preserve"> to managing change: A practical guide. [</w:t>
      </w:r>
      <w:proofErr w:type="spellStart"/>
      <w:r w:rsidRPr="004E5FFB">
        <w:rPr>
          <w:lang w:val="en-US"/>
        </w:rPr>
        <w:t>S.l.</w:t>
      </w:r>
      <w:proofErr w:type="spellEnd"/>
      <w:r w:rsidRPr="004E5FFB">
        <w:rPr>
          <w:lang w:val="en-US"/>
        </w:rPr>
        <w:t>]: Springer p. 135 - 190 2010.</w:t>
      </w:r>
    </w:p>
    <w:p w14:paraId="49F066DE" w14:textId="77777777" w:rsidR="004E5FFB" w:rsidRPr="004E5FFB" w:rsidRDefault="004E5FFB" w:rsidP="004E5FFB">
      <w:pPr>
        <w:widowControl w:val="0"/>
        <w:spacing w:before="119" w:line="249" w:lineRule="auto"/>
        <w:ind w:right="98" w:firstLine="0"/>
        <w:rPr>
          <w:lang w:val="en-US"/>
        </w:rPr>
      </w:pPr>
      <w:r w:rsidRPr="004E5FFB">
        <w:rPr>
          <w:lang w:val="en-US"/>
        </w:rPr>
        <w:t>ACKOFF, R. L. The Future of Operational Research is Past. The Journal of the Operational Research Society, v. 30, n. 2, p. 93-104, 1979.</w:t>
      </w:r>
    </w:p>
    <w:p w14:paraId="26A7388E" w14:textId="77777777" w:rsidR="004E5FFB" w:rsidRPr="004E5FFB" w:rsidRDefault="004E5FFB" w:rsidP="004E5FFB">
      <w:pPr>
        <w:widowControl w:val="0"/>
        <w:spacing w:before="119" w:line="249" w:lineRule="auto"/>
        <w:ind w:right="98" w:firstLine="0"/>
        <w:rPr>
          <w:lang w:val="en-US"/>
        </w:rPr>
      </w:pPr>
      <w:r w:rsidRPr="004E5FFB">
        <w:rPr>
          <w:lang w:val="en-US"/>
        </w:rPr>
        <w:t>ADAMS, R.; BESSANT, J.; PHELPS, R. Innovation management measurement: A review, International Journal of Management Review, 8, p. 21-47, 2006.</w:t>
      </w:r>
    </w:p>
    <w:p w14:paraId="78315442" w14:textId="77777777" w:rsidR="004E5FFB" w:rsidRPr="004E5FFB" w:rsidRDefault="004E5FFB" w:rsidP="004E5FFB">
      <w:pPr>
        <w:widowControl w:val="0"/>
        <w:spacing w:before="119" w:line="249" w:lineRule="auto"/>
        <w:ind w:right="98" w:firstLine="0"/>
        <w:rPr>
          <w:lang w:val="en-US"/>
        </w:rPr>
      </w:pPr>
      <w:r w:rsidRPr="004E5FFB">
        <w:rPr>
          <w:lang w:val="en-US"/>
        </w:rPr>
        <w:t xml:space="preserve">ALÄNGE, S.; STEIBER, A. Diffusion of </w:t>
      </w:r>
      <w:proofErr w:type="spellStart"/>
      <w:r w:rsidRPr="004E5FFB">
        <w:rPr>
          <w:lang w:val="en-US"/>
        </w:rPr>
        <w:t>organisational</w:t>
      </w:r>
      <w:proofErr w:type="spellEnd"/>
      <w:r w:rsidRPr="004E5FFB">
        <w:rPr>
          <w:lang w:val="en-US"/>
        </w:rPr>
        <w:t xml:space="preserve"> innovations: An empirical test of an analytical framework. Technology Analysis and Strategic Management, v. 23, n. 8, p. 881-897, 2011.</w:t>
      </w:r>
    </w:p>
    <w:p w14:paraId="177A5C6B" w14:textId="77777777" w:rsidR="004E5FFB" w:rsidRPr="004E5FFB" w:rsidRDefault="004E5FFB" w:rsidP="004E5FFB">
      <w:pPr>
        <w:widowControl w:val="0"/>
        <w:spacing w:before="119" w:line="249" w:lineRule="auto"/>
        <w:ind w:right="98" w:firstLine="0"/>
        <w:rPr>
          <w:lang w:val="en-US"/>
        </w:rPr>
      </w:pPr>
      <w:r w:rsidRPr="004E5FFB">
        <w:rPr>
          <w:lang w:val="en-US"/>
        </w:rPr>
        <w:t>BEER S. The Viable System Model: its Provenance Development Methodology and Pathology. Journal of the Operational Research Society v. 35 n. 1 p. 7 - 25 1984.</w:t>
      </w:r>
    </w:p>
    <w:p w14:paraId="4C3832D6" w14:textId="77777777" w:rsidR="004E5FFB" w:rsidRPr="004E5FFB" w:rsidRDefault="004E5FFB" w:rsidP="004E5FFB">
      <w:pPr>
        <w:widowControl w:val="0"/>
        <w:spacing w:before="119" w:line="249" w:lineRule="auto"/>
        <w:ind w:right="98" w:firstLine="0"/>
        <w:rPr>
          <w:lang w:val="en-US"/>
        </w:rPr>
      </w:pPr>
      <w:r w:rsidRPr="004E5FFB">
        <w:rPr>
          <w:lang w:val="en-US"/>
        </w:rPr>
        <w:t>BIRKINSHAW J., HAMEL G., MOL M. Management innovation. Academy of Management Review, 33, p. 825–845, 2008.</w:t>
      </w:r>
    </w:p>
    <w:p w14:paraId="23031DE6" w14:textId="77777777" w:rsidR="004E5FFB" w:rsidRPr="004E5FFB" w:rsidRDefault="004E5FFB" w:rsidP="004E5FFB">
      <w:pPr>
        <w:widowControl w:val="0"/>
        <w:spacing w:before="119" w:line="249" w:lineRule="auto"/>
        <w:ind w:right="98" w:firstLine="0"/>
        <w:rPr>
          <w:lang w:val="en-US"/>
        </w:rPr>
      </w:pPr>
      <w:r w:rsidRPr="004E5FFB">
        <w:rPr>
          <w:lang w:val="en-US"/>
        </w:rPr>
        <w:t>BIRKINSHAW, J., MOL, E. How management innovation happens. MIT Sloan Rev., 47(4), p. 81–88, 2006.</w:t>
      </w:r>
    </w:p>
    <w:p w14:paraId="499ED872" w14:textId="77777777" w:rsidR="004E5FFB" w:rsidRPr="004E5FFB" w:rsidRDefault="004E5FFB" w:rsidP="004E5FFB">
      <w:pPr>
        <w:widowControl w:val="0"/>
        <w:spacing w:before="119" w:line="249" w:lineRule="auto"/>
        <w:ind w:right="98" w:firstLine="0"/>
        <w:rPr>
          <w:lang w:val="en-US"/>
        </w:rPr>
      </w:pPr>
      <w:r w:rsidRPr="004E5FFB">
        <w:rPr>
          <w:lang w:val="en-US"/>
        </w:rPr>
        <w:t>BOER, H.; DURING, W. E. Innovation, what innovation? A comparison between product, process, and organizational innovation, International Journal of Technology Management, 22, p. 83-107, 2001.</w:t>
      </w:r>
    </w:p>
    <w:p w14:paraId="6DE269B9" w14:textId="77777777" w:rsidR="004E5FFB" w:rsidRPr="004E5FFB" w:rsidRDefault="004E5FFB" w:rsidP="004E5FFB">
      <w:pPr>
        <w:widowControl w:val="0"/>
        <w:spacing w:before="119" w:line="249" w:lineRule="auto"/>
        <w:ind w:right="98" w:firstLine="0"/>
        <w:rPr>
          <w:lang w:val="en-US"/>
        </w:rPr>
      </w:pPr>
      <w:r w:rsidRPr="004E5FFB">
        <w:rPr>
          <w:lang w:val="en-US"/>
        </w:rPr>
        <w:t>CHECKLAND P. Systems Thinking Systems Practice: Includes a 30-year retrospective. 1. ed. New Jersey: Wiley 1999.</w:t>
      </w:r>
    </w:p>
    <w:p w14:paraId="48654260" w14:textId="77777777" w:rsidR="004E5FFB" w:rsidRDefault="004E5FFB" w:rsidP="004E5FFB">
      <w:pPr>
        <w:widowControl w:val="0"/>
        <w:spacing w:before="119" w:line="249" w:lineRule="auto"/>
        <w:ind w:right="98" w:firstLine="0"/>
      </w:pPr>
      <w:r w:rsidRPr="004E5FFB">
        <w:rPr>
          <w:lang w:val="en-US"/>
        </w:rPr>
        <w:t xml:space="preserve">COLVIN, J.; BLACKMORE, C.; CHIMBUYA, S.; COLLINS, K.; DENT, M.; GOSS, J.; ISON, R.; ROGGERO, P. P.; SEDDAIU, G. In search of systemic innovation for sustainable development: A design praxis emerging from a decade of social learning inquiry. </w:t>
      </w:r>
      <w:r>
        <w:t xml:space="preserve">Research </w:t>
      </w:r>
      <w:proofErr w:type="spellStart"/>
      <w:r>
        <w:t>Policy</w:t>
      </w:r>
      <w:proofErr w:type="spellEnd"/>
      <w:r>
        <w:t xml:space="preserve">, v. 43, p. 760–771, 2014. </w:t>
      </w:r>
    </w:p>
    <w:p w14:paraId="6FB03E6E" w14:textId="77777777" w:rsidR="004E5FFB" w:rsidRPr="004E5FFB" w:rsidRDefault="004E5FFB" w:rsidP="004E5FFB">
      <w:pPr>
        <w:widowControl w:val="0"/>
        <w:spacing w:before="119" w:line="249" w:lineRule="auto"/>
        <w:ind w:right="98" w:firstLine="0"/>
        <w:rPr>
          <w:lang w:val="en-US"/>
        </w:rPr>
      </w:pPr>
      <w:r>
        <w:t xml:space="preserve">CONFORTO, E. C.; AMARAL, D. C.; SILVA, S.L. da. Roteiro para revisão bibliográfica sistemática: aplicação no desenvolvimento de produtos e gerenciamento de projetos. In:8º CONGRESSO BRASILEIRO DE GESTÃO DE DESENVOLVIMENTO DE PRODUTO – CBGDP, 8., 2011. </w:t>
      </w:r>
      <w:r w:rsidRPr="004E5FFB">
        <w:rPr>
          <w:lang w:val="en-US"/>
        </w:rPr>
        <w:t xml:space="preserve">Porto Alegre, RS. Anais [...]. Porto Alegre, RS: CBGDP, 12-14 </w:t>
      </w:r>
      <w:proofErr w:type="spellStart"/>
      <w:r w:rsidRPr="004E5FFB">
        <w:rPr>
          <w:lang w:val="en-US"/>
        </w:rPr>
        <w:t>Setembro</w:t>
      </w:r>
      <w:proofErr w:type="spellEnd"/>
      <w:r w:rsidRPr="004E5FFB">
        <w:rPr>
          <w:lang w:val="en-US"/>
        </w:rPr>
        <w:t>, 2011.</w:t>
      </w:r>
    </w:p>
    <w:p w14:paraId="5757EED5" w14:textId="77777777" w:rsidR="004E5FFB" w:rsidRPr="004E5FFB" w:rsidRDefault="004E5FFB" w:rsidP="004E5FFB">
      <w:pPr>
        <w:widowControl w:val="0"/>
        <w:spacing w:before="119" w:line="249" w:lineRule="auto"/>
        <w:ind w:right="98" w:firstLine="0"/>
        <w:rPr>
          <w:lang w:val="en-US"/>
        </w:rPr>
      </w:pPr>
      <w:r w:rsidRPr="004E5FFB">
        <w:rPr>
          <w:lang w:val="en-US"/>
        </w:rPr>
        <w:t>DAMANPOUR F; ARAVIND D. Managerial Innovation: Conceptions, Processes and Antecedents. Management and Organization Review. 8(2), p. 423-454, 2012.</w:t>
      </w:r>
    </w:p>
    <w:p w14:paraId="6372385E" w14:textId="77777777" w:rsidR="004E5FFB" w:rsidRPr="004E5FFB" w:rsidRDefault="004E5FFB" w:rsidP="004E5FFB">
      <w:pPr>
        <w:widowControl w:val="0"/>
        <w:spacing w:before="119" w:line="249" w:lineRule="auto"/>
        <w:ind w:right="98" w:firstLine="0"/>
        <w:rPr>
          <w:lang w:val="en-US"/>
        </w:rPr>
      </w:pPr>
      <w:r w:rsidRPr="004E5FFB">
        <w:rPr>
          <w:lang w:val="en-US"/>
        </w:rPr>
        <w:t>DAMANPOUR, F. Footnotes to Research on Management Innovation. Organization Studies, 35(9), p. 1265-1285, 2014.</w:t>
      </w:r>
    </w:p>
    <w:p w14:paraId="2FE969EE" w14:textId="77777777" w:rsidR="004E5FFB" w:rsidRPr="004E5FFB" w:rsidRDefault="004E5FFB" w:rsidP="004E5FFB">
      <w:pPr>
        <w:widowControl w:val="0"/>
        <w:spacing w:before="119" w:line="249" w:lineRule="auto"/>
        <w:ind w:right="98" w:firstLine="0"/>
        <w:rPr>
          <w:lang w:val="en-US"/>
        </w:rPr>
      </w:pPr>
      <w:r w:rsidRPr="004E5FFB">
        <w:rPr>
          <w:lang w:val="en-US"/>
        </w:rPr>
        <w:lastRenderedPageBreak/>
        <w:t>DAMANPOUR, F. Organizational Innovation: A Meta-analysis of Effects of Determinants and Moderators Academy of Management Journal, 34 (3), p. 555-590, 1991.</w:t>
      </w:r>
    </w:p>
    <w:p w14:paraId="2891AC00" w14:textId="77777777" w:rsidR="004E5FFB" w:rsidRDefault="004E5FFB" w:rsidP="004E5FFB">
      <w:pPr>
        <w:widowControl w:val="0"/>
        <w:spacing w:before="119" w:line="249" w:lineRule="auto"/>
        <w:ind w:right="98" w:firstLine="0"/>
      </w:pPr>
      <w:r w:rsidRPr="004E5FFB">
        <w:rPr>
          <w:lang w:val="en-US"/>
        </w:rPr>
        <w:t xml:space="preserve">DAMANPOUR, F., &amp; EVAN, W. M. Organizational innovation and performance: The problem of organizational lag. </w:t>
      </w:r>
      <w:r>
        <w:t xml:space="preserve">Administrative Science </w:t>
      </w:r>
      <w:proofErr w:type="spellStart"/>
      <w:r>
        <w:t>Quarterly</w:t>
      </w:r>
      <w:proofErr w:type="spellEnd"/>
      <w:r>
        <w:t>, 29, p. 392-409, 1984.</w:t>
      </w:r>
    </w:p>
    <w:p w14:paraId="77803BFC" w14:textId="77777777" w:rsidR="004E5FFB" w:rsidRPr="004E5FFB" w:rsidRDefault="004E5FFB" w:rsidP="004E5FFB">
      <w:pPr>
        <w:widowControl w:val="0"/>
        <w:spacing w:before="119" w:line="249" w:lineRule="auto"/>
        <w:ind w:right="98" w:firstLine="0"/>
        <w:rPr>
          <w:lang w:val="en-US"/>
        </w:rPr>
      </w:pPr>
      <w:r>
        <w:t xml:space="preserve">DRESCH, A.; LACERDA, D. P.; JÚNIOR, J. A. V. A. Design </w:t>
      </w:r>
      <w:proofErr w:type="spellStart"/>
      <w:r>
        <w:t>science</w:t>
      </w:r>
      <w:proofErr w:type="spellEnd"/>
      <w:r>
        <w:t xml:space="preserve"> research: método de pesquisa para avanço da ciência e tecnologia. </w:t>
      </w:r>
      <w:r w:rsidRPr="004E5FFB">
        <w:rPr>
          <w:lang w:val="en-US"/>
        </w:rPr>
        <w:t>Porto Alegre: Bookman, 2015.</w:t>
      </w:r>
    </w:p>
    <w:p w14:paraId="0D8A3766" w14:textId="77777777" w:rsidR="004E5FFB" w:rsidRPr="004E5FFB" w:rsidRDefault="004E5FFB" w:rsidP="004E5FFB">
      <w:pPr>
        <w:widowControl w:val="0"/>
        <w:spacing w:before="119" w:line="249" w:lineRule="auto"/>
        <w:ind w:right="98" w:firstLine="0"/>
        <w:rPr>
          <w:lang w:val="en-US"/>
        </w:rPr>
      </w:pPr>
      <w:r w:rsidRPr="004E5FFB">
        <w:rPr>
          <w:lang w:val="en-US"/>
        </w:rPr>
        <w:t>DYSON, R. G.; O’BRIEN, F. A.; SHAH, D. B. Soft OR and practice: the contribution of the founders of operations research. Operations Research, p. 1-12, 2021.</w:t>
      </w:r>
    </w:p>
    <w:p w14:paraId="511EAAB7" w14:textId="77777777" w:rsidR="004E5FFB" w:rsidRPr="004E5FFB" w:rsidRDefault="004E5FFB" w:rsidP="004E5FFB">
      <w:pPr>
        <w:widowControl w:val="0"/>
        <w:spacing w:before="119" w:line="249" w:lineRule="auto"/>
        <w:ind w:right="98" w:firstLine="0"/>
        <w:rPr>
          <w:lang w:val="en-US"/>
        </w:rPr>
      </w:pPr>
      <w:r w:rsidRPr="004E5FFB">
        <w:rPr>
          <w:lang w:val="en-US"/>
        </w:rPr>
        <w:t>EDQUIST, C., HOMMEN, C. L., &amp; MCKELVEY, M. Innovation and employment: Process versus product innovation. Cheltenham, UK: Edward Elgar, 2001.</w:t>
      </w:r>
    </w:p>
    <w:p w14:paraId="20880FD1" w14:textId="77777777" w:rsidR="004E5FFB" w:rsidRPr="004E5FFB" w:rsidRDefault="004E5FFB" w:rsidP="004E5FFB">
      <w:pPr>
        <w:widowControl w:val="0"/>
        <w:spacing w:before="119" w:line="249" w:lineRule="auto"/>
        <w:ind w:right="98" w:firstLine="0"/>
        <w:rPr>
          <w:lang w:val="en-US"/>
        </w:rPr>
      </w:pPr>
      <w:r w:rsidRPr="004E5FFB">
        <w:rPr>
          <w:lang w:val="en-US"/>
        </w:rPr>
        <w:t>EVAN, W. M. Organizational lag. Human Organizations, 25, p. 51–53, 1966.</w:t>
      </w:r>
    </w:p>
    <w:p w14:paraId="1ED37688" w14:textId="77777777" w:rsidR="004E5FFB" w:rsidRDefault="004E5FFB" w:rsidP="004E5FFB">
      <w:pPr>
        <w:widowControl w:val="0"/>
        <w:spacing w:before="119" w:line="249" w:lineRule="auto"/>
        <w:ind w:right="98" w:firstLine="0"/>
      </w:pPr>
      <w:r w:rsidRPr="004E5FFB">
        <w:rPr>
          <w:lang w:val="en-US"/>
        </w:rPr>
        <w:t xml:space="preserve">FAGERBERG, J. Innovation: A guide to </w:t>
      </w:r>
      <w:proofErr w:type="gramStart"/>
      <w:r w:rsidRPr="004E5FFB">
        <w:rPr>
          <w:lang w:val="en-US"/>
        </w:rPr>
        <w:t>the literature</w:t>
      </w:r>
      <w:proofErr w:type="gramEnd"/>
      <w:r w:rsidRPr="004E5FFB">
        <w:rPr>
          <w:lang w:val="en-US"/>
        </w:rPr>
        <w:t xml:space="preserve">. In J. Fagerberg, D. C. Mowery, &amp; R. R. Nelson (Eds.), The Oxford handbook of innovations, p. 1–26. </w:t>
      </w:r>
      <w:r>
        <w:t xml:space="preserve">Oxford: Oxford </w:t>
      </w:r>
      <w:proofErr w:type="spellStart"/>
      <w:r>
        <w:t>University</w:t>
      </w:r>
      <w:proofErr w:type="spellEnd"/>
      <w:r>
        <w:t xml:space="preserve"> Press, 2005.</w:t>
      </w:r>
    </w:p>
    <w:p w14:paraId="3176FC53" w14:textId="77777777" w:rsidR="004E5FFB" w:rsidRDefault="004E5FFB" w:rsidP="004E5FFB">
      <w:pPr>
        <w:widowControl w:val="0"/>
        <w:spacing w:before="119" w:line="249" w:lineRule="auto"/>
        <w:ind w:right="98" w:firstLine="0"/>
      </w:pPr>
      <w:r>
        <w:t>FERREIRA, G. S. Intervenção sistêmica no contexto de sistemas de alerta de desastres naturais centrados nas pessoas. 2022. 236 f. Tese (Doutorado em Ciências e Tecnologias Espaciais) – Instituto Tecnológico de Aeronáutica, São José dos Campos, 2022.</w:t>
      </w:r>
    </w:p>
    <w:p w14:paraId="3CBAC97B" w14:textId="77777777" w:rsidR="004E5FFB" w:rsidRDefault="004E5FFB" w:rsidP="004E5FFB">
      <w:pPr>
        <w:widowControl w:val="0"/>
        <w:spacing w:before="119" w:line="249" w:lineRule="auto"/>
        <w:ind w:right="98" w:firstLine="0"/>
      </w:pPr>
      <w:r>
        <w:t>FIGUEIREDO, P. N. ACUMULAÇÃO TECNOLÓGICA E INOVAÇÃO INDUSTRIAL: conceitos, mensuração e evidências no Brasil. São Paulo em Perspectiva, 19(1), 54-69, 2005.</w:t>
      </w:r>
    </w:p>
    <w:p w14:paraId="58D4D495" w14:textId="77777777" w:rsidR="005E1723" w:rsidRDefault="004E5FFB" w:rsidP="005E1723">
      <w:pPr>
        <w:adjustRightInd w:val="0"/>
        <w:snapToGrid w:val="0"/>
        <w:spacing w:after="120" w:line="240" w:lineRule="auto"/>
        <w:ind w:right="-7" w:firstLine="0"/>
      </w:pPr>
      <w:r>
        <w:t>FRANÇOZO, R. V. Objetivos Baseados em Valores na Definição de Ações do Soft Systems Methodology: Estudo de Caso na Inclusão de Estudantes com Necessidades Educacionais Específicas. 2019. 156f. Tese (Doutorado) - Instituto Tecnológico de Aeronáutica e Universidade Federal de São Paulo, São José dos Campos, 2019.</w:t>
      </w:r>
    </w:p>
    <w:p w14:paraId="466BAA4E" w14:textId="3E89DB3F" w:rsidR="005E1723" w:rsidRPr="00E0467C" w:rsidRDefault="005E1723" w:rsidP="005E1723">
      <w:pPr>
        <w:adjustRightInd w:val="0"/>
        <w:snapToGrid w:val="0"/>
        <w:spacing w:after="120" w:line="240" w:lineRule="auto"/>
        <w:ind w:right="-7" w:firstLine="0"/>
        <w:rPr>
          <w:iCs/>
          <w:lang w:val="en-US"/>
        </w:rPr>
      </w:pPr>
      <w:r w:rsidRPr="00BC1970">
        <w:rPr>
          <w:iCs/>
          <w:lang w:val="en-US"/>
        </w:rPr>
        <w:t xml:space="preserve">FRANÇOZO, R.; PAUCAR-CACERES, A.; BELDERRAIN, M. C. N. Combining Value-Focused thinking and soft systems methodology: A systemic framework to structure the planning process at a special educational needs school in Brazil. </w:t>
      </w:r>
      <w:r w:rsidRPr="00BC1970">
        <w:rPr>
          <w:b/>
          <w:bCs/>
          <w:iCs/>
          <w:lang w:val="en-US"/>
        </w:rPr>
        <w:t>Journal of the Operational Research Society</w:t>
      </w:r>
      <w:r w:rsidRPr="00BC1970">
        <w:rPr>
          <w:iCs/>
          <w:lang w:val="en-US"/>
        </w:rPr>
        <w:t>, v. 73, n. 5, p. 994–1013, 2022.</w:t>
      </w:r>
    </w:p>
    <w:p w14:paraId="23160391" w14:textId="77777777" w:rsidR="004E5FFB" w:rsidRPr="004E5FFB" w:rsidRDefault="004E5FFB" w:rsidP="004E5FFB">
      <w:pPr>
        <w:widowControl w:val="0"/>
        <w:spacing w:before="119" w:line="249" w:lineRule="auto"/>
        <w:ind w:right="98" w:firstLine="0"/>
        <w:rPr>
          <w:lang w:val="en-US"/>
        </w:rPr>
      </w:pPr>
      <w:r w:rsidRPr="004E5FFB">
        <w:rPr>
          <w:lang w:val="en-US"/>
        </w:rPr>
        <w:t>FRIEND J.; HICKLING A. Planning Under Pressure: The strategic choice approach. 3. ed. [</w:t>
      </w:r>
      <w:proofErr w:type="spellStart"/>
      <w:r w:rsidRPr="004E5FFB">
        <w:rPr>
          <w:lang w:val="en-US"/>
        </w:rPr>
        <w:t>S.l.</w:t>
      </w:r>
      <w:proofErr w:type="spellEnd"/>
      <w:r w:rsidRPr="004E5FFB">
        <w:rPr>
          <w:lang w:val="en-US"/>
        </w:rPr>
        <w:t>]: Butterworth-Heinemann 2005.</w:t>
      </w:r>
    </w:p>
    <w:p w14:paraId="1E9387B4" w14:textId="77777777" w:rsidR="004E5FFB" w:rsidRPr="004E5FFB" w:rsidRDefault="004E5FFB" w:rsidP="004E5FFB">
      <w:pPr>
        <w:widowControl w:val="0"/>
        <w:spacing w:before="119" w:line="249" w:lineRule="auto"/>
        <w:ind w:right="98" w:firstLine="0"/>
        <w:rPr>
          <w:lang w:val="en-US"/>
        </w:rPr>
      </w:pPr>
      <w:r w:rsidRPr="004E5FFB">
        <w:rPr>
          <w:lang w:val="en-US"/>
        </w:rPr>
        <w:t>GALLOUJ F., WEINSTEIN O. Innovation in services Res Policy, 26, p. 537-555, 1997.</w:t>
      </w:r>
    </w:p>
    <w:p w14:paraId="1CC9B672" w14:textId="77777777" w:rsidR="004E5FFB" w:rsidRPr="004E5FFB" w:rsidRDefault="004E5FFB" w:rsidP="004E5FFB">
      <w:pPr>
        <w:widowControl w:val="0"/>
        <w:spacing w:before="119" w:line="249" w:lineRule="auto"/>
        <w:ind w:right="98" w:firstLine="0"/>
        <w:rPr>
          <w:lang w:val="en-US"/>
        </w:rPr>
      </w:pPr>
      <w:r w:rsidRPr="004E5FFB">
        <w:rPr>
          <w:lang w:val="en-US"/>
        </w:rPr>
        <w:t xml:space="preserve">GODIN, B. The linear model of innovation: The historical construction of an analytical framework. Science, Technology, and Human Values, v. 31, n. 6, p. 639–667, 2006. </w:t>
      </w:r>
    </w:p>
    <w:p w14:paraId="0168F3C8" w14:textId="77777777" w:rsidR="004E5FFB" w:rsidRPr="004E5FFB" w:rsidRDefault="004E5FFB" w:rsidP="004E5FFB">
      <w:pPr>
        <w:widowControl w:val="0"/>
        <w:spacing w:before="119" w:line="249" w:lineRule="auto"/>
        <w:ind w:right="98" w:firstLine="0"/>
        <w:rPr>
          <w:lang w:val="en-US"/>
        </w:rPr>
      </w:pPr>
      <w:r w:rsidRPr="004E5FFB">
        <w:rPr>
          <w:lang w:val="en-US"/>
        </w:rPr>
        <w:t xml:space="preserve">GRANSTRAND, O., HOLGERSSON, M. Innovation ecosystems: A conceptual review and a new definition. </w:t>
      </w:r>
      <w:proofErr w:type="spellStart"/>
      <w:r w:rsidRPr="004E5FFB">
        <w:rPr>
          <w:lang w:val="en-US"/>
        </w:rPr>
        <w:t>Technovation</w:t>
      </w:r>
      <w:proofErr w:type="spellEnd"/>
      <w:r w:rsidRPr="004E5FFB">
        <w:rPr>
          <w:lang w:val="en-US"/>
        </w:rPr>
        <w:t>, 90-91, 102098, 2020.</w:t>
      </w:r>
    </w:p>
    <w:p w14:paraId="325CF442" w14:textId="77777777" w:rsidR="004E5FFB" w:rsidRPr="004E5FFB" w:rsidRDefault="004E5FFB" w:rsidP="004E5FFB">
      <w:pPr>
        <w:widowControl w:val="0"/>
        <w:spacing w:before="119" w:line="249" w:lineRule="auto"/>
        <w:ind w:right="98" w:firstLine="0"/>
        <w:rPr>
          <w:lang w:val="en-US"/>
        </w:rPr>
      </w:pPr>
      <w:r w:rsidRPr="004E5FFB">
        <w:rPr>
          <w:lang w:val="en-US"/>
        </w:rPr>
        <w:t>HAMEL, G. The future of management. Harvard Business School Press, Boston, 2007.</w:t>
      </w:r>
    </w:p>
    <w:p w14:paraId="33134F16" w14:textId="77777777" w:rsidR="004E5FFB" w:rsidRPr="004E5FFB" w:rsidRDefault="004E5FFB" w:rsidP="004E5FFB">
      <w:pPr>
        <w:widowControl w:val="0"/>
        <w:spacing w:before="119" w:line="249" w:lineRule="auto"/>
        <w:ind w:right="98" w:firstLine="0"/>
        <w:rPr>
          <w:lang w:val="en-US"/>
        </w:rPr>
      </w:pPr>
      <w:r w:rsidRPr="004E5FFB">
        <w:rPr>
          <w:lang w:val="en-US"/>
        </w:rPr>
        <w:t>HAMEL, G. The why, what and how of management innovation. Harvard Bus Rev, 84(2), p. 72-84, 2006.</w:t>
      </w:r>
    </w:p>
    <w:p w14:paraId="06CDCC6F" w14:textId="77777777" w:rsidR="004E5FFB" w:rsidRPr="004E5FFB" w:rsidRDefault="004E5FFB" w:rsidP="004E5FFB">
      <w:pPr>
        <w:widowControl w:val="0"/>
        <w:spacing w:before="119" w:line="249" w:lineRule="auto"/>
        <w:ind w:right="98" w:firstLine="0"/>
        <w:rPr>
          <w:lang w:val="en-US"/>
        </w:rPr>
      </w:pPr>
      <w:r w:rsidRPr="004E5FFB">
        <w:rPr>
          <w:lang w:val="en-US"/>
        </w:rPr>
        <w:t>HAN, J.; TENG, X.; CAI, X. A novel network optimization partner selection method based on collaborative and knowledge networks. Information Sciences, v. 484, p. 269-285, 2019.</w:t>
      </w:r>
    </w:p>
    <w:p w14:paraId="20287A75" w14:textId="77777777" w:rsidR="004E5FFB" w:rsidRPr="004E5FFB" w:rsidRDefault="004E5FFB" w:rsidP="004E5FFB">
      <w:pPr>
        <w:widowControl w:val="0"/>
        <w:spacing w:before="119" w:line="249" w:lineRule="auto"/>
        <w:ind w:right="98" w:firstLine="0"/>
        <w:rPr>
          <w:lang w:val="en-US"/>
        </w:rPr>
      </w:pPr>
      <w:r w:rsidRPr="004E5FFB">
        <w:rPr>
          <w:lang w:val="en-US"/>
        </w:rPr>
        <w:t xml:space="preserve">HANSEN, M. T.; BIRKINSHAW, J. The Innovation Value Chain. Harvard Business Review, </w:t>
      </w:r>
      <w:r w:rsidRPr="004E5FFB">
        <w:rPr>
          <w:lang w:val="en-US"/>
        </w:rPr>
        <w:lastRenderedPageBreak/>
        <w:t>v. 85, n. 6, p. 121-130, 2007.</w:t>
      </w:r>
    </w:p>
    <w:p w14:paraId="4BEE9835" w14:textId="77777777" w:rsidR="004E5FFB" w:rsidRPr="004E5FFB" w:rsidRDefault="004E5FFB" w:rsidP="004E5FFB">
      <w:pPr>
        <w:widowControl w:val="0"/>
        <w:spacing w:before="119" w:line="249" w:lineRule="auto"/>
        <w:ind w:right="98" w:firstLine="0"/>
        <w:rPr>
          <w:lang w:val="en-US"/>
        </w:rPr>
      </w:pPr>
      <w:r w:rsidRPr="004E5FFB">
        <w:rPr>
          <w:lang w:val="en-US"/>
        </w:rPr>
        <w:t>HECKER, A.; GANTER, A. The Influence of Product Market Competition on Technological and Management Innovation: Firm-Level Evidence from a Large-Scale Survey European Management Review, 10, p. 17-33, 2013.</w:t>
      </w:r>
    </w:p>
    <w:p w14:paraId="1B520634" w14:textId="77777777" w:rsidR="004E5FFB" w:rsidRPr="004E5FFB" w:rsidRDefault="004E5FFB" w:rsidP="004E5FFB">
      <w:pPr>
        <w:widowControl w:val="0"/>
        <w:spacing w:before="119" w:line="249" w:lineRule="auto"/>
        <w:ind w:right="98" w:firstLine="0"/>
        <w:rPr>
          <w:lang w:val="en-US"/>
        </w:rPr>
      </w:pPr>
      <w:r w:rsidRPr="004E5FFB">
        <w:rPr>
          <w:lang w:val="en-US"/>
        </w:rPr>
        <w:t>HENAO-GARCÍA, E. A. and CARDONA MONTOYA, R. A. Management Innovation in an Emerging Economy: An Analysis of Its Moderating Effect on the Technological Innovation–Performance Relationship. IEEE Transactions on Engineering Management, 70 (1), p. 128-141, 2023.</w:t>
      </w:r>
    </w:p>
    <w:p w14:paraId="34C4CC10" w14:textId="77777777" w:rsidR="004E5FFB" w:rsidRPr="004E5FFB" w:rsidRDefault="004E5FFB" w:rsidP="004E5FFB">
      <w:pPr>
        <w:widowControl w:val="0"/>
        <w:spacing w:before="119" w:line="249" w:lineRule="auto"/>
        <w:ind w:right="98" w:firstLine="0"/>
        <w:rPr>
          <w:lang w:val="en-US"/>
        </w:rPr>
      </w:pPr>
      <w:r w:rsidRPr="004E5FFB">
        <w:rPr>
          <w:lang w:val="en-US"/>
        </w:rPr>
        <w:t xml:space="preserve">ISON, R. L. What is systemic about innovation systems? The implications for policies, governance and </w:t>
      </w:r>
      <w:proofErr w:type="spellStart"/>
      <w:r w:rsidRPr="004E5FFB">
        <w:rPr>
          <w:lang w:val="en-US"/>
        </w:rPr>
        <w:t>institutionalisation</w:t>
      </w:r>
      <w:proofErr w:type="spellEnd"/>
      <w:r w:rsidRPr="004E5FFB">
        <w:rPr>
          <w:lang w:val="en-US"/>
        </w:rPr>
        <w:t xml:space="preserve">. In: FRANCIS, J.; VAN HUIS, A. (Eds.). Innovation Systems: Towards Effective Strategies in Support of Smallholder Farmers. Wageningen: CTA/WUR, 2016. </w:t>
      </w:r>
    </w:p>
    <w:p w14:paraId="7CD54D1D" w14:textId="77777777" w:rsidR="004E5FFB" w:rsidRPr="004E5FFB" w:rsidRDefault="004E5FFB" w:rsidP="004E5FFB">
      <w:pPr>
        <w:widowControl w:val="0"/>
        <w:spacing w:before="119" w:line="249" w:lineRule="auto"/>
        <w:ind w:right="98" w:firstLine="0"/>
        <w:rPr>
          <w:lang w:val="en-US"/>
        </w:rPr>
      </w:pPr>
      <w:r w:rsidRPr="004E5FFB">
        <w:rPr>
          <w:lang w:val="en-US"/>
        </w:rPr>
        <w:t xml:space="preserve">JACKSON, M. C. Critical systems thinking and the management of the complexity. Chichester: John Wiley &amp; Sons, 2019. </w:t>
      </w:r>
    </w:p>
    <w:p w14:paraId="1DFC406E" w14:textId="77777777" w:rsidR="004E5FFB" w:rsidRPr="004E5FFB" w:rsidRDefault="004E5FFB" w:rsidP="004E5FFB">
      <w:pPr>
        <w:widowControl w:val="0"/>
        <w:spacing w:before="119" w:line="249" w:lineRule="auto"/>
        <w:ind w:right="98" w:firstLine="0"/>
        <w:rPr>
          <w:lang w:val="en-US"/>
        </w:rPr>
      </w:pPr>
      <w:r w:rsidRPr="004E5FFB">
        <w:rPr>
          <w:lang w:val="en-US"/>
        </w:rPr>
        <w:t xml:space="preserve">JACKSON, M. C. Systems Methodology for the Management Sciences. New York: Plenum, 1991. </w:t>
      </w:r>
    </w:p>
    <w:p w14:paraId="71408F34" w14:textId="77777777" w:rsidR="004E5FFB" w:rsidRPr="004E5FFB" w:rsidRDefault="004E5FFB" w:rsidP="004E5FFB">
      <w:pPr>
        <w:widowControl w:val="0"/>
        <w:spacing w:before="119" w:line="249" w:lineRule="auto"/>
        <w:ind w:right="98" w:firstLine="0"/>
        <w:rPr>
          <w:lang w:val="en-US"/>
        </w:rPr>
      </w:pPr>
      <w:r w:rsidRPr="004E5FFB">
        <w:rPr>
          <w:lang w:val="en-US"/>
        </w:rPr>
        <w:t>JURACKA, D.; NAGY, M.; VALASKOVA, K.; NICA, E. A Meta-Analysis of Innovation Management in Scientific Research: Unveiling the Frontier. Systems, 12, 130, 2024.</w:t>
      </w:r>
    </w:p>
    <w:p w14:paraId="54C2B686" w14:textId="77777777" w:rsidR="004E5FFB" w:rsidRPr="004E5FFB" w:rsidRDefault="004E5FFB" w:rsidP="004E5FFB">
      <w:pPr>
        <w:widowControl w:val="0"/>
        <w:spacing w:before="119" w:line="249" w:lineRule="auto"/>
        <w:ind w:right="98" w:firstLine="0"/>
        <w:rPr>
          <w:lang w:val="en-US"/>
        </w:rPr>
      </w:pPr>
      <w:r w:rsidRPr="004E5FFB">
        <w:rPr>
          <w:lang w:val="en-US"/>
        </w:rPr>
        <w:t>KEUPP, M.M., PALMIÉ, M. AND GASSMANN, O. The Strategic Management of Innovation: A Systematic Review and Paths for Future Research. International Journal of Management Reviews, 14: 367-390, 2012.</w:t>
      </w:r>
    </w:p>
    <w:p w14:paraId="4CE11D9A" w14:textId="77777777" w:rsidR="004E5FFB" w:rsidRPr="004E5FFB" w:rsidRDefault="004E5FFB" w:rsidP="004E5FFB">
      <w:pPr>
        <w:widowControl w:val="0"/>
        <w:spacing w:before="119" w:line="249" w:lineRule="auto"/>
        <w:ind w:right="98" w:firstLine="0"/>
        <w:rPr>
          <w:lang w:val="en-US"/>
        </w:rPr>
      </w:pPr>
      <w:r w:rsidRPr="004E5FFB">
        <w:rPr>
          <w:lang w:val="en-US"/>
        </w:rPr>
        <w:t>KHOSRAVI, P.; NEWTON, C.; REZVANI, A. Management innovation: A systematic review and meta-analysis of past decades of research. European Management Journal, 37(6), p. 694-707, 2019.</w:t>
      </w:r>
    </w:p>
    <w:p w14:paraId="73397E80" w14:textId="77777777" w:rsidR="004E5FFB" w:rsidRPr="004E5FFB" w:rsidRDefault="004E5FFB" w:rsidP="004E5FFB">
      <w:pPr>
        <w:widowControl w:val="0"/>
        <w:spacing w:before="119" w:line="249" w:lineRule="auto"/>
        <w:ind w:right="98" w:firstLine="0"/>
        <w:rPr>
          <w:lang w:val="en-US"/>
        </w:rPr>
      </w:pPr>
      <w:r w:rsidRPr="004E5FFB">
        <w:rPr>
          <w:lang w:val="en-US"/>
        </w:rPr>
        <w:t>KIMBERLY J. R. Managerial innovation. In Nystrom P. C., Starbuck W. H. (Eds.), Handbook of organizational design. New York, NY: Oxford University Press, p. 84–104, 1981.</w:t>
      </w:r>
    </w:p>
    <w:p w14:paraId="7FB6E15E" w14:textId="77777777" w:rsidR="004E5FFB" w:rsidRPr="004E5FFB" w:rsidRDefault="004E5FFB" w:rsidP="004E5FFB">
      <w:pPr>
        <w:widowControl w:val="0"/>
        <w:spacing w:before="119" w:line="249" w:lineRule="auto"/>
        <w:ind w:right="98" w:firstLine="0"/>
        <w:rPr>
          <w:lang w:val="en-US"/>
        </w:rPr>
      </w:pPr>
      <w:r w:rsidRPr="004E5FFB">
        <w:rPr>
          <w:lang w:val="en-US"/>
        </w:rPr>
        <w:t>KIMBERLY, J. R., &amp; EVANISKO, M. Organizational innovation: The influence of individual, organizational, and contextual factors on hospital adoption of technological and administrative innovations. Academy of Management Journal, 24, 679-713, 1981.</w:t>
      </w:r>
    </w:p>
    <w:p w14:paraId="25F0D081" w14:textId="77777777" w:rsidR="004E5FFB" w:rsidRPr="004E5FFB" w:rsidRDefault="004E5FFB" w:rsidP="004E5FFB">
      <w:pPr>
        <w:widowControl w:val="0"/>
        <w:spacing w:before="119" w:line="249" w:lineRule="auto"/>
        <w:ind w:right="98" w:firstLine="0"/>
        <w:rPr>
          <w:lang w:val="en-US"/>
        </w:rPr>
      </w:pPr>
      <w:r w:rsidRPr="004E5FFB">
        <w:rPr>
          <w:lang w:val="en-US"/>
        </w:rPr>
        <w:t>KITCHENHAM, B.; CHARTERS, S. Guidelines for performing systematic literature reviews in software engineering version 2.3. Keele, Staffs, UK: Department of Computer Science 2007.</w:t>
      </w:r>
    </w:p>
    <w:p w14:paraId="227BBA5C" w14:textId="77777777" w:rsidR="004E5FFB" w:rsidRPr="004E5FFB" w:rsidRDefault="004E5FFB" w:rsidP="004E5FFB">
      <w:pPr>
        <w:widowControl w:val="0"/>
        <w:spacing w:before="119" w:line="249" w:lineRule="auto"/>
        <w:ind w:right="98" w:firstLine="0"/>
        <w:rPr>
          <w:lang w:val="en-US"/>
        </w:rPr>
      </w:pPr>
      <w:r w:rsidRPr="004E5FFB">
        <w:rPr>
          <w:lang w:val="en-US"/>
        </w:rPr>
        <w:t>KLINE, S. J., &amp; ROSENBERG, N. An Overview of Innovation. In: Landau, R., &amp; Rosenberg, N., Eds., The Positive Sum Strategy: Harnessing Technology for Economic Growth. National Academy Press, Washington DC, p. 275-307, 1986.</w:t>
      </w:r>
    </w:p>
    <w:p w14:paraId="7FA9188F" w14:textId="77777777" w:rsidR="004E5FFB" w:rsidRPr="004E5FFB" w:rsidRDefault="004E5FFB" w:rsidP="004E5FFB">
      <w:pPr>
        <w:widowControl w:val="0"/>
        <w:spacing w:before="119" w:line="249" w:lineRule="auto"/>
        <w:ind w:right="98" w:firstLine="0"/>
        <w:rPr>
          <w:lang w:val="en-US"/>
        </w:rPr>
      </w:pPr>
      <w:r w:rsidRPr="004E5FFB">
        <w:rPr>
          <w:lang w:val="en-US"/>
        </w:rPr>
        <w:t xml:space="preserve">LASZLO, A.; LUKSHA, P.; KARABEG, D. Systemic innovation, education and the social impact of the systems sciences. Systems Research and Behavioral Science, v. 34, p. 601–608, 2017. </w:t>
      </w:r>
    </w:p>
    <w:p w14:paraId="15202E8C" w14:textId="77777777" w:rsidR="004E5FFB" w:rsidRPr="004E5FFB" w:rsidRDefault="004E5FFB" w:rsidP="004E5FFB">
      <w:pPr>
        <w:widowControl w:val="0"/>
        <w:spacing w:before="119" w:line="249" w:lineRule="auto"/>
        <w:ind w:right="98" w:firstLine="0"/>
        <w:rPr>
          <w:lang w:val="en-US"/>
        </w:rPr>
      </w:pPr>
      <w:r w:rsidRPr="004E5FFB">
        <w:rPr>
          <w:lang w:val="en-US"/>
        </w:rPr>
        <w:t>LIN, H., SU, J. HIGGINS, A. How dynamic capabilities affect adoption of management innovations. Journal of Business Research, 69(2), p. 862-876, 2016.</w:t>
      </w:r>
    </w:p>
    <w:p w14:paraId="0EA6696F" w14:textId="77777777" w:rsidR="004E5FFB" w:rsidRPr="004E5FFB" w:rsidRDefault="004E5FFB" w:rsidP="004E5FFB">
      <w:pPr>
        <w:widowControl w:val="0"/>
        <w:spacing w:before="119" w:line="249" w:lineRule="auto"/>
        <w:ind w:right="98" w:firstLine="0"/>
        <w:rPr>
          <w:lang w:val="en-US"/>
        </w:rPr>
      </w:pPr>
      <w:r w:rsidRPr="004E5FFB">
        <w:rPr>
          <w:lang w:val="en-US"/>
        </w:rPr>
        <w:t xml:space="preserve">LINDHULT, E. Systemic innovation. Systems Thinking, v. 3, p. 1–14, 2023. </w:t>
      </w:r>
    </w:p>
    <w:p w14:paraId="2127801F" w14:textId="77777777" w:rsidR="004E5FFB" w:rsidRPr="004E5FFB" w:rsidRDefault="004E5FFB" w:rsidP="004E5FFB">
      <w:pPr>
        <w:widowControl w:val="0"/>
        <w:spacing w:before="119" w:line="249" w:lineRule="auto"/>
        <w:ind w:right="98" w:firstLine="0"/>
        <w:rPr>
          <w:lang w:val="en-US"/>
        </w:rPr>
      </w:pPr>
      <w:r w:rsidRPr="004E5FFB">
        <w:rPr>
          <w:lang w:val="en-US"/>
        </w:rPr>
        <w:lastRenderedPageBreak/>
        <w:t xml:space="preserve">LINDHULT, E.; MIDGLEY, G. Systemic innovation: Theoretical considerations. In: Proceedings of the 58th Annual Meeting of the International Society for the Systems Sciences (ISSS), Washington DC, USA, 27 </w:t>
      </w:r>
      <w:proofErr w:type="spellStart"/>
      <w:proofErr w:type="gramStart"/>
      <w:r w:rsidRPr="004E5FFB">
        <w:rPr>
          <w:lang w:val="en-US"/>
        </w:rPr>
        <w:t>jul.</w:t>
      </w:r>
      <w:proofErr w:type="spellEnd"/>
      <w:r w:rsidRPr="004E5FFB">
        <w:rPr>
          <w:lang w:val="en-US"/>
        </w:rPr>
        <w:t>–</w:t>
      </w:r>
      <w:proofErr w:type="gramEnd"/>
      <w:r w:rsidRPr="004E5FFB">
        <w:rPr>
          <w:lang w:val="en-US"/>
        </w:rPr>
        <w:t xml:space="preserve">1 ago. 2014. </w:t>
      </w:r>
    </w:p>
    <w:p w14:paraId="036AF2F7" w14:textId="77777777" w:rsidR="004E5FFB" w:rsidRPr="004E5FFB" w:rsidRDefault="004E5FFB" w:rsidP="004E5FFB">
      <w:pPr>
        <w:widowControl w:val="0"/>
        <w:spacing w:before="119" w:line="249" w:lineRule="auto"/>
        <w:ind w:right="98" w:firstLine="0"/>
        <w:rPr>
          <w:lang w:val="en-US"/>
        </w:rPr>
      </w:pPr>
      <w:r w:rsidRPr="004E5FFB">
        <w:rPr>
          <w:lang w:val="en-US"/>
        </w:rPr>
        <w:t>MACHOVA, R.; KORCSMAROS, E.; CSEREOVA, A.; VARGA, J. Innovation activity of Slovak ICT SMEs. J. Bus. Sect., 1, 32–41, 2023.</w:t>
      </w:r>
    </w:p>
    <w:p w14:paraId="38F7AF12" w14:textId="77777777" w:rsidR="004E5FFB" w:rsidRPr="004E5FFB" w:rsidRDefault="004E5FFB" w:rsidP="004E5FFB">
      <w:pPr>
        <w:widowControl w:val="0"/>
        <w:spacing w:before="119" w:line="249" w:lineRule="auto"/>
        <w:ind w:right="98" w:firstLine="0"/>
        <w:rPr>
          <w:lang w:val="en-US"/>
        </w:rPr>
      </w:pPr>
      <w:r w:rsidRPr="004E5FFB">
        <w:rPr>
          <w:lang w:val="en-US"/>
        </w:rPr>
        <w:t>MALERBA, F. ORSENIGO, L. Technological Regimes and Sectoral Patterns of Innovative Activities, Industrial and Corporate Change, 6(1), 1997, p. 83–118, 1997.</w:t>
      </w:r>
    </w:p>
    <w:p w14:paraId="11040801" w14:textId="77777777" w:rsidR="004E5FFB" w:rsidRPr="004E5FFB" w:rsidRDefault="004E5FFB" w:rsidP="004E5FFB">
      <w:pPr>
        <w:widowControl w:val="0"/>
        <w:spacing w:before="119" w:line="249" w:lineRule="auto"/>
        <w:ind w:right="98" w:firstLine="0"/>
        <w:rPr>
          <w:lang w:val="en-US"/>
        </w:rPr>
      </w:pPr>
      <w:r w:rsidRPr="004E5FFB">
        <w:rPr>
          <w:lang w:val="en-US"/>
        </w:rPr>
        <w:t>MARKIDES C. Strategic innovation Sloan Manage Rev, 38 (3), p. 9-23, 1997.</w:t>
      </w:r>
    </w:p>
    <w:p w14:paraId="62B3C642" w14:textId="77777777" w:rsidR="004E5FFB" w:rsidRPr="004E5FFB" w:rsidRDefault="004E5FFB" w:rsidP="004E5FFB">
      <w:pPr>
        <w:widowControl w:val="0"/>
        <w:spacing w:before="119" w:line="249" w:lineRule="auto"/>
        <w:ind w:right="98" w:firstLine="0"/>
        <w:rPr>
          <w:lang w:val="en-US"/>
        </w:rPr>
      </w:pPr>
      <w:r w:rsidRPr="004E5FFB">
        <w:rPr>
          <w:lang w:val="en-US"/>
        </w:rPr>
        <w:t>MARTTUNEN M.; LIENERT J.; BELTON V. Structuring problems for Multi-Criteria Decision Analysis in practice: A literature review of method combinations. European Journal of Operational Research v. 263 n. 1 p. 1 - 17 2017.</w:t>
      </w:r>
    </w:p>
    <w:p w14:paraId="25C9BF26" w14:textId="77777777" w:rsidR="004E5FFB" w:rsidRPr="004E5FFB" w:rsidRDefault="004E5FFB" w:rsidP="004E5FFB">
      <w:pPr>
        <w:widowControl w:val="0"/>
        <w:spacing w:before="119" w:line="249" w:lineRule="auto"/>
        <w:ind w:right="98" w:firstLine="0"/>
        <w:rPr>
          <w:lang w:val="en-US"/>
        </w:rPr>
      </w:pPr>
      <w:r w:rsidRPr="004E5FFB">
        <w:rPr>
          <w:lang w:val="en-US"/>
        </w:rPr>
        <w:t>MICHAEL, J. M.; BIRKINSHAW, J; The sources of management innovation: When firms introduce new management practices. Journal of Business Research, 62(12), 1269-1280, 2009.</w:t>
      </w:r>
    </w:p>
    <w:p w14:paraId="47B6E13B" w14:textId="77777777" w:rsidR="004E5FFB" w:rsidRPr="004E5FFB" w:rsidRDefault="004E5FFB" w:rsidP="004E5FFB">
      <w:pPr>
        <w:widowControl w:val="0"/>
        <w:spacing w:before="119" w:line="249" w:lineRule="auto"/>
        <w:ind w:right="98" w:firstLine="0"/>
        <w:rPr>
          <w:lang w:val="en-US"/>
        </w:rPr>
      </w:pPr>
      <w:r w:rsidRPr="004E5FFB">
        <w:rPr>
          <w:lang w:val="en-US"/>
        </w:rPr>
        <w:t xml:space="preserve">MIDGLEY, G.; LINDHULT, E. Critical systems thinking, systemic intervention and beyond. In: KIJIMA, K.; DEGUCHI, H.; METCALF, G. (Eds.). The Handbook of Systems Science. New York: Springer, 2021. </w:t>
      </w:r>
    </w:p>
    <w:p w14:paraId="4DEB78C3" w14:textId="77777777" w:rsidR="004E5FFB" w:rsidRPr="004E5FFB" w:rsidRDefault="004E5FFB" w:rsidP="004E5FFB">
      <w:pPr>
        <w:widowControl w:val="0"/>
        <w:spacing w:before="119" w:line="249" w:lineRule="auto"/>
        <w:ind w:right="98" w:firstLine="0"/>
        <w:rPr>
          <w:lang w:val="en-US"/>
        </w:rPr>
      </w:pPr>
      <w:r w:rsidRPr="004E5FFB">
        <w:rPr>
          <w:lang w:val="en-US"/>
        </w:rPr>
        <w:t xml:space="preserve">MIDGLEY, G.; LINDHULT, E. What is Systemic Innovation? Research Memorandum No. 99. Hull: Business School, University of Hull, 2017. </w:t>
      </w:r>
    </w:p>
    <w:p w14:paraId="5D84B2FF" w14:textId="77777777" w:rsidR="004E5FFB" w:rsidRPr="004E5FFB" w:rsidRDefault="004E5FFB" w:rsidP="004E5FFB">
      <w:pPr>
        <w:widowControl w:val="0"/>
        <w:spacing w:before="119" w:line="249" w:lineRule="auto"/>
        <w:ind w:right="98" w:firstLine="0"/>
        <w:rPr>
          <w:lang w:val="en-US"/>
        </w:rPr>
      </w:pPr>
      <w:r w:rsidRPr="004E5FFB">
        <w:rPr>
          <w:lang w:val="en-US"/>
        </w:rPr>
        <w:t xml:space="preserve">MIDGLEY, G.; OCHOA-ARIAS, A. E. Community Operational Research: OR and Systems Thinking for Community Development. New York: Kluwer, 2004. </w:t>
      </w:r>
    </w:p>
    <w:p w14:paraId="46D3B887" w14:textId="77777777" w:rsidR="004E5FFB" w:rsidRPr="004E5FFB" w:rsidRDefault="004E5FFB" w:rsidP="004E5FFB">
      <w:pPr>
        <w:widowControl w:val="0"/>
        <w:spacing w:before="119" w:line="249" w:lineRule="auto"/>
        <w:ind w:right="98" w:firstLine="0"/>
        <w:rPr>
          <w:lang w:val="en-US"/>
        </w:rPr>
      </w:pPr>
      <w:r w:rsidRPr="004E5FFB">
        <w:rPr>
          <w:lang w:val="en-US"/>
        </w:rPr>
        <w:t>MINGERS J.; ROSENHEAD J. Problem structuring methods in action. European Journal of Operational Research v. 152 n. 3 p. 530 - 554 2004.</w:t>
      </w:r>
    </w:p>
    <w:p w14:paraId="435AEF5B" w14:textId="77777777" w:rsidR="004E5FFB" w:rsidRPr="004E5FFB" w:rsidRDefault="004E5FFB" w:rsidP="004E5FFB">
      <w:pPr>
        <w:widowControl w:val="0"/>
        <w:spacing w:before="119" w:line="249" w:lineRule="auto"/>
        <w:ind w:right="98" w:firstLine="0"/>
        <w:rPr>
          <w:lang w:val="en-US"/>
        </w:rPr>
      </w:pPr>
      <w:r w:rsidRPr="004E5FFB">
        <w:rPr>
          <w:lang w:val="en-US"/>
        </w:rPr>
        <w:t>MINGERS, J. Soft OR comes of age—but not everywhere! Omega 39(6):729–741, 2011.</w:t>
      </w:r>
    </w:p>
    <w:p w14:paraId="129D4782" w14:textId="77777777" w:rsidR="004E5FFB" w:rsidRPr="004E5FFB" w:rsidRDefault="004E5FFB" w:rsidP="004E5FFB">
      <w:pPr>
        <w:widowControl w:val="0"/>
        <w:spacing w:before="119" w:line="249" w:lineRule="auto"/>
        <w:ind w:right="98" w:firstLine="0"/>
        <w:rPr>
          <w:lang w:val="en-US"/>
        </w:rPr>
      </w:pPr>
      <w:r w:rsidRPr="004E5FFB">
        <w:rPr>
          <w:lang w:val="en-US"/>
        </w:rPr>
        <w:t>MINGERS, J.; ROSENHEAD, J. Problem structuring methods in action. European Journal of Operational Research, v. 152, n. 3, p. 530-554, 2004.</w:t>
      </w:r>
    </w:p>
    <w:p w14:paraId="36CD0AB6" w14:textId="77777777" w:rsidR="004E5FFB" w:rsidRPr="004E5FFB" w:rsidRDefault="004E5FFB" w:rsidP="004E5FFB">
      <w:pPr>
        <w:widowControl w:val="0"/>
        <w:spacing w:before="119" w:line="249" w:lineRule="auto"/>
        <w:ind w:right="98" w:firstLine="0"/>
        <w:rPr>
          <w:lang w:val="en-US"/>
        </w:rPr>
      </w:pPr>
      <w:r w:rsidRPr="004E5FFB">
        <w:rPr>
          <w:lang w:val="en-US"/>
        </w:rPr>
        <w:t>MINGERS, J.; ROSENHEAD, J. Rational analysis for a problematic world revisited: problem structuring methods for complexity, uncertainty, and conflict. 2. ed. Chichester: Wiley, 2001.</w:t>
      </w:r>
    </w:p>
    <w:p w14:paraId="7320C2B4" w14:textId="77777777" w:rsidR="004E5FFB" w:rsidRPr="004E5FFB" w:rsidRDefault="004E5FFB" w:rsidP="004E5FFB">
      <w:pPr>
        <w:widowControl w:val="0"/>
        <w:spacing w:before="119" w:line="249" w:lineRule="auto"/>
        <w:ind w:right="98" w:firstLine="0"/>
        <w:rPr>
          <w:lang w:val="en-US"/>
        </w:rPr>
      </w:pPr>
      <w:r w:rsidRPr="004E5FFB">
        <w:rPr>
          <w:lang w:val="en-US"/>
        </w:rPr>
        <w:t xml:space="preserve">MINGERS, J.; WHITE, L. A review of the recent contribution of systems thinking to operational research and management science. European Journal of Operational Research, v. 207, n. 3, p. 1147–1163, 2010. </w:t>
      </w:r>
    </w:p>
    <w:p w14:paraId="4ADA6462" w14:textId="77777777" w:rsidR="004E5FFB" w:rsidRPr="004E5FFB" w:rsidRDefault="004E5FFB" w:rsidP="004E5FFB">
      <w:pPr>
        <w:widowControl w:val="0"/>
        <w:spacing w:before="119" w:line="249" w:lineRule="auto"/>
        <w:ind w:right="98" w:firstLine="0"/>
        <w:rPr>
          <w:lang w:val="en-US"/>
        </w:rPr>
      </w:pPr>
      <w:r w:rsidRPr="004E5FFB">
        <w:rPr>
          <w:lang w:val="en-US"/>
        </w:rPr>
        <w:t>MOL, M. J., &amp; BIRKINSHAW, J. The sources of management innovation: When firms introduce new management practices. Journal of Business Research, 62, p. 1269-1280, 2009.</w:t>
      </w:r>
    </w:p>
    <w:p w14:paraId="3749DA25" w14:textId="77777777" w:rsidR="004E5FFB" w:rsidRPr="004E5FFB" w:rsidRDefault="004E5FFB" w:rsidP="004E5FFB">
      <w:pPr>
        <w:widowControl w:val="0"/>
        <w:spacing w:before="119" w:line="249" w:lineRule="auto"/>
        <w:ind w:right="98" w:firstLine="0"/>
        <w:rPr>
          <w:lang w:val="en-US"/>
        </w:rPr>
      </w:pPr>
      <w:r w:rsidRPr="004E5FFB">
        <w:rPr>
          <w:lang w:val="en-US"/>
        </w:rPr>
        <w:t xml:space="preserve">MUNRO I.; MINGERS J. The use of multimethodology in practice - results of a survey of practitioners. Journal of the Operational Research Society v. 53 n. 4 p. 369 - 378 </w:t>
      </w:r>
      <w:proofErr w:type="spellStart"/>
      <w:r w:rsidRPr="004E5FFB">
        <w:rPr>
          <w:lang w:val="en-US"/>
        </w:rPr>
        <w:t>Abr</w:t>
      </w:r>
      <w:proofErr w:type="spellEnd"/>
      <w:r w:rsidRPr="004E5FFB">
        <w:rPr>
          <w:lang w:val="en-US"/>
        </w:rPr>
        <w:t xml:space="preserve"> 2002.</w:t>
      </w:r>
    </w:p>
    <w:p w14:paraId="3F84A468" w14:textId="77777777" w:rsidR="004E5FFB" w:rsidRPr="004E5FFB" w:rsidRDefault="004E5FFB" w:rsidP="004E5FFB">
      <w:pPr>
        <w:widowControl w:val="0"/>
        <w:spacing w:before="119" w:line="249" w:lineRule="auto"/>
        <w:ind w:right="98" w:firstLine="0"/>
        <w:rPr>
          <w:lang w:val="en-US"/>
        </w:rPr>
      </w:pPr>
      <w:r w:rsidRPr="004E5FFB">
        <w:rPr>
          <w:lang w:val="en-US"/>
        </w:rPr>
        <w:t>NEWBERT, S.L. Empirical research on the resource-based view of the firm: An assessment and suggestions for future research. Strat. Mgmt. J., 28, p. 121-146, 2007.</w:t>
      </w:r>
    </w:p>
    <w:p w14:paraId="5EA40DE2" w14:textId="77777777" w:rsidR="004E5FFB" w:rsidRPr="004E5FFB" w:rsidRDefault="004E5FFB" w:rsidP="004E5FFB">
      <w:pPr>
        <w:widowControl w:val="0"/>
        <w:spacing w:before="119" w:line="249" w:lineRule="auto"/>
        <w:ind w:right="98" w:firstLine="0"/>
        <w:rPr>
          <w:lang w:val="en-US"/>
        </w:rPr>
      </w:pPr>
      <w:r w:rsidRPr="004E5FFB">
        <w:rPr>
          <w:lang w:val="en-US"/>
        </w:rPr>
        <w:t>NUNES, M.; ABREU, A.; BAGNJUK, J.; TIEDTKE, J. Measuring project performance by applying social network analyses. International Journal of Innovation Studies, v. 5, n. 2, p. 35-55, 2021.</w:t>
      </w:r>
    </w:p>
    <w:p w14:paraId="56B58AB7" w14:textId="77777777" w:rsidR="004E5FFB" w:rsidRPr="004E5FFB" w:rsidRDefault="004E5FFB" w:rsidP="004E5FFB">
      <w:pPr>
        <w:widowControl w:val="0"/>
        <w:spacing w:before="119" w:line="249" w:lineRule="auto"/>
        <w:ind w:right="98" w:firstLine="0"/>
        <w:rPr>
          <w:lang w:val="en-US"/>
        </w:rPr>
      </w:pPr>
      <w:r w:rsidRPr="004E5FFB">
        <w:rPr>
          <w:lang w:val="en-US"/>
        </w:rPr>
        <w:lastRenderedPageBreak/>
        <w:t>OECD/EUROSTAT. Oslo Manual 2018: Guidelines for Collecting, Reporting and Using Data on Innovation, 4th Edition, The Measurement of Scientific, Technological and Innovation Activities, OECD Publishing, Paris/Eurostat, Luxembourg, 2018.</w:t>
      </w:r>
    </w:p>
    <w:p w14:paraId="0D9772BD" w14:textId="77777777" w:rsidR="004E5FFB" w:rsidRPr="004E5FFB" w:rsidRDefault="004E5FFB" w:rsidP="004E5FFB">
      <w:pPr>
        <w:widowControl w:val="0"/>
        <w:spacing w:before="119" w:line="249" w:lineRule="auto"/>
        <w:ind w:right="98" w:firstLine="0"/>
        <w:rPr>
          <w:lang w:val="en-US"/>
        </w:rPr>
      </w:pPr>
      <w:r w:rsidRPr="004E5FFB">
        <w:rPr>
          <w:lang w:val="en-US"/>
        </w:rPr>
        <w:t>O'TOOLE, L. J. JR. Implementing public innovations in network settings, Administration &amp; Society. 29</w:t>
      </w:r>
      <w:proofErr w:type="gramStart"/>
      <w:r w:rsidRPr="004E5FFB">
        <w:rPr>
          <w:lang w:val="en-US"/>
        </w:rPr>
        <w:t>, p.</w:t>
      </w:r>
      <w:proofErr w:type="gramEnd"/>
      <w:r w:rsidRPr="004E5FFB">
        <w:rPr>
          <w:lang w:val="en-US"/>
        </w:rPr>
        <w:t xml:space="preserve"> 115-38, 1997</w:t>
      </w:r>
    </w:p>
    <w:p w14:paraId="0619717D" w14:textId="77777777" w:rsidR="004E5FFB" w:rsidRPr="004E5FFB" w:rsidRDefault="004E5FFB" w:rsidP="004E5FFB">
      <w:pPr>
        <w:widowControl w:val="0"/>
        <w:spacing w:before="119" w:line="249" w:lineRule="auto"/>
        <w:ind w:right="98" w:firstLine="0"/>
        <w:rPr>
          <w:lang w:val="en-US"/>
        </w:rPr>
      </w:pPr>
      <w:r w:rsidRPr="004E5FFB">
        <w:rPr>
          <w:lang w:val="en-US"/>
        </w:rPr>
        <w:t>OZEN, O.; OZTURK-KOSE, E. Management innovation: The role of internal, external factors, and business group affiliation Journal of Business Research, 164, Article 113964, 2023.</w:t>
      </w:r>
    </w:p>
    <w:p w14:paraId="19237E10" w14:textId="77777777" w:rsidR="004E5FFB" w:rsidRPr="004E5FFB" w:rsidRDefault="004E5FFB" w:rsidP="004E5FFB">
      <w:pPr>
        <w:widowControl w:val="0"/>
        <w:spacing w:before="119" w:line="249" w:lineRule="auto"/>
        <w:ind w:right="98" w:firstLine="0"/>
        <w:rPr>
          <w:lang w:val="en-US"/>
        </w:rPr>
      </w:pPr>
      <w:r w:rsidRPr="004E5FFB">
        <w:rPr>
          <w:lang w:val="en-US"/>
        </w:rPr>
        <w:t>PEETERS, C.; MASSINI, S.; LEWIN, A. Y. Sources of Variation in the Efficiency of Adopting Management Innovation: The Role of Absorptive Capacity Routines, Managerial Attention and Organizational Legitimacy. Organization Studies, v. 35, n. 9, p. 1343-1371, 2014.</w:t>
      </w:r>
    </w:p>
    <w:p w14:paraId="01A7E164" w14:textId="77777777" w:rsidR="004E5FFB" w:rsidRPr="004E5FFB" w:rsidRDefault="004E5FFB" w:rsidP="004E5FFB">
      <w:pPr>
        <w:widowControl w:val="0"/>
        <w:spacing w:before="119" w:line="249" w:lineRule="auto"/>
        <w:ind w:right="98" w:firstLine="0"/>
        <w:rPr>
          <w:lang w:val="en-US"/>
        </w:rPr>
      </w:pPr>
      <w:r w:rsidRPr="004E5FFB">
        <w:rPr>
          <w:lang w:val="en-US"/>
        </w:rPr>
        <w:t>PIDD, M. Systems Modelling: Theory and Practice. John Wiley &amp; Sons, 2004.</w:t>
      </w:r>
    </w:p>
    <w:p w14:paraId="207E67F0" w14:textId="77777777" w:rsidR="004E5FFB" w:rsidRPr="004E5FFB" w:rsidRDefault="004E5FFB" w:rsidP="004E5FFB">
      <w:pPr>
        <w:widowControl w:val="0"/>
        <w:spacing w:before="119" w:line="249" w:lineRule="auto"/>
        <w:ind w:right="98" w:firstLine="0"/>
        <w:rPr>
          <w:lang w:val="en-US"/>
        </w:rPr>
      </w:pPr>
      <w:r w:rsidRPr="004E5FFB">
        <w:rPr>
          <w:lang w:val="en-US"/>
        </w:rPr>
        <w:t>PISANO G.P. Organizing for innovation Harvard Bus Rev, 74 (2), p. 162-166, 1996.</w:t>
      </w:r>
    </w:p>
    <w:p w14:paraId="2C6614EB" w14:textId="77777777" w:rsidR="004E5FFB" w:rsidRPr="004E5FFB" w:rsidRDefault="004E5FFB" w:rsidP="004E5FFB">
      <w:pPr>
        <w:widowControl w:val="0"/>
        <w:spacing w:before="119" w:line="249" w:lineRule="auto"/>
        <w:ind w:right="98" w:firstLine="0"/>
        <w:rPr>
          <w:lang w:val="en-US"/>
        </w:rPr>
      </w:pPr>
      <w:r w:rsidRPr="004E5FFB">
        <w:rPr>
          <w:lang w:val="en-US"/>
        </w:rPr>
        <w:t>QILIN, W.; YUE, Z. Automation Design and Organization Innovation of Manufacturing Enterprises Based on the Internet of Things. Scientific Programming, 8729731, 2022.</w:t>
      </w:r>
    </w:p>
    <w:p w14:paraId="633D3939" w14:textId="77777777" w:rsidR="004E5FFB" w:rsidRPr="004E5FFB" w:rsidRDefault="004E5FFB" w:rsidP="004E5FFB">
      <w:pPr>
        <w:widowControl w:val="0"/>
        <w:spacing w:before="119" w:line="249" w:lineRule="auto"/>
        <w:ind w:right="98" w:firstLine="0"/>
        <w:rPr>
          <w:lang w:val="en-US"/>
        </w:rPr>
      </w:pPr>
      <w:r w:rsidRPr="004E5FFB">
        <w:rPr>
          <w:lang w:val="en-US"/>
        </w:rPr>
        <w:t>RASMUSSEN, L.; HALL, H. The adoption process in management innovation: A Knowledge Management case study. Journal of Information Science, v. 42, n. 3, p. 356-368, 2016.</w:t>
      </w:r>
    </w:p>
    <w:p w14:paraId="3EC92A98" w14:textId="77777777" w:rsidR="004E5FFB" w:rsidRPr="004E5FFB" w:rsidRDefault="004E5FFB" w:rsidP="004E5FFB">
      <w:pPr>
        <w:widowControl w:val="0"/>
        <w:spacing w:before="119" w:line="249" w:lineRule="auto"/>
        <w:ind w:right="98" w:firstLine="0"/>
        <w:rPr>
          <w:lang w:val="en-US"/>
        </w:rPr>
      </w:pPr>
      <w:r w:rsidRPr="004E5FFB">
        <w:rPr>
          <w:lang w:val="en-US"/>
        </w:rPr>
        <w:t>RAVETZ, J. Scientific Knowledge and Its Social Problems. New Brunswick and London: Transaction Publishers, 1971.</w:t>
      </w:r>
    </w:p>
    <w:p w14:paraId="4673D426" w14:textId="77777777" w:rsidR="004E5FFB" w:rsidRPr="004E5FFB" w:rsidRDefault="004E5FFB" w:rsidP="004E5FFB">
      <w:pPr>
        <w:widowControl w:val="0"/>
        <w:spacing w:before="119" w:line="249" w:lineRule="auto"/>
        <w:ind w:right="98" w:firstLine="0"/>
        <w:rPr>
          <w:lang w:val="en-US"/>
        </w:rPr>
      </w:pPr>
      <w:r w:rsidRPr="004E5FFB">
        <w:rPr>
          <w:lang w:val="en-US"/>
        </w:rPr>
        <w:t>RITTEL, H. W. J.; WEBBER, M. M. Dilemmas in a general theory of planning. Policy Sciences, v. 4, n. 2, p. 155-169, 1973.</w:t>
      </w:r>
    </w:p>
    <w:p w14:paraId="649E81DB" w14:textId="77777777" w:rsidR="004E5FFB" w:rsidRPr="004E5FFB" w:rsidRDefault="004E5FFB" w:rsidP="004E5FFB">
      <w:pPr>
        <w:widowControl w:val="0"/>
        <w:spacing w:before="119" w:line="249" w:lineRule="auto"/>
        <w:ind w:right="98" w:firstLine="0"/>
        <w:rPr>
          <w:lang w:val="en-US"/>
        </w:rPr>
      </w:pPr>
      <w:r w:rsidRPr="004E5FFB">
        <w:rPr>
          <w:lang w:val="en-US"/>
        </w:rPr>
        <w:t>ROBERT, M.; GIULIANI, P.; DUBOULOZ, S. Obstacles affecting the management innovation process through different actors during the covid-19 crisis: a longitudinal study of Industry 4.0. Ann Oper Res, v. 335, p. 1601-1626, 2024.</w:t>
      </w:r>
    </w:p>
    <w:p w14:paraId="2FE89669" w14:textId="77777777" w:rsidR="004E5FFB" w:rsidRPr="004E5FFB" w:rsidRDefault="004E5FFB" w:rsidP="004E5FFB">
      <w:pPr>
        <w:widowControl w:val="0"/>
        <w:spacing w:before="119" w:line="249" w:lineRule="auto"/>
        <w:ind w:right="98" w:firstLine="0"/>
        <w:rPr>
          <w:lang w:val="en-US"/>
        </w:rPr>
      </w:pPr>
      <w:r w:rsidRPr="004E5FFB">
        <w:rPr>
          <w:lang w:val="en-US"/>
        </w:rPr>
        <w:t xml:space="preserve">ROGERS, E. Diffusion of innovation, New </w:t>
      </w:r>
      <w:proofErr w:type="spellStart"/>
      <w:r w:rsidRPr="004E5FFB">
        <w:rPr>
          <w:lang w:val="en-US"/>
        </w:rPr>
        <w:t>YorkFree</w:t>
      </w:r>
      <w:proofErr w:type="spellEnd"/>
      <w:r w:rsidRPr="004E5FFB">
        <w:rPr>
          <w:lang w:val="en-US"/>
        </w:rPr>
        <w:t xml:space="preserve"> Press, 1995</w:t>
      </w:r>
    </w:p>
    <w:p w14:paraId="08DF0A8C" w14:textId="77777777" w:rsidR="004E5FFB" w:rsidRPr="004E5FFB" w:rsidRDefault="004E5FFB" w:rsidP="004E5FFB">
      <w:pPr>
        <w:widowControl w:val="0"/>
        <w:spacing w:before="119" w:line="249" w:lineRule="auto"/>
        <w:ind w:right="98" w:firstLine="0"/>
        <w:rPr>
          <w:lang w:val="en-US"/>
        </w:rPr>
      </w:pPr>
      <w:r w:rsidRPr="004E5FFB">
        <w:rPr>
          <w:lang w:val="en-US"/>
        </w:rPr>
        <w:t>ROSENHEAD J. Planning under Uncertainty: II. A Methodology for Robustness Analysis. The Journal of the Operational Research Society v. 31 n. 4 p. 331 - 341 Apr 1980.</w:t>
      </w:r>
    </w:p>
    <w:p w14:paraId="6FA44C83" w14:textId="77777777" w:rsidR="004E5FFB" w:rsidRPr="004E5FFB" w:rsidRDefault="004E5FFB" w:rsidP="004E5FFB">
      <w:pPr>
        <w:widowControl w:val="0"/>
        <w:spacing w:before="119" w:line="249" w:lineRule="auto"/>
        <w:ind w:right="98" w:firstLine="0"/>
        <w:rPr>
          <w:lang w:val="en-US"/>
        </w:rPr>
      </w:pPr>
      <w:r w:rsidRPr="004E5FFB">
        <w:rPr>
          <w:lang w:val="en-US"/>
        </w:rPr>
        <w:t xml:space="preserve">ROSENHEAD J. What’s the problem? </w:t>
      </w:r>
      <w:proofErr w:type="gramStart"/>
      <w:r w:rsidRPr="004E5FFB">
        <w:rPr>
          <w:lang w:val="en-US"/>
        </w:rPr>
        <w:t>an</w:t>
      </w:r>
      <w:proofErr w:type="gramEnd"/>
      <w:r w:rsidRPr="004E5FFB">
        <w:rPr>
          <w:lang w:val="en-US"/>
        </w:rPr>
        <w:t xml:space="preserve"> introduction to problem structuring methods. Interfaces v. 26 n. 6 p.117-131 1996.</w:t>
      </w:r>
    </w:p>
    <w:p w14:paraId="0D182B83" w14:textId="77777777" w:rsidR="004E5FFB" w:rsidRPr="004E5FFB" w:rsidRDefault="004E5FFB" w:rsidP="004E5FFB">
      <w:pPr>
        <w:widowControl w:val="0"/>
        <w:spacing w:before="119" w:line="249" w:lineRule="auto"/>
        <w:ind w:right="98" w:firstLine="0"/>
        <w:rPr>
          <w:lang w:val="en-US"/>
        </w:rPr>
      </w:pPr>
      <w:r w:rsidRPr="004E5FFB">
        <w:rPr>
          <w:lang w:val="en-US"/>
        </w:rPr>
        <w:t>ROSENHEAD, J.; MINGERS, J. Rational analysis for a problematic world revisited: problem structuring methods for complexity, uncertainty and conflict. 2. ed. Chichester: Wiley, 2001.</w:t>
      </w:r>
    </w:p>
    <w:p w14:paraId="734A060C" w14:textId="77777777" w:rsidR="004E5FFB" w:rsidRPr="004E5FFB" w:rsidRDefault="004E5FFB" w:rsidP="004E5FFB">
      <w:pPr>
        <w:widowControl w:val="0"/>
        <w:spacing w:before="119" w:line="249" w:lineRule="auto"/>
        <w:ind w:right="98" w:firstLine="0"/>
        <w:rPr>
          <w:lang w:val="en-US"/>
        </w:rPr>
      </w:pPr>
      <w:r w:rsidRPr="004E5FFB">
        <w:rPr>
          <w:lang w:val="en-US"/>
        </w:rPr>
        <w:t xml:space="preserve">SANIDAS, E. Organizational innovations and economic growth: </w:t>
      </w:r>
      <w:proofErr w:type="spellStart"/>
      <w:r w:rsidRPr="004E5FFB">
        <w:rPr>
          <w:lang w:val="en-US"/>
        </w:rPr>
        <w:t>Organosis</w:t>
      </w:r>
      <w:proofErr w:type="spellEnd"/>
      <w:r w:rsidRPr="004E5FFB">
        <w:rPr>
          <w:lang w:val="en-US"/>
        </w:rPr>
        <w:t xml:space="preserve"> and growth of firms, </w:t>
      </w:r>
      <w:proofErr w:type="spellStart"/>
      <w:proofErr w:type="gramStart"/>
      <w:r w:rsidRPr="004E5FFB">
        <w:rPr>
          <w:lang w:val="en-US"/>
        </w:rPr>
        <w:t>sectors,cand</w:t>
      </w:r>
      <w:proofErr w:type="spellEnd"/>
      <w:proofErr w:type="gramEnd"/>
      <w:r w:rsidRPr="004E5FFB">
        <w:rPr>
          <w:lang w:val="en-US"/>
        </w:rPr>
        <w:t xml:space="preserve"> countries. Cheltenham, UK: Edward Elgar, 2005.</w:t>
      </w:r>
    </w:p>
    <w:p w14:paraId="79D6E2CE" w14:textId="77777777" w:rsidR="004E5FFB" w:rsidRPr="004E5FFB" w:rsidRDefault="004E5FFB" w:rsidP="004E5FFB">
      <w:pPr>
        <w:widowControl w:val="0"/>
        <w:spacing w:before="119" w:line="249" w:lineRule="auto"/>
        <w:ind w:right="98" w:firstLine="0"/>
        <w:rPr>
          <w:lang w:val="en-US"/>
        </w:rPr>
      </w:pPr>
      <w:r w:rsidRPr="004E5FFB">
        <w:rPr>
          <w:lang w:val="en-US"/>
        </w:rPr>
        <w:t>SCHÖN, D. Educating the Reflective Practitioner: Toward a New Design for Teaching and Learning in the Professions. Jossey-Bass, San Francisco, 1987.</w:t>
      </w:r>
    </w:p>
    <w:p w14:paraId="43C80121" w14:textId="77777777" w:rsidR="004E5FFB" w:rsidRPr="004E5FFB" w:rsidRDefault="004E5FFB" w:rsidP="004E5FFB">
      <w:pPr>
        <w:widowControl w:val="0"/>
        <w:spacing w:before="119" w:line="249" w:lineRule="auto"/>
        <w:ind w:right="98" w:firstLine="0"/>
        <w:rPr>
          <w:lang w:val="en-US"/>
        </w:rPr>
      </w:pPr>
      <w:r w:rsidRPr="004E5FFB">
        <w:rPr>
          <w:lang w:val="en-US"/>
        </w:rPr>
        <w:t>SCHUMPETER, J. A. Capitalism, Socialism and Democracy. Harper: New York, 1942.</w:t>
      </w:r>
    </w:p>
    <w:p w14:paraId="6AE03869" w14:textId="77777777" w:rsidR="004E5FFB" w:rsidRPr="004E5FFB" w:rsidRDefault="004E5FFB" w:rsidP="004E5FFB">
      <w:pPr>
        <w:widowControl w:val="0"/>
        <w:spacing w:before="119" w:line="249" w:lineRule="auto"/>
        <w:ind w:right="98" w:firstLine="0"/>
        <w:rPr>
          <w:lang w:val="en-US"/>
        </w:rPr>
      </w:pPr>
      <w:r w:rsidRPr="004E5FFB">
        <w:rPr>
          <w:lang w:val="en-US"/>
        </w:rPr>
        <w:t>SCHUMPETER, J. A. The theory of economic development. Cambridge, MA: Harvard University Press, 1934 / 1911.</w:t>
      </w:r>
    </w:p>
    <w:p w14:paraId="36E103CA" w14:textId="77777777" w:rsidR="004E5FFB" w:rsidRPr="004E5FFB" w:rsidRDefault="004E5FFB" w:rsidP="004E5FFB">
      <w:pPr>
        <w:widowControl w:val="0"/>
        <w:spacing w:before="119" w:line="249" w:lineRule="auto"/>
        <w:ind w:right="98" w:firstLine="0"/>
        <w:rPr>
          <w:lang w:val="en-US"/>
        </w:rPr>
      </w:pPr>
      <w:r w:rsidRPr="004E5FFB">
        <w:rPr>
          <w:lang w:val="en-US"/>
        </w:rPr>
        <w:lastRenderedPageBreak/>
        <w:t>SCHUMPETER, J. A. The Theory of Economic Development. Oxford University Press: Oxford, 1912.</w:t>
      </w:r>
    </w:p>
    <w:p w14:paraId="715B28BB" w14:textId="77777777" w:rsidR="004E5FFB" w:rsidRPr="004E5FFB" w:rsidRDefault="004E5FFB" w:rsidP="004E5FFB">
      <w:pPr>
        <w:widowControl w:val="0"/>
        <w:spacing w:before="119" w:line="249" w:lineRule="auto"/>
        <w:ind w:right="98" w:firstLine="0"/>
        <w:rPr>
          <w:lang w:val="en-US"/>
        </w:rPr>
      </w:pPr>
      <w:r w:rsidRPr="004E5FFB">
        <w:rPr>
          <w:lang w:val="en-US"/>
        </w:rPr>
        <w:t xml:space="preserve">SCHUMPETER, J. A. The Theory of Economic Development: An Inquiry into Profits, Capital, Credit, Interest, and </w:t>
      </w:r>
      <w:proofErr w:type="gramStart"/>
      <w:r w:rsidRPr="004E5FFB">
        <w:rPr>
          <w:lang w:val="en-US"/>
        </w:rPr>
        <w:t>the Business</w:t>
      </w:r>
      <w:proofErr w:type="gramEnd"/>
      <w:r w:rsidRPr="004E5FFB">
        <w:rPr>
          <w:lang w:val="en-US"/>
        </w:rPr>
        <w:t xml:space="preserve"> Cycle. Cambridge, MA: Harvard University Press, 1934.</w:t>
      </w:r>
    </w:p>
    <w:p w14:paraId="513691A8" w14:textId="77777777" w:rsidR="004E5FFB" w:rsidRPr="004E5FFB" w:rsidRDefault="004E5FFB" w:rsidP="004E5FFB">
      <w:pPr>
        <w:widowControl w:val="0"/>
        <w:spacing w:before="119" w:line="249" w:lineRule="auto"/>
        <w:ind w:right="98" w:firstLine="0"/>
        <w:rPr>
          <w:lang w:val="en-US"/>
        </w:rPr>
      </w:pPr>
      <w:r w:rsidRPr="004E5FFB">
        <w:rPr>
          <w:lang w:val="en-US"/>
        </w:rPr>
        <w:t>SIMON, H. A. The structure of ill-structured problems. Artificial Intelligence, v. 4, n. 3, p. 181-201, 1973.</w:t>
      </w:r>
    </w:p>
    <w:p w14:paraId="357EC076" w14:textId="77777777" w:rsidR="004E5FFB" w:rsidRPr="004E5FFB" w:rsidRDefault="004E5FFB" w:rsidP="004E5FFB">
      <w:pPr>
        <w:widowControl w:val="0"/>
        <w:spacing w:before="119" w:line="249" w:lineRule="auto"/>
        <w:ind w:right="98" w:firstLine="0"/>
        <w:rPr>
          <w:lang w:val="en-US"/>
        </w:rPr>
      </w:pPr>
      <w:r w:rsidRPr="004E5FFB">
        <w:rPr>
          <w:lang w:val="en-US"/>
        </w:rPr>
        <w:t>STERMAN J. D. System Dynamics Modeling: Tools for Learning in a Complex World. California Management Review v. 43 n. 4 p. 8 - 25 2001.</w:t>
      </w:r>
    </w:p>
    <w:p w14:paraId="5AAA2DF5" w14:textId="77777777" w:rsidR="004E5FFB" w:rsidRPr="004E5FFB" w:rsidRDefault="004E5FFB" w:rsidP="004E5FFB">
      <w:pPr>
        <w:widowControl w:val="0"/>
        <w:spacing w:before="119" w:line="249" w:lineRule="auto"/>
        <w:ind w:right="98" w:firstLine="0"/>
        <w:rPr>
          <w:lang w:val="en-US"/>
        </w:rPr>
      </w:pPr>
      <w:r w:rsidRPr="004E5FFB">
        <w:rPr>
          <w:lang w:val="en-US"/>
        </w:rPr>
        <w:t>TAVASSOLI, S.; C. KARLSSON, C. Persistence of Various Types of Innovation Analyzed and Explained Research Policy, 44, p. 1887-1901, 2015</w:t>
      </w:r>
    </w:p>
    <w:p w14:paraId="4DB1E798" w14:textId="77777777" w:rsidR="004E5FFB" w:rsidRDefault="004E5FFB" w:rsidP="004E5FFB">
      <w:pPr>
        <w:widowControl w:val="0"/>
        <w:spacing w:before="119" w:line="249" w:lineRule="auto"/>
        <w:ind w:right="98" w:firstLine="0"/>
      </w:pPr>
      <w:r w:rsidRPr="004E5FFB">
        <w:rPr>
          <w:lang w:val="en-US"/>
        </w:rPr>
        <w:t xml:space="preserve">TETHER, B. S., &amp; TAJAR, A. The organizational-cooperation mode of innovation and its prominence amongst European service firms. </w:t>
      </w:r>
      <w:r>
        <w:t xml:space="preserve">Research </w:t>
      </w:r>
      <w:proofErr w:type="spellStart"/>
      <w:r>
        <w:t>Policy</w:t>
      </w:r>
      <w:proofErr w:type="spellEnd"/>
      <w:r>
        <w:t>, 37, p. 720–739, 2008.</w:t>
      </w:r>
    </w:p>
    <w:p w14:paraId="3D0E9905" w14:textId="77777777" w:rsidR="004E5FFB" w:rsidRPr="004E5FFB" w:rsidRDefault="004E5FFB" w:rsidP="004E5FFB">
      <w:pPr>
        <w:widowControl w:val="0"/>
        <w:spacing w:before="119" w:line="249" w:lineRule="auto"/>
        <w:ind w:right="98" w:firstLine="0"/>
        <w:rPr>
          <w:lang w:val="en-US"/>
        </w:rPr>
      </w:pPr>
      <w:r>
        <w:t xml:space="preserve">TIDD, J., BESSANT, J., &amp; PAVITT, K. Capítulo 1 (até página 23-52) (2008). Gestão da inovação. </w:t>
      </w:r>
      <w:r w:rsidRPr="004E5FFB">
        <w:rPr>
          <w:lang w:val="en-US"/>
        </w:rPr>
        <w:t xml:space="preserve">Trad. </w:t>
      </w:r>
      <w:proofErr w:type="spellStart"/>
      <w:r w:rsidRPr="004E5FFB">
        <w:rPr>
          <w:lang w:val="en-US"/>
        </w:rPr>
        <w:t>Elizamari</w:t>
      </w:r>
      <w:proofErr w:type="spellEnd"/>
      <w:r w:rsidRPr="004E5FFB">
        <w:rPr>
          <w:lang w:val="en-US"/>
        </w:rPr>
        <w:t xml:space="preserve"> R. Becker et al. 3ª ed. Porto Alegre: Bookman.</w:t>
      </w:r>
    </w:p>
    <w:p w14:paraId="741136BF" w14:textId="77777777" w:rsidR="004E5FFB" w:rsidRPr="004E5FFB" w:rsidRDefault="004E5FFB" w:rsidP="004E5FFB">
      <w:pPr>
        <w:widowControl w:val="0"/>
        <w:spacing w:before="119" w:line="249" w:lineRule="auto"/>
        <w:ind w:right="98" w:firstLine="0"/>
        <w:rPr>
          <w:lang w:val="en-US"/>
        </w:rPr>
      </w:pPr>
      <w:r w:rsidRPr="004E5FFB">
        <w:rPr>
          <w:lang w:val="en-US"/>
        </w:rPr>
        <w:t xml:space="preserve">TIDD, J.; BESSANT, J. Managing Innovation: Integrating Technological, Market and Organizational Change. Chichester: Wiley, 2013. </w:t>
      </w:r>
    </w:p>
    <w:p w14:paraId="536E26BC" w14:textId="77777777" w:rsidR="004E5FFB" w:rsidRPr="004E5FFB" w:rsidRDefault="004E5FFB" w:rsidP="004E5FFB">
      <w:pPr>
        <w:widowControl w:val="0"/>
        <w:spacing w:before="119" w:line="249" w:lineRule="auto"/>
        <w:ind w:right="98" w:firstLine="0"/>
        <w:rPr>
          <w:lang w:val="en-US"/>
        </w:rPr>
      </w:pPr>
      <w:r w:rsidRPr="004E5FFB">
        <w:rPr>
          <w:lang w:val="en-US"/>
        </w:rPr>
        <w:t>UCHIDA, H.; YAMADA, K.; ZAZZARO, A. Management innovations in family firms after CEO successions: Evidence from Japanese SMEs. Japan and the World Economy, 66, 101189, 2023.</w:t>
      </w:r>
    </w:p>
    <w:p w14:paraId="43D0E31F" w14:textId="77777777" w:rsidR="004E5FFB" w:rsidRPr="004E5FFB" w:rsidRDefault="004E5FFB" w:rsidP="004E5FFB">
      <w:pPr>
        <w:widowControl w:val="0"/>
        <w:spacing w:before="119" w:line="249" w:lineRule="auto"/>
        <w:ind w:right="98" w:firstLine="0"/>
        <w:rPr>
          <w:lang w:val="en-US"/>
        </w:rPr>
      </w:pPr>
      <w:r w:rsidRPr="004E5FFB">
        <w:rPr>
          <w:lang w:val="en-US"/>
        </w:rPr>
        <w:t xml:space="preserve">ULRICH, W. Operational research and critical systems thinking—An integrated perspective. Part 1: OR as applied systems thinking. Journal of the Operational Research Society, v. 63, n. 9, p. 1228–1247, 2012. </w:t>
      </w:r>
    </w:p>
    <w:p w14:paraId="3FA5FA86" w14:textId="77777777" w:rsidR="004E5FFB" w:rsidRPr="004E5FFB" w:rsidRDefault="004E5FFB" w:rsidP="004E5FFB">
      <w:pPr>
        <w:widowControl w:val="0"/>
        <w:spacing w:before="119" w:line="249" w:lineRule="auto"/>
        <w:ind w:right="98" w:firstLine="0"/>
        <w:rPr>
          <w:lang w:val="en-US"/>
        </w:rPr>
      </w:pPr>
      <w:r w:rsidRPr="004E5FFB">
        <w:rPr>
          <w:lang w:val="en-US"/>
        </w:rPr>
        <w:t>VACCARO, I. G., JANSEN, J. J. P., VAN DEN BOSCH, F. A. J., &amp; VOLBERDA, H. Management innovation and leadership: The moderating role of organizational size. Journal of Management Studies, 49, p. 28–51, 2012.</w:t>
      </w:r>
    </w:p>
    <w:p w14:paraId="5D88AD7C" w14:textId="77777777" w:rsidR="004E5FFB" w:rsidRPr="004E5FFB" w:rsidRDefault="004E5FFB" w:rsidP="004E5FFB">
      <w:pPr>
        <w:widowControl w:val="0"/>
        <w:spacing w:before="119" w:line="249" w:lineRule="auto"/>
        <w:ind w:right="98" w:firstLine="0"/>
        <w:rPr>
          <w:lang w:val="en-US"/>
        </w:rPr>
      </w:pPr>
      <w:r w:rsidRPr="004E5FFB">
        <w:rPr>
          <w:lang w:val="en-US"/>
        </w:rPr>
        <w:t>VINCENT-HÖPER, S.; STEIN, M. The Leader Support for Innovation Questionnaire (LSIQ): Development and validation of a measure for assessing leader support for innovation. Leadership &amp; Organization Development Journal, v. 40, n. 8, p. 898-915, 2019.</w:t>
      </w:r>
    </w:p>
    <w:p w14:paraId="5F7460D6" w14:textId="77777777" w:rsidR="004E5FFB" w:rsidRPr="004E5FFB" w:rsidRDefault="004E5FFB" w:rsidP="004E5FFB">
      <w:pPr>
        <w:widowControl w:val="0"/>
        <w:spacing w:before="119" w:line="249" w:lineRule="auto"/>
        <w:ind w:right="98" w:firstLine="0"/>
        <w:rPr>
          <w:lang w:val="en-US"/>
        </w:rPr>
      </w:pPr>
      <w:r w:rsidRPr="004E5FFB">
        <w:rPr>
          <w:lang w:val="en-US"/>
        </w:rPr>
        <w:t xml:space="preserve">VISHNEVSKIY, K.; KARASEV, O.; MEISSNER, D. Integrated roadmaps and corporate foresight as tools of innovation management: The case of Russian companies. Technological Forecasting and Social Change, v. 90, </w:t>
      </w:r>
      <w:proofErr w:type="spellStart"/>
      <w:r w:rsidRPr="004E5FFB">
        <w:rPr>
          <w:lang w:val="en-US"/>
        </w:rPr>
        <w:t>parte</w:t>
      </w:r>
      <w:proofErr w:type="spellEnd"/>
      <w:r w:rsidRPr="004E5FFB">
        <w:rPr>
          <w:lang w:val="en-US"/>
        </w:rPr>
        <w:t xml:space="preserve"> B, p. 433-443, 2015.</w:t>
      </w:r>
    </w:p>
    <w:p w14:paraId="0EB3D613" w14:textId="77777777" w:rsidR="004E5FFB" w:rsidRPr="004E5FFB" w:rsidRDefault="004E5FFB" w:rsidP="004E5FFB">
      <w:pPr>
        <w:widowControl w:val="0"/>
        <w:spacing w:before="119" w:line="249" w:lineRule="auto"/>
        <w:ind w:right="98" w:firstLine="0"/>
        <w:rPr>
          <w:lang w:val="en-US"/>
        </w:rPr>
      </w:pPr>
      <w:r w:rsidRPr="004E5FFB">
        <w:rPr>
          <w:lang w:val="en-US"/>
        </w:rPr>
        <w:t>VOLBERDA, H.W.; VAN DEN BOSCH, F.A.J.; HEIJ, C.V. Management innovation: management as fertile ground for innovation European Management Review, 10(1), p. 1-15, 2013</w:t>
      </w:r>
    </w:p>
    <w:p w14:paraId="242852B2" w14:textId="77777777" w:rsidR="004E5FFB" w:rsidRPr="004E5FFB" w:rsidRDefault="004E5FFB" w:rsidP="004E5FFB">
      <w:pPr>
        <w:widowControl w:val="0"/>
        <w:spacing w:before="119" w:line="249" w:lineRule="auto"/>
        <w:ind w:right="98" w:firstLine="0"/>
        <w:rPr>
          <w:lang w:val="en-US"/>
        </w:rPr>
      </w:pPr>
      <w:r w:rsidRPr="004E5FFB">
        <w:rPr>
          <w:lang w:val="en-US"/>
        </w:rPr>
        <w:t>WALKER, R. M., DAMANPOUR, F., &amp; DEVECE, C. A. Management innovation and organizational performance: Mediating role of planning and control. Journal of Public Administration Research and Theory, 21, p. 367–386, 2011.</w:t>
      </w:r>
    </w:p>
    <w:p w14:paraId="39F94E8E" w14:textId="77777777" w:rsidR="004E5FFB" w:rsidRPr="004E5FFB" w:rsidRDefault="004E5FFB" w:rsidP="004E5FFB">
      <w:pPr>
        <w:widowControl w:val="0"/>
        <w:spacing w:before="119" w:line="249" w:lineRule="auto"/>
        <w:ind w:right="98" w:firstLine="0"/>
        <w:rPr>
          <w:lang w:val="en-US"/>
        </w:rPr>
      </w:pPr>
      <w:r w:rsidRPr="004E5FFB">
        <w:rPr>
          <w:lang w:val="en-US"/>
        </w:rPr>
        <w:t>WANG, C. J.; TSAI, C. Y. Managing innovation and creativity in organizations: an empirical study of service industries in Taiwan. Serv Bus, v. 8, p. 313-335, 2014.</w:t>
      </w:r>
    </w:p>
    <w:p w14:paraId="2C4779E6" w14:textId="77777777" w:rsidR="004E5FFB" w:rsidRPr="004E5FFB" w:rsidRDefault="004E5FFB" w:rsidP="004E5FFB">
      <w:pPr>
        <w:widowControl w:val="0"/>
        <w:spacing w:before="119" w:line="249" w:lineRule="auto"/>
        <w:ind w:right="98" w:firstLine="0"/>
        <w:rPr>
          <w:lang w:val="en-US"/>
        </w:rPr>
      </w:pPr>
      <w:r w:rsidRPr="004E5FFB">
        <w:rPr>
          <w:lang w:val="en-US"/>
        </w:rPr>
        <w:t xml:space="preserve">WU, L.-F.; HUANG, I.-C.; HUANG, W.-C.; DU, P.-L. Aligning organizational culture and </w:t>
      </w:r>
      <w:r w:rsidRPr="004E5FFB">
        <w:rPr>
          <w:lang w:val="en-US"/>
        </w:rPr>
        <w:lastRenderedPageBreak/>
        <w:t>operations strategy to improve innovation outcomes: An integrated perspective in organizational management. Journal of Organizational Change Management, v. 32, n. 2, p. 224-250, 2019.</w:t>
      </w:r>
    </w:p>
    <w:p w14:paraId="4D1C3E00" w14:textId="77777777" w:rsidR="004E5FFB" w:rsidRPr="004E5FFB" w:rsidRDefault="004E5FFB" w:rsidP="004E5FFB">
      <w:pPr>
        <w:widowControl w:val="0"/>
        <w:spacing w:before="119" w:line="249" w:lineRule="auto"/>
        <w:ind w:right="98" w:firstLine="0"/>
        <w:rPr>
          <w:lang w:val="en-US"/>
        </w:rPr>
      </w:pPr>
      <w:r w:rsidRPr="004E5FFB">
        <w:rPr>
          <w:lang w:val="en-US"/>
        </w:rPr>
        <w:t>YAM, R. C.; LO, W.; TANG, E. P.; LAU, A. K. Analysis of sources of innovation, technological innovation capabilities, and performance: An empirical study of Hong Kong manufacturing industries. Research Policy, 40(3), p. 391-402, 2011.</w:t>
      </w:r>
    </w:p>
    <w:p w14:paraId="4F8370D9" w14:textId="77777777" w:rsidR="004E5FFB" w:rsidRPr="004E5FFB" w:rsidRDefault="004E5FFB" w:rsidP="004E5FFB">
      <w:pPr>
        <w:widowControl w:val="0"/>
        <w:spacing w:before="119" w:line="249" w:lineRule="auto"/>
        <w:ind w:right="98" w:firstLine="0"/>
        <w:rPr>
          <w:lang w:val="en-US"/>
        </w:rPr>
      </w:pPr>
      <w:r w:rsidRPr="004E5FFB">
        <w:rPr>
          <w:lang w:val="en-US"/>
        </w:rPr>
        <w:t>YIN, R.K. Qualitative Research from Start to Finish. The Guilford Press; 2ª Ed., New York, 2015.</w:t>
      </w:r>
    </w:p>
    <w:p w14:paraId="008D0F6D" w14:textId="77777777" w:rsidR="004E5FFB" w:rsidRPr="004E5FFB" w:rsidRDefault="004E5FFB" w:rsidP="004E5FFB">
      <w:pPr>
        <w:widowControl w:val="0"/>
        <w:spacing w:before="119" w:line="249" w:lineRule="auto"/>
        <w:ind w:right="98" w:firstLine="0"/>
        <w:rPr>
          <w:lang w:val="en-US"/>
        </w:rPr>
      </w:pPr>
      <w:r w:rsidRPr="004E5FFB">
        <w:rPr>
          <w:lang w:val="en-US"/>
        </w:rPr>
        <w:t>ZHANG, Y.; KHAN, U.; LEE, S.; SALIK, M. The Influence of Management Innovation and Technological Innovation on Organization Performance. A Mediating Role of Sustainability. Sustainability, 11(2), 495, 2019.</w:t>
      </w:r>
    </w:p>
    <w:p w14:paraId="3E956CDD" w14:textId="77777777" w:rsidR="004E5FFB" w:rsidRPr="00187266" w:rsidRDefault="004E5FFB" w:rsidP="004E5FFB">
      <w:pPr>
        <w:widowControl w:val="0"/>
        <w:spacing w:before="119" w:line="249" w:lineRule="auto"/>
        <w:ind w:right="98" w:firstLine="0"/>
        <w:rPr>
          <w:lang w:val="en-US"/>
        </w:rPr>
      </w:pPr>
      <w:r w:rsidRPr="004E5FFB">
        <w:rPr>
          <w:lang w:val="en-US"/>
        </w:rPr>
        <w:t xml:space="preserve">ZHANG, Y.; WANG, J. Research on influencing factors and path of digital transformation of manufacturing enterprises. </w:t>
      </w:r>
      <w:proofErr w:type="spellStart"/>
      <w:r w:rsidRPr="00187266">
        <w:rPr>
          <w:lang w:val="en-US"/>
        </w:rPr>
        <w:t>Kybernetes</w:t>
      </w:r>
      <w:proofErr w:type="spellEnd"/>
      <w:r w:rsidRPr="00187266">
        <w:rPr>
          <w:lang w:val="en-US"/>
        </w:rPr>
        <w:t>, v. 53, n. 2, p. 752-762, 2024.</w:t>
      </w:r>
    </w:p>
    <w:p w14:paraId="2A758EFA" w14:textId="057E30D5" w:rsidR="00D56446" w:rsidRDefault="004E5FFB" w:rsidP="004E5FFB">
      <w:pPr>
        <w:widowControl w:val="0"/>
        <w:spacing w:before="119" w:line="249" w:lineRule="auto"/>
        <w:ind w:right="98" w:firstLine="0"/>
      </w:pPr>
      <w:r w:rsidRPr="004E5FFB">
        <w:rPr>
          <w:lang w:val="en-US"/>
        </w:rPr>
        <w:t xml:space="preserve">ZHU, Q.; SARKIS, J.; LAI, K.-H. Green supply chain management innovation diffusion and its relationship to organizational improvement: An ecological modernization perspective. </w:t>
      </w:r>
      <w:r>
        <w:t xml:space="preserve">J. Eng. </w:t>
      </w:r>
      <w:proofErr w:type="spellStart"/>
      <w:r>
        <w:t>Technol</w:t>
      </w:r>
      <w:proofErr w:type="spellEnd"/>
      <w:r>
        <w:t xml:space="preserve">. </w:t>
      </w:r>
      <w:proofErr w:type="spellStart"/>
      <w:r>
        <w:t>Manag</w:t>
      </w:r>
      <w:proofErr w:type="spellEnd"/>
      <w:r>
        <w:t>., 29, p. 168-185, 2012.</w:t>
      </w:r>
    </w:p>
    <w:sectPr w:rsidR="00D56446">
      <w:headerReference w:type="default" r:id="rId13"/>
      <w:footerReference w:type="default" r:id="rId14"/>
      <w:headerReference w:type="first" r:id="rId15"/>
      <w:pgSz w:w="11900" w:h="16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3887A" w14:textId="77777777" w:rsidR="00B54AC0" w:rsidRDefault="00B54AC0">
      <w:pPr>
        <w:spacing w:line="240" w:lineRule="auto"/>
      </w:pPr>
      <w:r>
        <w:separator/>
      </w:r>
    </w:p>
  </w:endnote>
  <w:endnote w:type="continuationSeparator" w:id="0">
    <w:p w14:paraId="33F76664" w14:textId="77777777" w:rsidR="00B54AC0" w:rsidRDefault="00B54A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6018" w14:textId="77777777" w:rsidR="00407F8E" w:rsidRDefault="00000000">
    <w:pPr>
      <w:pBdr>
        <w:top w:val="nil"/>
        <w:left w:val="nil"/>
        <w:bottom w:val="nil"/>
        <w:right w:val="nil"/>
        <w:between w:val="nil"/>
      </w:pBdr>
      <w:tabs>
        <w:tab w:val="center" w:pos="4320"/>
        <w:tab w:val="right" w:pos="8640"/>
      </w:tabs>
      <w:spacing w:before="240" w:line="240" w:lineRule="auto"/>
      <w:ind w:firstLine="0"/>
      <w:rPr>
        <w:color w:val="000000"/>
      </w:rPr>
    </w:pPr>
    <w:r>
      <w:t>20</w:t>
    </w:r>
    <w:r>
      <w:rPr>
        <w:color w:val="000000"/>
      </w:rPr>
      <w:t xml:space="preserve">º Congresso Brasileiro de Sistemas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3C74" w14:textId="77777777" w:rsidR="00B54AC0" w:rsidRDefault="00B54AC0">
      <w:pPr>
        <w:spacing w:line="240" w:lineRule="auto"/>
      </w:pPr>
      <w:r>
        <w:separator/>
      </w:r>
    </w:p>
  </w:footnote>
  <w:footnote w:type="continuationSeparator" w:id="0">
    <w:p w14:paraId="33F3F194" w14:textId="77777777" w:rsidR="00B54AC0" w:rsidRDefault="00B54A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06F2" w14:textId="77777777" w:rsidR="00407F8E" w:rsidRDefault="00407F8E">
    <w:pPr>
      <w:widowControl w:val="0"/>
      <w:pBdr>
        <w:top w:val="nil"/>
        <w:left w:val="nil"/>
        <w:bottom w:val="nil"/>
        <w:right w:val="nil"/>
        <w:between w:val="nil"/>
      </w:pBdr>
      <w:spacing w:line="276" w:lineRule="auto"/>
      <w:ind w:firstLine="0"/>
      <w:jc w:val="left"/>
    </w:pPr>
  </w:p>
  <w:tbl>
    <w:tblPr>
      <w:tblStyle w:val="a"/>
      <w:tblW w:w="9020" w:type="dxa"/>
      <w:tblInd w:w="0" w:type="dxa"/>
      <w:tblLayout w:type="fixed"/>
      <w:tblLook w:val="0400" w:firstRow="0" w:lastRow="0" w:firstColumn="0" w:lastColumn="0" w:noHBand="0" w:noVBand="1"/>
    </w:tblPr>
    <w:tblGrid>
      <w:gridCol w:w="8417"/>
      <w:gridCol w:w="603"/>
    </w:tblGrid>
    <w:tr w:rsidR="00407F8E" w14:paraId="1C73E768" w14:textId="77777777">
      <w:tc>
        <w:tcPr>
          <w:tcW w:w="8417" w:type="dxa"/>
          <w:tcBorders>
            <w:bottom w:val="single" w:sz="4" w:space="0" w:color="000000"/>
          </w:tcBorders>
          <w:vAlign w:val="bottom"/>
        </w:tcPr>
        <w:p w14:paraId="7C184861" w14:textId="77777777" w:rsidR="00407F8E" w:rsidRDefault="00000000">
          <w:pPr>
            <w:pBdr>
              <w:top w:val="nil"/>
              <w:left w:val="nil"/>
              <w:bottom w:val="nil"/>
              <w:right w:val="nil"/>
              <w:between w:val="nil"/>
            </w:pBdr>
            <w:tabs>
              <w:tab w:val="center" w:pos="4320"/>
              <w:tab w:val="right" w:pos="8640"/>
            </w:tabs>
            <w:spacing w:line="240" w:lineRule="auto"/>
            <w:jc w:val="right"/>
            <w:rPr>
              <w:rFonts w:ascii="Calibri" w:eastAsia="Calibri" w:hAnsi="Calibri" w:cs="Calibri"/>
              <w:color w:val="000000"/>
            </w:rPr>
          </w:pPr>
          <w:r>
            <w:rPr>
              <w:rFonts w:ascii="Calibri" w:eastAsia="Calibri" w:hAnsi="Calibri" w:cs="Calibri"/>
              <w:b/>
            </w:rPr>
            <w:t>20</w:t>
          </w:r>
          <w:r>
            <w:rPr>
              <w:rFonts w:ascii="Calibri" w:eastAsia="Calibri" w:hAnsi="Calibri" w:cs="Calibri"/>
              <w:b/>
              <w:color w:val="000000"/>
            </w:rPr>
            <w:t>º Congresso Brasileiro de Sistemas</w:t>
          </w:r>
        </w:p>
      </w:tc>
      <w:tc>
        <w:tcPr>
          <w:tcW w:w="603" w:type="dxa"/>
          <w:tcBorders>
            <w:bottom w:val="single" w:sz="4" w:space="0" w:color="943734"/>
          </w:tcBorders>
          <w:shd w:val="clear" w:color="auto" w:fill="85BD2D"/>
          <w:vAlign w:val="bottom"/>
        </w:tcPr>
        <w:p w14:paraId="4A9DA29B" w14:textId="77777777" w:rsidR="00407F8E" w:rsidRDefault="00000000">
          <w:pPr>
            <w:pBdr>
              <w:top w:val="nil"/>
              <w:left w:val="nil"/>
              <w:bottom w:val="nil"/>
              <w:right w:val="nil"/>
              <w:between w:val="nil"/>
            </w:pBdr>
            <w:tabs>
              <w:tab w:val="center" w:pos="4320"/>
              <w:tab w:val="right" w:pos="8640"/>
            </w:tabs>
            <w:spacing w:line="240" w:lineRule="auto"/>
            <w:ind w:firstLine="0"/>
            <w:jc w:val="center"/>
            <w:rPr>
              <w:color w:val="FFFFFF"/>
            </w:rPr>
          </w:pPr>
          <w:r>
            <w:rPr>
              <w:rFonts w:ascii="Calibri" w:eastAsia="Calibri" w:hAnsi="Calibri" w:cs="Calibri"/>
              <w:b/>
              <w:color w:val="FFFFFF"/>
            </w:rPr>
            <w:fldChar w:fldCharType="begin"/>
          </w:r>
          <w:r>
            <w:rPr>
              <w:rFonts w:ascii="Calibri" w:eastAsia="Calibri" w:hAnsi="Calibri" w:cs="Calibri"/>
              <w:b/>
              <w:color w:val="FFFFFF"/>
            </w:rPr>
            <w:instrText>PAGE</w:instrText>
          </w:r>
          <w:r>
            <w:rPr>
              <w:rFonts w:ascii="Calibri" w:eastAsia="Calibri" w:hAnsi="Calibri" w:cs="Calibri"/>
              <w:b/>
              <w:color w:val="FFFFFF"/>
            </w:rPr>
            <w:fldChar w:fldCharType="separate"/>
          </w:r>
          <w:r w:rsidR="00CA1BCA">
            <w:rPr>
              <w:rFonts w:ascii="Calibri" w:eastAsia="Calibri" w:hAnsi="Calibri" w:cs="Calibri"/>
              <w:b/>
              <w:noProof/>
              <w:color w:val="FFFFFF"/>
            </w:rPr>
            <w:t>2</w:t>
          </w:r>
          <w:r>
            <w:rPr>
              <w:rFonts w:ascii="Calibri" w:eastAsia="Calibri" w:hAnsi="Calibri" w:cs="Calibri"/>
              <w:b/>
              <w:color w:val="FFFFFF"/>
            </w:rPr>
            <w:fldChar w:fldCharType="end"/>
          </w:r>
        </w:p>
      </w:tc>
    </w:tr>
  </w:tbl>
  <w:p w14:paraId="2581451E" w14:textId="77777777" w:rsidR="00407F8E" w:rsidRDefault="00407F8E">
    <w:pPr>
      <w:pBdr>
        <w:top w:val="nil"/>
        <w:left w:val="nil"/>
        <w:bottom w:val="nil"/>
        <w:right w:val="nil"/>
        <w:between w:val="nil"/>
      </w:pBdr>
      <w:tabs>
        <w:tab w:val="center" w:pos="4320"/>
        <w:tab w:val="right" w:pos="864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9058" w14:textId="77777777" w:rsidR="00407F8E" w:rsidRDefault="00000000">
    <w:pPr>
      <w:pBdr>
        <w:top w:val="nil"/>
        <w:left w:val="nil"/>
        <w:bottom w:val="nil"/>
        <w:right w:val="nil"/>
        <w:between w:val="nil"/>
      </w:pBdr>
      <w:tabs>
        <w:tab w:val="center" w:pos="4320"/>
        <w:tab w:val="right" w:pos="8640"/>
      </w:tabs>
      <w:spacing w:line="240" w:lineRule="auto"/>
      <w:ind w:left="-1276" w:firstLine="0"/>
      <w:jc w:val="left"/>
      <w:rPr>
        <w:color w:val="000000"/>
      </w:rPr>
    </w:pPr>
    <w:r>
      <w:rPr>
        <w:noProof/>
        <w:color w:val="000000"/>
      </w:rPr>
      <w:drawing>
        <wp:inline distT="0" distB="0" distL="0" distR="0" wp14:anchorId="05B27F43" wp14:editId="2BC8D042">
          <wp:extent cx="1249308" cy="1254847"/>
          <wp:effectExtent l="0" t="0" r="0" b="0"/>
          <wp:docPr id="2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49308" cy="1254847"/>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51EA402E" wp14:editId="22ACF423">
              <wp:simplePos x="0" y="0"/>
              <wp:positionH relativeFrom="column">
                <wp:posOffset>1574800</wp:posOffset>
              </wp:positionH>
              <wp:positionV relativeFrom="paragraph">
                <wp:posOffset>58420</wp:posOffset>
              </wp:positionV>
              <wp:extent cx="4761230" cy="1007971"/>
              <wp:effectExtent l="0" t="0" r="0" b="0"/>
              <wp:wrapSquare wrapText="bothSides" distT="45720" distB="45720" distL="114300" distR="114300"/>
              <wp:docPr id="220" name="Retângulo 220"/>
              <wp:cNvGraphicFramePr/>
              <a:graphic xmlns:a="http://schemas.openxmlformats.org/drawingml/2006/main">
                <a:graphicData uri="http://schemas.microsoft.com/office/word/2010/wordprocessingShape">
                  <wps:wsp>
                    <wps:cNvSpPr/>
                    <wps:spPr>
                      <a:xfrm>
                        <a:off x="2492675" y="3203100"/>
                        <a:ext cx="5515500" cy="1153800"/>
                      </a:xfrm>
                      <a:prstGeom prst="rect">
                        <a:avLst/>
                      </a:prstGeom>
                      <a:solidFill>
                        <a:srgbClr val="FFFFFF"/>
                      </a:solidFill>
                      <a:ln>
                        <a:noFill/>
                      </a:ln>
                    </wps:spPr>
                    <wps:txbx>
                      <w:txbxContent>
                        <w:p w14:paraId="2EABADAA" w14:textId="77777777" w:rsidR="00407F8E" w:rsidRDefault="00000000">
                          <w:pPr>
                            <w:spacing w:line="240" w:lineRule="auto"/>
                            <w:ind w:firstLine="0"/>
                            <w:jc w:val="center"/>
                            <w:textDirection w:val="btLr"/>
                          </w:pPr>
                          <w:r>
                            <w:rPr>
                              <w:rFonts w:ascii="Calibri" w:eastAsia="Calibri" w:hAnsi="Calibri" w:cs="Calibri"/>
                              <w:smallCaps/>
                              <w:color w:val="000000"/>
                              <w:sz w:val="28"/>
                            </w:rPr>
                            <w:t>Perspectivas Sistêmicas para a Gestão da Inovação e Proteção Intelectual</w:t>
                          </w:r>
                        </w:p>
                        <w:p w14:paraId="0B320D35" w14:textId="77777777" w:rsidR="00407F8E" w:rsidRDefault="00407F8E">
                          <w:pPr>
                            <w:spacing w:line="240" w:lineRule="auto"/>
                            <w:ind w:firstLine="0"/>
                            <w:jc w:val="left"/>
                            <w:textDirection w:val="btLr"/>
                          </w:pPr>
                        </w:p>
                        <w:p w14:paraId="1A315172" w14:textId="77777777" w:rsidR="00407F8E" w:rsidRDefault="00000000">
                          <w:pPr>
                            <w:spacing w:line="240" w:lineRule="auto"/>
                            <w:ind w:firstLine="0"/>
                            <w:jc w:val="center"/>
                            <w:textDirection w:val="btLr"/>
                          </w:pPr>
                          <w:r>
                            <w:rPr>
                              <w:rFonts w:ascii="Calibri" w:eastAsia="Calibri" w:hAnsi="Calibri" w:cs="Calibri"/>
                              <w:color w:val="000000"/>
                              <w:sz w:val="22"/>
                            </w:rPr>
                            <w:t>Instituto Federal de Mato Grosso do Sul</w:t>
                          </w:r>
                        </w:p>
                        <w:p w14:paraId="710E35D0" w14:textId="77777777" w:rsidR="00407F8E" w:rsidRDefault="00407F8E">
                          <w:pPr>
                            <w:spacing w:line="240" w:lineRule="auto"/>
                            <w:ind w:firstLine="0"/>
                            <w:jc w:val="center"/>
                            <w:textDirection w:val="btLr"/>
                          </w:pPr>
                        </w:p>
                        <w:p w14:paraId="49335DA1" w14:textId="77777777" w:rsidR="00407F8E" w:rsidRDefault="00000000">
                          <w:pPr>
                            <w:spacing w:line="240" w:lineRule="auto"/>
                            <w:ind w:firstLine="0"/>
                            <w:jc w:val="center"/>
                            <w:textDirection w:val="btLr"/>
                          </w:pPr>
                          <w:r>
                            <w:rPr>
                              <w:rFonts w:ascii="Calibri" w:eastAsia="Calibri" w:hAnsi="Calibri" w:cs="Calibri"/>
                              <w:color w:val="000000"/>
                              <w:sz w:val="22"/>
                            </w:rPr>
                            <w:t xml:space="preserve">de 01 a 04 de </w:t>
                          </w:r>
                          <w:proofErr w:type="gramStart"/>
                          <w:r>
                            <w:rPr>
                              <w:rFonts w:ascii="Calibri" w:eastAsia="Calibri" w:hAnsi="Calibri" w:cs="Calibri"/>
                              <w:color w:val="000000"/>
                              <w:sz w:val="22"/>
                            </w:rPr>
                            <w:t>Outubro</w:t>
                          </w:r>
                          <w:proofErr w:type="gramEnd"/>
                        </w:p>
                        <w:p w14:paraId="529BC713" w14:textId="77777777" w:rsidR="00407F8E" w:rsidRDefault="00407F8E">
                          <w:pPr>
                            <w:textDirection w:val="btLr"/>
                          </w:pPr>
                        </w:p>
                      </w:txbxContent>
                    </wps:txbx>
                    <wps:bodyPr spcFirstLastPara="1" wrap="square" lIns="91425" tIns="45700" rIns="91425" bIns="45700" anchor="t" anchorCtr="0">
                      <a:noAutofit/>
                    </wps:bodyPr>
                  </wps:wsp>
                </a:graphicData>
              </a:graphic>
            </wp:anchor>
          </w:drawing>
        </mc:Choice>
        <mc:Fallback>
          <w:pict>
            <v:rect w14:anchorId="51EA402E" id="Retângulo 220" o:spid="_x0000_s1026" style="position:absolute;left:0;text-align:left;margin-left:124pt;margin-top:4.6pt;width:374.9pt;height:79.3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j4zwEAAIQDAAAOAAAAZHJzL2Uyb0RvYy54bWysU9uO2yAQfa/Uf0C8N74k3osVZ1XtKlWl&#10;VRtp2w/AGGIkDHQgsfP3HXC6SXffqvoBzzCH4ZyZYf0wDZocBXhlTUOLRU6JMNx2yuwb+vPH9tMd&#10;JT4w0zFtjWjoSXj6sPn4YT26WpS2t7oTQDCJ8fXoGtqH4Oos87wXA/ML64TBoLQwsIAu7LMO2IjZ&#10;B52VeX6TjRY6B5YL73H3aQ7STcovpeDhu5ReBKIbitxCWiGtbVyzzZrVe2CuV/xMg/0Di4Epg5e+&#10;pnpigZEDqHepBsXBeivDgtshs1IqLpIGVFPkb9S89MyJpAWL491rmfz/S8u/HV/cDrAMo/O1RzOq&#10;mCQM8Y/8yNTQcnVf3txWlJwauizzZZGfCyemQDgCqqqoKtwkHBFFUS3vZkR2SeXAhy/CDiQaDQXs&#10;TCoYOz77gNcj9A8k3uytVt1WaZ0c2LePGsiRYRe36YuNwyN/wbSJYGPjsTkcd7KLsGiFqZ3Oalvb&#10;nXZAvONbhaSemQ87Btj+gpIRR6Kh/teBgaBEfzVY8/tiVWIRQnJW1W0UDNeR9jrCDO8tTlqgZDYf&#10;Q5q7mePnQ7BSJeGR1UzlTBZbncSdxzLO0rWfUJfHs/kNAAD//wMAUEsDBBQABgAIAAAAIQAd6StW&#10;3QAAAAkBAAAPAAAAZHJzL2Rvd25yZXYueG1sTI9BT4QwEIXvJv6HZky8uUWy7gJSNmYTbyZG1Oix&#10;0BHItlNCC4v/3vGkx8l7efN95WF1Viw4hcGTgttNAgKp9WagTsHb6+NNBiJETUZbT6jgGwMcqsuL&#10;UhfGn+kFlzp2gkcoFFpBH+NYSBnaHp0OGz8icfblJ6cjn1MnzaTPPO6sTJNkJ50eiD/0esRjj+2p&#10;np0CuyTb94/m7jOrhw6fTuty9POzUtdX68M9iIhr/CvDLz6jQ8VMjZ/JBGEVpNuMXaKCPAXBeZ7v&#10;WaXh4m6fg6xK+d+g+gEAAP//AwBQSwECLQAUAAYACAAAACEAtoM4kv4AAADhAQAAEwAAAAAAAAAA&#10;AAAAAAAAAAAAW0NvbnRlbnRfVHlwZXNdLnhtbFBLAQItABQABgAIAAAAIQA4/SH/1gAAAJQBAAAL&#10;AAAAAAAAAAAAAAAAAC8BAABfcmVscy8ucmVsc1BLAQItABQABgAIAAAAIQAzxUj4zwEAAIQDAAAO&#10;AAAAAAAAAAAAAAAAAC4CAABkcnMvZTJvRG9jLnhtbFBLAQItABQABgAIAAAAIQAd6StW3QAAAAkB&#10;AAAPAAAAAAAAAAAAAAAAACkEAABkcnMvZG93bnJldi54bWxQSwUGAAAAAAQABADzAAAAMwUAAAAA&#10;" stroked="f">
              <v:textbox inset="2.53958mm,1.2694mm,2.53958mm,1.2694mm">
                <w:txbxContent>
                  <w:p w14:paraId="2EABADAA" w14:textId="77777777" w:rsidR="00407F8E" w:rsidRDefault="00000000">
                    <w:pPr>
                      <w:spacing w:line="240" w:lineRule="auto"/>
                      <w:ind w:firstLine="0"/>
                      <w:jc w:val="center"/>
                      <w:textDirection w:val="btLr"/>
                    </w:pPr>
                    <w:r>
                      <w:rPr>
                        <w:rFonts w:ascii="Calibri" w:eastAsia="Calibri" w:hAnsi="Calibri" w:cs="Calibri"/>
                        <w:smallCaps/>
                        <w:color w:val="000000"/>
                        <w:sz w:val="28"/>
                      </w:rPr>
                      <w:t>Perspectivas Sistêmicas para a Gestão da Inovação e Proteção Intelectual</w:t>
                    </w:r>
                  </w:p>
                  <w:p w14:paraId="0B320D35" w14:textId="77777777" w:rsidR="00407F8E" w:rsidRDefault="00407F8E">
                    <w:pPr>
                      <w:spacing w:line="240" w:lineRule="auto"/>
                      <w:ind w:firstLine="0"/>
                      <w:jc w:val="left"/>
                      <w:textDirection w:val="btLr"/>
                    </w:pPr>
                  </w:p>
                  <w:p w14:paraId="1A315172" w14:textId="77777777" w:rsidR="00407F8E" w:rsidRDefault="00000000">
                    <w:pPr>
                      <w:spacing w:line="240" w:lineRule="auto"/>
                      <w:ind w:firstLine="0"/>
                      <w:jc w:val="center"/>
                      <w:textDirection w:val="btLr"/>
                    </w:pPr>
                    <w:r>
                      <w:rPr>
                        <w:rFonts w:ascii="Calibri" w:eastAsia="Calibri" w:hAnsi="Calibri" w:cs="Calibri"/>
                        <w:color w:val="000000"/>
                        <w:sz w:val="22"/>
                      </w:rPr>
                      <w:t>Instituto Federal de Mato Grosso do Sul</w:t>
                    </w:r>
                  </w:p>
                  <w:p w14:paraId="710E35D0" w14:textId="77777777" w:rsidR="00407F8E" w:rsidRDefault="00407F8E">
                    <w:pPr>
                      <w:spacing w:line="240" w:lineRule="auto"/>
                      <w:ind w:firstLine="0"/>
                      <w:jc w:val="center"/>
                      <w:textDirection w:val="btLr"/>
                    </w:pPr>
                  </w:p>
                  <w:p w14:paraId="49335DA1" w14:textId="77777777" w:rsidR="00407F8E" w:rsidRDefault="00000000">
                    <w:pPr>
                      <w:spacing w:line="240" w:lineRule="auto"/>
                      <w:ind w:firstLine="0"/>
                      <w:jc w:val="center"/>
                      <w:textDirection w:val="btLr"/>
                    </w:pPr>
                    <w:r>
                      <w:rPr>
                        <w:rFonts w:ascii="Calibri" w:eastAsia="Calibri" w:hAnsi="Calibri" w:cs="Calibri"/>
                        <w:color w:val="000000"/>
                        <w:sz w:val="22"/>
                      </w:rPr>
                      <w:t xml:space="preserve">de 01 a 04 de </w:t>
                    </w:r>
                    <w:proofErr w:type="gramStart"/>
                    <w:r>
                      <w:rPr>
                        <w:rFonts w:ascii="Calibri" w:eastAsia="Calibri" w:hAnsi="Calibri" w:cs="Calibri"/>
                        <w:color w:val="000000"/>
                        <w:sz w:val="22"/>
                      </w:rPr>
                      <w:t>Outubro</w:t>
                    </w:r>
                    <w:proofErr w:type="gramEnd"/>
                  </w:p>
                  <w:p w14:paraId="529BC713" w14:textId="77777777" w:rsidR="00407F8E" w:rsidRDefault="00407F8E">
                    <w:pPr>
                      <w:textDirection w:val="btLr"/>
                    </w:pPr>
                  </w:p>
                </w:txbxContent>
              </v:textbox>
              <w10:wrap type="square"/>
            </v:rect>
          </w:pict>
        </mc:Fallback>
      </mc:AlternateContent>
    </w:r>
    <w:r>
      <w:rPr>
        <w:noProof/>
      </w:rPr>
      <mc:AlternateContent>
        <mc:Choice Requires="wps">
          <w:drawing>
            <wp:anchor distT="0" distB="0" distL="114300" distR="114300" simplePos="0" relativeHeight="251659264" behindDoc="0" locked="0" layoutInCell="1" hidden="0" allowOverlap="1" wp14:anchorId="601EAADF" wp14:editId="138E03C8">
              <wp:simplePos x="0" y="0"/>
              <wp:positionH relativeFrom="column">
                <wp:posOffset>127000</wp:posOffset>
              </wp:positionH>
              <wp:positionV relativeFrom="paragraph">
                <wp:posOffset>114300</wp:posOffset>
              </wp:positionV>
              <wp:extent cx="1400810" cy="312343"/>
              <wp:effectExtent l="0" t="0" r="0" b="0"/>
              <wp:wrapNone/>
              <wp:docPr id="218" name="Retângulo 218"/>
              <wp:cNvGraphicFramePr/>
              <a:graphic xmlns:a="http://schemas.openxmlformats.org/drawingml/2006/main">
                <a:graphicData uri="http://schemas.microsoft.com/office/word/2010/wordprocessingShape">
                  <wps:wsp>
                    <wps:cNvSpPr/>
                    <wps:spPr>
                      <a:xfrm>
                        <a:off x="4650358" y="3632045"/>
                        <a:ext cx="1391285" cy="295910"/>
                      </a:xfrm>
                      <a:prstGeom prst="rect">
                        <a:avLst/>
                      </a:prstGeom>
                      <a:noFill/>
                      <a:ln>
                        <a:noFill/>
                      </a:ln>
                    </wps:spPr>
                    <wps:txbx>
                      <w:txbxContent>
                        <w:p w14:paraId="1AC29C5D" w14:textId="77777777" w:rsidR="00407F8E" w:rsidRDefault="00000000">
                          <w:pPr>
                            <w:spacing w:line="240" w:lineRule="auto"/>
                            <w:ind w:firstLine="0"/>
                            <w:jc w:val="left"/>
                            <w:textDirection w:val="btLr"/>
                          </w:pPr>
                          <w:r>
                            <w:rPr>
                              <w:rFonts w:ascii="Arial" w:eastAsia="Arial" w:hAnsi="Arial" w:cs="Arial"/>
                              <w:color w:val="000000"/>
                              <w:sz w:val="28"/>
                            </w:rPr>
                            <w:t>20º Congresso</w:t>
                          </w:r>
                        </w:p>
                      </w:txbxContent>
                    </wps:txbx>
                    <wps:bodyPr spcFirstLastPara="1" wrap="square" lIns="91425" tIns="45700" rIns="91425" bIns="45700" anchor="t" anchorCtr="0">
                      <a:noAutofit/>
                    </wps:bodyPr>
                  </wps:wsp>
                </a:graphicData>
              </a:graphic>
            </wp:anchor>
          </w:drawing>
        </mc:Choice>
        <mc:Fallback>
          <w:pict>
            <v:rect w14:anchorId="601EAADF" id="Retângulo 218" o:spid="_x0000_s1027" style="position:absolute;left:0;text-align:left;margin-left:10pt;margin-top:9pt;width:110.3pt;height:2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ZOvwEAAGEDAAAOAAAAZHJzL2Uyb0RvYy54bWysU9uO0zAQfUfiHyy/01zalG3UdIVYFSGt&#10;oNLCB7iO3VhKbDPjNunfM3bLtsAb4sWZm86cMzNZP05Dz04K0Djb8GKWc6asdK2xh4Z//7Z998AZ&#10;BmFb0TurGn5WyB83b9+sR1+r0nWubxUwArFYj77hXQi+zjKUnRoEzpxXlpLawSACuXDIWhAjoQ99&#10;Vub5MhsdtB6cVIgUfbok+Sbha61k+Ko1qsD6hhO3kF5I7z6+2WYt6gMI3xl5pSH+gcUgjKWmr1BP&#10;Igh2BPMX1GAkOHQ6zKQbMqe1kSppIDVF/oeal054lbTQcNC/jgn/H6z8cnrxO6AxjB5rJDOqmDQM&#10;8Uv82NTwxbLK5xVt8tzw+XJe5ovqMjg1BSapoJivivKh4kxSRbmqVkWabHZD8oDhk3IDi0bDgRaT&#10;5iVOzxioO5X+KomNrduavk/L6e1vASqMkexGN1ph2k/MtMQkEouRvWvPO2Do5dZQy2eBYSeAdltw&#10;NtK+G44/jgIUZ/1nSwNdFYuSBITkLKr3OV0L3Gf29xlhZefojAJnF/NjSEd1ofrhGJw2SdaNypUz&#10;7TGpvd5cPJR7P1Xd/ozNTwAAAP//AwBQSwMEFAAGAAgAAAAhAJLce8/aAAAACAEAAA8AAABkcnMv&#10;ZG93bnJldi54bWxMjzFPwzAQhXck/oN1SGzUblRCFeJUCMHQkZSB0Y2PJMI+R7bTpv+e6wTT6e49&#10;vftevVu8EyeMaQykYb1SIJC6YEfqNXwe3h+2IFI2ZI0LhBoumGDX3N7UprLhTB94anMvOIRSZTQM&#10;OU+VlKkb0Ju0ChMSa98hepN5jb200Zw53DtZKFVKb0biD4OZ8HXA7qedvYYJnZ3dplVfnXyLtC73&#10;B3l51Pr+bnl5BpFxyX9muOIzOjTMdAwz2SScBk5nJ9+3PFkvNqoEcdRQPhUgm1r+L9D8AgAA//8D&#10;AFBLAQItABQABgAIAAAAIQC2gziS/gAAAOEBAAATAAAAAAAAAAAAAAAAAAAAAABbQ29udGVudF9U&#10;eXBlc10ueG1sUEsBAi0AFAAGAAgAAAAhADj9If/WAAAAlAEAAAsAAAAAAAAAAAAAAAAALwEAAF9y&#10;ZWxzLy5yZWxzUEsBAi0AFAAGAAgAAAAhAFBcRk6/AQAAYQMAAA4AAAAAAAAAAAAAAAAALgIAAGRy&#10;cy9lMm9Eb2MueG1sUEsBAi0AFAAGAAgAAAAhAJLce8/aAAAACAEAAA8AAAAAAAAAAAAAAAAAGQQA&#10;AGRycy9kb3ducmV2LnhtbFBLBQYAAAAABAAEAPMAAAAgBQAAAAA=&#10;" filled="f" stroked="f">
              <v:textbox inset="2.53958mm,1.2694mm,2.53958mm,1.2694mm">
                <w:txbxContent>
                  <w:p w14:paraId="1AC29C5D" w14:textId="77777777" w:rsidR="00407F8E" w:rsidRDefault="00000000">
                    <w:pPr>
                      <w:spacing w:line="240" w:lineRule="auto"/>
                      <w:ind w:firstLine="0"/>
                      <w:jc w:val="left"/>
                      <w:textDirection w:val="btLr"/>
                    </w:pPr>
                    <w:r>
                      <w:rPr>
                        <w:rFonts w:ascii="Arial" w:eastAsia="Arial" w:hAnsi="Arial" w:cs="Arial"/>
                        <w:color w:val="000000"/>
                        <w:sz w:val="28"/>
                      </w:rPr>
                      <w:t>20º Congresso</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4A33D02B" wp14:editId="40C5EA85">
              <wp:simplePos x="0" y="0"/>
              <wp:positionH relativeFrom="column">
                <wp:posOffset>393700</wp:posOffset>
              </wp:positionH>
              <wp:positionV relativeFrom="paragraph">
                <wp:posOffset>342900</wp:posOffset>
              </wp:positionV>
              <wp:extent cx="1110615" cy="276225"/>
              <wp:effectExtent l="0" t="0" r="0" b="0"/>
              <wp:wrapNone/>
              <wp:docPr id="219" name="Retângulo 219"/>
              <wp:cNvGraphicFramePr/>
              <a:graphic xmlns:a="http://schemas.openxmlformats.org/drawingml/2006/main">
                <a:graphicData uri="http://schemas.microsoft.com/office/word/2010/wordprocessingShape">
                  <wps:wsp>
                    <wps:cNvSpPr/>
                    <wps:spPr>
                      <a:xfrm>
                        <a:off x="4795455" y="3646650"/>
                        <a:ext cx="1101090" cy="266700"/>
                      </a:xfrm>
                      <a:prstGeom prst="rect">
                        <a:avLst/>
                      </a:prstGeom>
                      <a:noFill/>
                      <a:ln>
                        <a:noFill/>
                      </a:ln>
                    </wps:spPr>
                    <wps:txbx>
                      <w:txbxContent>
                        <w:p w14:paraId="7CFFA2B9" w14:textId="77777777" w:rsidR="00407F8E" w:rsidRDefault="00000000">
                          <w:pPr>
                            <w:spacing w:line="240" w:lineRule="auto"/>
                            <w:ind w:firstLine="0"/>
                            <w:jc w:val="left"/>
                            <w:textDirection w:val="btLr"/>
                          </w:pPr>
                          <w:r>
                            <w:rPr>
                              <w:rFonts w:ascii="Arial" w:eastAsia="Arial" w:hAnsi="Arial" w:cs="Arial"/>
                              <w:color w:val="000000"/>
                              <w:sz w:val="28"/>
                            </w:rPr>
                            <w:t xml:space="preserve">Brasileiro </w:t>
                          </w:r>
                        </w:p>
                      </w:txbxContent>
                    </wps:txbx>
                    <wps:bodyPr spcFirstLastPara="1" wrap="square" lIns="91425" tIns="45700" rIns="91425" bIns="45700" anchor="t" anchorCtr="0">
                      <a:noAutofit/>
                    </wps:bodyPr>
                  </wps:wsp>
                </a:graphicData>
              </a:graphic>
            </wp:anchor>
          </w:drawing>
        </mc:Choice>
        <mc:Fallback>
          <w:pict>
            <v:rect w14:anchorId="4A33D02B" id="Retângulo 219" o:spid="_x0000_s1028" style="position:absolute;left:0;text-align:left;margin-left:31pt;margin-top:27pt;width:87.4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z9vQEAAGEDAAAOAAAAZHJzL2Uyb0RvYy54bWysU9uO0zAQfUfiHyy/0yQlzdKo6QqxKkJa&#10;QaVlP8B17MZSYpsZt0n/nrHb3RZ4W/HizE1nzpmZrO6noWdHBWicbXgxyzlTVrrW2H3Dn39uPnzi&#10;DIOwreidVQ0/KeT36/fvVqOv1dx1rm8VMAKxWI++4V0Ivs4ylJ0aBM6cV5aS2sEgArmwz1oQI6EP&#10;fTbP8yobHbQenFSIFH04J/k64WutZPihNarA+oYTt5BeSO8uvtl6Jeo9CN8ZeaEh3sBiEMZS01eo&#10;BxEEO4D5B2owEhw6HWbSDZnT2kiVNJCaIv9LzVMnvEpaaDjoX8eE/w9Wfj8++S3QGEaPNZIZVUwa&#10;hvglfmxqeHm3XJSLBWenhn+syqpaXAanpsAkFRQFkV/SfCVVzKvqLk8F2RXJA4avyg0sGg0HWkya&#10;lzg+YqDuVPpSEhtbtzF9n5bT2z8CVBgj2ZVutMK0m5hpqXncaIzsXHvaAkMvN4ZaPgoMWwG024Kz&#10;kfbdcPx1EKA4679ZGuiyKOekMCSnXEQFDG4zu9uMsLJzdEaBs7P5JaSjOlP9fAhOmyTrSuXCmfaY&#10;1F5uLh7KrZ+qrn/G+jcAAAD//wMAUEsDBBQABgAIAAAAIQBWd5J/3AAAAAgBAAAPAAAAZHJzL2Rv&#10;d25yZXYueG1sTI/BTsMwEETvSPyDtUjcqNPQBBriVAjBgSNpDxzdeEki7HVkO2369ywnOI1Ws5p5&#10;U+8WZ8UJQxw9KVivMhBInTcj9QoO+7e7RxAxaTLaekIFF4ywa66val0Zf6YPPLWpFxxCsdIKhpSm&#10;SsrYDeh0XPkJib0vH5xOfIZemqDPHO6szLOslE6PxA2DnvBlwO67nZ2CCa2Z7abNPjv5Gmhdvu/l&#10;pVDq9mZ5fgKRcEl/z/CLz+jQMNPRz2SisArKnKckBcWGlf38vtyCOCrYPhQgm1r+H9D8AAAA//8D&#10;AFBLAQItABQABgAIAAAAIQC2gziS/gAAAOEBAAATAAAAAAAAAAAAAAAAAAAAAABbQ29udGVudF9U&#10;eXBlc10ueG1sUEsBAi0AFAAGAAgAAAAhADj9If/WAAAAlAEAAAsAAAAAAAAAAAAAAAAALwEAAF9y&#10;ZWxzLy5yZWxzUEsBAi0AFAAGAAgAAAAhANKM3P29AQAAYQMAAA4AAAAAAAAAAAAAAAAALgIAAGRy&#10;cy9lMm9Eb2MueG1sUEsBAi0AFAAGAAgAAAAhAFZ3kn/cAAAACAEAAA8AAAAAAAAAAAAAAAAAFwQA&#10;AGRycy9kb3ducmV2LnhtbFBLBQYAAAAABAAEAPMAAAAgBQAAAAA=&#10;" filled="f" stroked="f">
              <v:textbox inset="2.53958mm,1.2694mm,2.53958mm,1.2694mm">
                <w:txbxContent>
                  <w:p w14:paraId="7CFFA2B9" w14:textId="77777777" w:rsidR="00407F8E" w:rsidRDefault="00000000">
                    <w:pPr>
                      <w:spacing w:line="240" w:lineRule="auto"/>
                      <w:ind w:firstLine="0"/>
                      <w:jc w:val="left"/>
                      <w:textDirection w:val="btLr"/>
                    </w:pPr>
                    <w:r>
                      <w:rPr>
                        <w:rFonts w:ascii="Arial" w:eastAsia="Arial" w:hAnsi="Arial" w:cs="Arial"/>
                        <w:color w:val="000000"/>
                        <w:sz w:val="28"/>
                      </w:rPr>
                      <w:t xml:space="preserve">Brasileiro </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03C2D58C" wp14:editId="64871E8B">
              <wp:simplePos x="0" y="0"/>
              <wp:positionH relativeFrom="column">
                <wp:posOffset>355600</wp:posOffset>
              </wp:positionH>
              <wp:positionV relativeFrom="paragraph">
                <wp:posOffset>558800</wp:posOffset>
              </wp:positionV>
              <wp:extent cx="1110615" cy="305435"/>
              <wp:effectExtent l="0" t="0" r="0" b="0"/>
              <wp:wrapNone/>
              <wp:docPr id="221" name="Retângulo 221"/>
              <wp:cNvGraphicFramePr/>
              <a:graphic xmlns:a="http://schemas.openxmlformats.org/drawingml/2006/main">
                <a:graphicData uri="http://schemas.microsoft.com/office/word/2010/wordprocessingShape">
                  <wps:wsp>
                    <wps:cNvSpPr/>
                    <wps:spPr>
                      <a:xfrm>
                        <a:off x="4795455" y="3632045"/>
                        <a:ext cx="1101090" cy="295910"/>
                      </a:xfrm>
                      <a:prstGeom prst="rect">
                        <a:avLst/>
                      </a:prstGeom>
                      <a:noFill/>
                      <a:ln>
                        <a:noFill/>
                      </a:ln>
                    </wps:spPr>
                    <wps:txbx>
                      <w:txbxContent>
                        <w:p w14:paraId="406EE32C" w14:textId="77777777" w:rsidR="00407F8E" w:rsidRDefault="00000000">
                          <w:pPr>
                            <w:spacing w:line="240" w:lineRule="auto"/>
                            <w:ind w:firstLine="0"/>
                            <w:jc w:val="left"/>
                            <w:textDirection w:val="btLr"/>
                          </w:pPr>
                          <w:r>
                            <w:rPr>
                              <w:rFonts w:ascii="Arial" w:eastAsia="Arial" w:hAnsi="Arial" w:cs="Arial"/>
                              <w:color w:val="000000"/>
                              <w:sz w:val="18"/>
                            </w:rPr>
                            <w:t>de</w:t>
                          </w:r>
                          <w:r>
                            <w:rPr>
                              <w:rFonts w:ascii="Arial" w:eastAsia="Arial" w:hAnsi="Arial" w:cs="Arial"/>
                              <w:color w:val="000000"/>
                              <w:sz w:val="28"/>
                            </w:rPr>
                            <w:t xml:space="preserve"> Sistemas</w:t>
                          </w:r>
                        </w:p>
                      </w:txbxContent>
                    </wps:txbx>
                    <wps:bodyPr spcFirstLastPara="1" wrap="square" lIns="91425" tIns="45700" rIns="91425" bIns="45700" anchor="t" anchorCtr="0">
                      <a:noAutofit/>
                    </wps:bodyPr>
                  </wps:wsp>
                </a:graphicData>
              </a:graphic>
            </wp:anchor>
          </w:drawing>
        </mc:Choice>
        <mc:Fallback>
          <w:pict>
            <v:rect w14:anchorId="03C2D58C" id="Retângulo 221" o:spid="_x0000_s1029" style="position:absolute;left:0;text-align:left;margin-left:28pt;margin-top:44pt;width:87.45pt;height:24.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MJvgEAAGEDAAAOAAAAZHJzL2Uyb0RvYy54bWysU9uO0zAQfUfiHyy/01w22aVR0xViVYS0&#10;gkoLH+A6dmMpsc2M26R/z9gt2wJviBdnbpo558xk9TiPAzsqQONsy4tFzpmy0nXG7lv+/dvm3XvO&#10;MAjbicFZ1fKTQv64fvtmNflGla53Q6eAUROLzeRb3ofgmyxD2atR4MJ5ZSmpHYwikAv7rAMxUfdx&#10;yMo8v88mB50HJxUiRZ/OSb5O/bVWMnzVGlVgQ8sJW0gvpHcX32y9Es0ehO+NvMAQ/4BiFMbS0NdW&#10;TyIIdgDzV6vRSHDodFhIN2ZOayNV4kBsivwPNi+98CpxIXHQv8qE/6+t/HJ88VsgGSaPDZIZWcwa&#10;xvglfGxuefWwrKu65uzU8rv7uzKv6rNwag5MUkFREPgl6SupolzWyyIpm107ecDwSbmRRaPlQItJ&#10;eonjMwaaTqW/SuJg6zZmGNJyBvtbgApjJLvCjVaYdzMzHcGLwGJk57rTFhh6uTE08llg2Aqg3Rac&#10;TbTvluOPgwDF2fDZkqDLoiqJYUhOVT/kxAZuM7vbjLCyd3RGgbOz+TGkozpD/XAITptE6wrlgpn2&#10;mNhebi4eyq2fqq5/xvonAAAA//8DAFBLAwQUAAYACAAAACEAPK2yHdwAAAAJAQAADwAAAGRycy9k&#10;b3ducmV2LnhtbEyPwU7DMBBE70j8g7VI3KidlkYhjVMhBAeOpBw4uvGSRLXXUey06d+znOC0Gs1o&#10;9k21X7wTZ5ziEEhDtlIgkNpgB+o0fB7eHgoQMRmyxgVCDVeMsK9vbypT2nChDzw3qRNcQrE0GvqU&#10;xlLK2PboTVyFEYm97zB5k1hOnbSTuXC5d3KtVC69GYg/9GbElx7bUzN7DSM6O7vHRn218nWiLH8/&#10;yOtW6/u75XkHIuGS/sLwi8/oUDPTMcxko3AatjlPSRqKgi/76416AnHk4CbPQNaV/L+g/gEAAP//&#10;AwBQSwECLQAUAAYACAAAACEAtoM4kv4AAADhAQAAEwAAAAAAAAAAAAAAAAAAAAAAW0NvbnRlbnRf&#10;VHlwZXNdLnhtbFBLAQItABQABgAIAAAAIQA4/SH/1gAAAJQBAAALAAAAAAAAAAAAAAAAAC8BAABf&#10;cmVscy8ucmVsc1BLAQItABQABgAIAAAAIQBoanMJvgEAAGEDAAAOAAAAAAAAAAAAAAAAAC4CAABk&#10;cnMvZTJvRG9jLnhtbFBLAQItABQABgAIAAAAIQA8rbId3AAAAAkBAAAPAAAAAAAAAAAAAAAAABgE&#10;AABkcnMvZG93bnJldi54bWxQSwUGAAAAAAQABADzAAAAIQUAAAAA&#10;" filled="f" stroked="f">
              <v:textbox inset="2.53958mm,1.2694mm,2.53958mm,1.2694mm">
                <w:txbxContent>
                  <w:p w14:paraId="406EE32C" w14:textId="77777777" w:rsidR="00407F8E" w:rsidRDefault="00000000">
                    <w:pPr>
                      <w:spacing w:line="240" w:lineRule="auto"/>
                      <w:ind w:firstLine="0"/>
                      <w:jc w:val="left"/>
                      <w:textDirection w:val="btLr"/>
                    </w:pPr>
                    <w:r>
                      <w:rPr>
                        <w:rFonts w:ascii="Arial" w:eastAsia="Arial" w:hAnsi="Arial" w:cs="Arial"/>
                        <w:color w:val="000000"/>
                        <w:sz w:val="18"/>
                      </w:rPr>
                      <w:t>de</w:t>
                    </w:r>
                    <w:r>
                      <w:rPr>
                        <w:rFonts w:ascii="Arial" w:eastAsia="Arial" w:hAnsi="Arial" w:cs="Arial"/>
                        <w:color w:val="000000"/>
                        <w:sz w:val="28"/>
                      </w:rPr>
                      <w:t xml:space="preserve"> Sistemas</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72F"/>
    <w:multiLevelType w:val="hybridMultilevel"/>
    <w:tmpl w:val="8298A0E8"/>
    <w:lvl w:ilvl="0" w:tplc="58400086">
      <w:start w:val="3"/>
      <w:numFmt w:val="decimal"/>
      <w:lvlText w:val="%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767E09"/>
    <w:multiLevelType w:val="multilevel"/>
    <w:tmpl w:val="F00ED838"/>
    <w:lvl w:ilvl="0">
      <w:start w:val="1"/>
      <w:numFmt w:val="decimal"/>
      <w:lvlText w:val="%1."/>
      <w:lvlJc w:val="left"/>
      <w:pPr>
        <w:ind w:left="414" w:hanging="314"/>
      </w:pPr>
      <w:rPr>
        <w:u w:val="none"/>
      </w:rPr>
    </w:lvl>
    <w:lvl w:ilvl="1">
      <w:start w:val="1"/>
      <w:numFmt w:val="decimal"/>
      <w:lvlText w:val="%1.%2."/>
      <w:lvlJc w:val="left"/>
      <w:pPr>
        <w:ind w:left="569" w:hanging="469"/>
      </w:pPr>
      <w:rPr>
        <w:u w:val="none"/>
      </w:rPr>
    </w:lvl>
    <w:lvl w:ilvl="2">
      <w:numFmt w:val="bullet"/>
      <w:lvlText w:val="•"/>
      <w:lvlJc w:val="left"/>
      <w:pPr>
        <w:ind w:left="1465" w:hanging="469"/>
      </w:pPr>
      <w:rPr>
        <w:u w:val="none"/>
      </w:rPr>
    </w:lvl>
    <w:lvl w:ilvl="3">
      <w:numFmt w:val="bullet"/>
      <w:lvlText w:val="•"/>
      <w:lvlJc w:val="left"/>
      <w:pPr>
        <w:ind w:left="2370" w:hanging="469"/>
      </w:pPr>
      <w:rPr>
        <w:u w:val="none"/>
      </w:rPr>
    </w:lvl>
    <w:lvl w:ilvl="4">
      <w:numFmt w:val="bullet"/>
      <w:lvlText w:val="•"/>
      <w:lvlJc w:val="left"/>
      <w:pPr>
        <w:ind w:left="3275" w:hanging="469"/>
      </w:pPr>
      <w:rPr>
        <w:u w:val="none"/>
      </w:rPr>
    </w:lvl>
    <w:lvl w:ilvl="5">
      <w:numFmt w:val="bullet"/>
      <w:lvlText w:val="•"/>
      <w:lvlJc w:val="left"/>
      <w:pPr>
        <w:ind w:left="4180" w:hanging="469"/>
      </w:pPr>
      <w:rPr>
        <w:u w:val="none"/>
      </w:rPr>
    </w:lvl>
    <w:lvl w:ilvl="6">
      <w:numFmt w:val="bullet"/>
      <w:lvlText w:val="•"/>
      <w:lvlJc w:val="left"/>
      <w:pPr>
        <w:ind w:left="5085" w:hanging="469"/>
      </w:pPr>
      <w:rPr>
        <w:u w:val="none"/>
      </w:rPr>
    </w:lvl>
    <w:lvl w:ilvl="7">
      <w:numFmt w:val="bullet"/>
      <w:lvlText w:val="•"/>
      <w:lvlJc w:val="left"/>
      <w:pPr>
        <w:ind w:left="5990" w:hanging="469"/>
      </w:pPr>
      <w:rPr>
        <w:u w:val="none"/>
      </w:rPr>
    </w:lvl>
    <w:lvl w:ilvl="8">
      <w:numFmt w:val="bullet"/>
      <w:lvlText w:val="•"/>
      <w:lvlJc w:val="left"/>
      <w:pPr>
        <w:ind w:left="6895" w:hanging="469"/>
      </w:pPr>
      <w:rPr>
        <w:u w:val="none"/>
      </w:rPr>
    </w:lvl>
  </w:abstractNum>
  <w:abstractNum w:abstractNumId="2" w15:restartNumberingAfterBreak="0">
    <w:nsid w:val="0F044D8E"/>
    <w:multiLevelType w:val="multilevel"/>
    <w:tmpl w:val="D2DCD350"/>
    <w:lvl w:ilvl="0">
      <w:start w:val="1"/>
      <w:numFmt w:val="decimal"/>
      <w:lvlText w:val="%1."/>
      <w:lvlJc w:val="left"/>
      <w:pPr>
        <w:ind w:left="414" w:hanging="314"/>
      </w:pPr>
      <w:rPr>
        <w:rFonts w:hint="default"/>
        <w:u w:val="none"/>
      </w:rPr>
    </w:lvl>
    <w:lvl w:ilvl="1">
      <w:start w:val="1"/>
      <w:numFmt w:val="decimal"/>
      <w:lvlText w:val="%1.%2."/>
      <w:lvlJc w:val="left"/>
      <w:pPr>
        <w:ind w:left="569" w:hanging="469"/>
      </w:pPr>
      <w:rPr>
        <w:rFonts w:hint="default"/>
        <w:u w:val="none"/>
      </w:rPr>
    </w:lvl>
    <w:lvl w:ilvl="2">
      <w:numFmt w:val="bullet"/>
      <w:lvlText w:val="•"/>
      <w:lvlJc w:val="left"/>
      <w:pPr>
        <w:ind w:left="1465" w:hanging="469"/>
      </w:pPr>
      <w:rPr>
        <w:rFonts w:hint="default"/>
        <w:u w:val="none"/>
      </w:rPr>
    </w:lvl>
    <w:lvl w:ilvl="3">
      <w:numFmt w:val="bullet"/>
      <w:lvlText w:val="•"/>
      <w:lvlJc w:val="left"/>
      <w:pPr>
        <w:ind w:left="2370" w:hanging="469"/>
      </w:pPr>
      <w:rPr>
        <w:rFonts w:hint="default"/>
        <w:u w:val="none"/>
      </w:rPr>
    </w:lvl>
    <w:lvl w:ilvl="4">
      <w:numFmt w:val="bullet"/>
      <w:lvlText w:val="•"/>
      <w:lvlJc w:val="left"/>
      <w:pPr>
        <w:ind w:left="3275" w:hanging="469"/>
      </w:pPr>
      <w:rPr>
        <w:rFonts w:hint="default"/>
        <w:u w:val="none"/>
      </w:rPr>
    </w:lvl>
    <w:lvl w:ilvl="5">
      <w:numFmt w:val="bullet"/>
      <w:lvlText w:val="•"/>
      <w:lvlJc w:val="left"/>
      <w:pPr>
        <w:ind w:left="4180" w:hanging="469"/>
      </w:pPr>
      <w:rPr>
        <w:rFonts w:hint="default"/>
        <w:u w:val="none"/>
      </w:rPr>
    </w:lvl>
    <w:lvl w:ilvl="6">
      <w:numFmt w:val="bullet"/>
      <w:lvlText w:val="•"/>
      <w:lvlJc w:val="left"/>
      <w:pPr>
        <w:ind w:left="5085" w:hanging="469"/>
      </w:pPr>
      <w:rPr>
        <w:rFonts w:hint="default"/>
        <w:u w:val="none"/>
      </w:rPr>
    </w:lvl>
    <w:lvl w:ilvl="7">
      <w:numFmt w:val="bullet"/>
      <w:lvlText w:val="•"/>
      <w:lvlJc w:val="left"/>
      <w:pPr>
        <w:ind w:left="5990" w:hanging="469"/>
      </w:pPr>
      <w:rPr>
        <w:rFonts w:hint="default"/>
        <w:u w:val="none"/>
      </w:rPr>
    </w:lvl>
    <w:lvl w:ilvl="8">
      <w:numFmt w:val="bullet"/>
      <w:lvlText w:val="•"/>
      <w:lvlJc w:val="left"/>
      <w:pPr>
        <w:ind w:left="6895" w:hanging="469"/>
      </w:pPr>
      <w:rPr>
        <w:rFonts w:hint="default"/>
        <w:u w:val="none"/>
      </w:rPr>
    </w:lvl>
  </w:abstractNum>
  <w:abstractNum w:abstractNumId="3" w15:restartNumberingAfterBreak="0">
    <w:nsid w:val="16950BEB"/>
    <w:multiLevelType w:val="multilevel"/>
    <w:tmpl w:val="CD6C551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86616A"/>
    <w:multiLevelType w:val="multilevel"/>
    <w:tmpl w:val="B5368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782551"/>
    <w:multiLevelType w:val="multilevel"/>
    <w:tmpl w:val="961C50A2"/>
    <w:lvl w:ilvl="0">
      <w:start w:val="3"/>
      <w:numFmt w:val="decimal"/>
      <w:lvlText w:val="%1."/>
      <w:lvlJc w:val="left"/>
      <w:pPr>
        <w:ind w:left="414" w:hanging="314"/>
      </w:pPr>
      <w:rPr>
        <w:rFonts w:hint="default"/>
        <w:u w:val="none"/>
      </w:rPr>
    </w:lvl>
    <w:lvl w:ilvl="1">
      <w:start w:val="1"/>
      <w:numFmt w:val="decimal"/>
      <w:lvlText w:val="%1.%2."/>
      <w:lvlJc w:val="left"/>
      <w:pPr>
        <w:ind w:left="569" w:hanging="469"/>
      </w:pPr>
      <w:rPr>
        <w:rFonts w:hint="default"/>
        <w:u w:val="none"/>
      </w:rPr>
    </w:lvl>
    <w:lvl w:ilvl="2">
      <w:numFmt w:val="bullet"/>
      <w:lvlText w:val="•"/>
      <w:lvlJc w:val="left"/>
      <w:pPr>
        <w:ind w:left="1465" w:hanging="469"/>
      </w:pPr>
      <w:rPr>
        <w:rFonts w:hint="default"/>
        <w:u w:val="none"/>
      </w:rPr>
    </w:lvl>
    <w:lvl w:ilvl="3">
      <w:numFmt w:val="bullet"/>
      <w:lvlText w:val="•"/>
      <w:lvlJc w:val="left"/>
      <w:pPr>
        <w:ind w:left="2370" w:hanging="469"/>
      </w:pPr>
      <w:rPr>
        <w:rFonts w:hint="default"/>
        <w:u w:val="none"/>
      </w:rPr>
    </w:lvl>
    <w:lvl w:ilvl="4">
      <w:numFmt w:val="bullet"/>
      <w:lvlText w:val="•"/>
      <w:lvlJc w:val="left"/>
      <w:pPr>
        <w:ind w:left="3275" w:hanging="469"/>
      </w:pPr>
      <w:rPr>
        <w:rFonts w:hint="default"/>
        <w:u w:val="none"/>
      </w:rPr>
    </w:lvl>
    <w:lvl w:ilvl="5">
      <w:numFmt w:val="bullet"/>
      <w:lvlText w:val="•"/>
      <w:lvlJc w:val="left"/>
      <w:pPr>
        <w:ind w:left="4180" w:hanging="469"/>
      </w:pPr>
      <w:rPr>
        <w:rFonts w:hint="default"/>
        <w:u w:val="none"/>
      </w:rPr>
    </w:lvl>
    <w:lvl w:ilvl="6">
      <w:numFmt w:val="bullet"/>
      <w:lvlText w:val="•"/>
      <w:lvlJc w:val="left"/>
      <w:pPr>
        <w:ind w:left="5085" w:hanging="469"/>
      </w:pPr>
      <w:rPr>
        <w:rFonts w:hint="default"/>
        <w:u w:val="none"/>
      </w:rPr>
    </w:lvl>
    <w:lvl w:ilvl="7">
      <w:numFmt w:val="bullet"/>
      <w:lvlText w:val="•"/>
      <w:lvlJc w:val="left"/>
      <w:pPr>
        <w:ind w:left="5990" w:hanging="469"/>
      </w:pPr>
      <w:rPr>
        <w:rFonts w:hint="default"/>
        <w:u w:val="none"/>
      </w:rPr>
    </w:lvl>
    <w:lvl w:ilvl="8">
      <w:numFmt w:val="bullet"/>
      <w:lvlText w:val="•"/>
      <w:lvlJc w:val="left"/>
      <w:pPr>
        <w:ind w:left="6895" w:hanging="469"/>
      </w:pPr>
      <w:rPr>
        <w:rFonts w:hint="default"/>
        <w:u w:val="none"/>
      </w:rPr>
    </w:lvl>
  </w:abstractNum>
  <w:abstractNum w:abstractNumId="6" w15:restartNumberingAfterBreak="0">
    <w:nsid w:val="4167576C"/>
    <w:multiLevelType w:val="hybridMultilevel"/>
    <w:tmpl w:val="39B42572"/>
    <w:lvl w:ilvl="0" w:tplc="FE56C96C">
      <w:start w:val="1"/>
      <w:numFmt w:val="decimal"/>
      <w:lvlText w:val="%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7415358"/>
    <w:multiLevelType w:val="multilevel"/>
    <w:tmpl w:val="509A9DB4"/>
    <w:lvl w:ilvl="0">
      <w:start w:val="1"/>
      <w:numFmt w:val="decimal"/>
      <w:lvlText w:val="%1."/>
      <w:lvlJc w:val="left"/>
      <w:pPr>
        <w:ind w:left="414" w:hanging="314"/>
      </w:pPr>
      <w:rPr>
        <w:rFonts w:hint="default"/>
        <w:u w:val="none"/>
      </w:rPr>
    </w:lvl>
    <w:lvl w:ilvl="1">
      <w:start w:val="1"/>
      <w:numFmt w:val="decimal"/>
      <w:lvlText w:val="%1.%2."/>
      <w:lvlJc w:val="left"/>
      <w:pPr>
        <w:ind w:left="569" w:hanging="469"/>
      </w:pPr>
      <w:rPr>
        <w:rFonts w:hint="default"/>
        <w:u w:val="none"/>
      </w:rPr>
    </w:lvl>
    <w:lvl w:ilvl="2">
      <w:numFmt w:val="bullet"/>
      <w:lvlText w:val="•"/>
      <w:lvlJc w:val="left"/>
      <w:pPr>
        <w:ind w:left="1465" w:hanging="469"/>
      </w:pPr>
      <w:rPr>
        <w:rFonts w:hint="default"/>
        <w:u w:val="none"/>
      </w:rPr>
    </w:lvl>
    <w:lvl w:ilvl="3">
      <w:numFmt w:val="bullet"/>
      <w:lvlText w:val="•"/>
      <w:lvlJc w:val="left"/>
      <w:pPr>
        <w:ind w:left="2370" w:hanging="469"/>
      </w:pPr>
      <w:rPr>
        <w:rFonts w:hint="default"/>
        <w:u w:val="none"/>
      </w:rPr>
    </w:lvl>
    <w:lvl w:ilvl="4">
      <w:numFmt w:val="bullet"/>
      <w:lvlText w:val="•"/>
      <w:lvlJc w:val="left"/>
      <w:pPr>
        <w:ind w:left="3275" w:hanging="469"/>
      </w:pPr>
      <w:rPr>
        <w:rFonts w:hint="default"/>
        <w:u w:val="none"/>
      </w:rPr>
    </w:lvl>
    <w:lvl w:ilvl="5">
      <w:numFmt w:val="bullet"/>
      <w:lvlText w:val="•"/>
      <w:lvlJc w:val="left"/>
      <w:pPr>
        <w:ind w:left="4180" w:hanging="469"/>
      </w:pPr>
      <w:rPr>
        <w:rFonts w:hint="default"/>
        <w:u w:val="none"/>
      </w:rPr>
    </w:lvl>
    <w:lvl w:ilvl="6">
      <w:numFmt w:val="bullet"/>
      <w:lvlText w:val="•"/>
      <w:lvlJc w:val="left"/>
      <w:pPr>
        <w:ind w:left="5085" w:hanging="469"/>
      </w:pPr>
      <w:rPr>
        <w:rFonts w:hint="default"/>
        <w:u w:val="none"/>
      </w:rPr>
    </w:lvl>
    <w:lvl w:ilvl="7">
      <w:numFmt w:val="bullet"/>
      <w:lvlText w:val="•"/>
      <w:lvlJc w:val="left"/>
      <w:pPr>
        <w:ind w:left="5990" w:hanging="469"/>
      </w:pPr>
      <w:rPr>
        <w:rFonts w:hint="default"/>
        <w:u w:val="none"/>
      </w:rPr>
    </w:lvl>
    <w:lvl w:ilvl="8">
      <w:numFmt w:val="bullet"/>
      <w:lvlText w:val="•"/>
      <w:lvlJc w:val="left"/>
      <w:pPr>
        <w:ind w:left="6895" w:hanging="469"/>
      </w:pPr>
      <w:rPr>
        <w:rFonts w:hint="default"/>
        <w:u w:val="none"/>
      </w:rPr>
    </w:lvl>
  </w:abstractNum>
  <w:abstractNum w:abstractNumId="8" w15:restartNumberingAfterBreak="0">
    <w:nsid w:val="4E7642F3"/>
    <w:multiLevelType w:val="hybridMultilevel"/>
    <w:tmpl w:val="6C1A81B8"/>
    <w:lvl w:ilvl="0" w:tplc="04160001">
      <w:start w:val="1"/>
      <w:numFmt w:val="bullet"/>
      <w:lvlText w:val=""/>
      <w:lvlJc w:val="left"/>
      <w:pPr>
        <w:ind w:left="1540" w:hanging="360"/>
      </w:pPr>
      <w:rPr>
        <w:rFonts w:ascii="Symbol" w:hAnsi="Symbol" w:hint="default"/>
      </w:rPr>
    </w:lvl>
    <w:lvl w:ilvl="1" w:tplc="04160003" w:tentative="1">
      <w:start w:val="1"/>
      <w:numFmt w:val="bullet"/>
      <w:lvlText w:val="o"/>
      <w:lvlJc w:val="left"/>
      <w:pPr>
        <w:ind w:left="2260" w:hanging="360"/>
      </w:pPr>
      <w:rPr>
        <w:rFonts w:ascii="Courier New" w:hAnsi="Courier New" w:cs="Courier New" w:hint="default"/>
      </w:rPr>
    </w:lvl>
    <w:lvl w:ilvl="2" w:tplc="04160005" w:tentative="1">
      <w:start w:val="1"/>
      <w:numFmt w:val="bullet"/>
      <w:lvlText w:val=""/>
      <w:lvlJc w:val="left"/>
      <w:pPr>
        <w:ind w:left="2980" w:hanging="360"/>
      </w:pPr>
      <w:rPr>
        <w:rFonts w:ascii="Wingdings" w:hAnsi="Wingdings" w:hint="default"/>
      </w:rPr>
    </w:lvl>
    <w:lvl w:ilvl="3" w:tplc="04160001" w:tentative="1">
      <w:start w:val="1"/>
      <w:numFmt w:val="bullet"/>
      <w:lvlText w:val=""/>
      <w:lvlJc w:val="left"/>
      <w:pPr>
        <w:ind w:left="3700" w:hanging="360"/>
      </w:pPr>
      <w:rPr>
        <w:rFonts w:ascii="Symbol" w:hAnsi="Symbol" w:hint="default"/>
      </w:rPr>
    </w:lvl>
    <w:lvl w:ilvl="4" w:tplc="04160003" w:tentative="1">
      <w:start w:val="1"/>
      <w:numFmt w:val="bullet"/>
      <w:lvlText w:val="o"/>
      <w:lvlJc w:val="left"/>
      <w:pPr>
        <w:ind w:left="4420" w:hanging="360"/>
      </w:pPr>
      <w:rPr>
        <w:rFonts w:ascii="Courier New" w:hAnsi="Courier New" w:cs="Courier New" w:hint="default"/>
      </w:rPr>
    </w:lvl>
    <w:lvl w:ilvl="5" w:tplc="04160005" w:tentative="1">
      <w:start w:val="1"/>
      <w:numFmt w:val="bullet"/>
      <w:lvlText w:val=""/>
      <w:lvlJc w:val="left"/>
      <w:pPr>
        <w:ind w:left="5140" w:hanging="360"/>
      </w:pPr>
      <w:rPr>
        <w:rFonts w:ascii="Wingdings" w:hAnsi="Wingdings" w:hint="default"/>
      </w:rPr>
    </w:lvl>
    <w:lvl w:ilvl="6" w:tplc="04160001" w:tentative="1">
      <w:start w:val="1"/>
      <w:numFmt w:val="bullet"/>
      <w:lvlText w:val=""/>
      <w:lvlJc w:val="left"/>
      <w:pPr>
        <w:ind w:left="5860" w:hanging="360"/>
      </w:pPr>
      <w:rPr>
        <w:rFonts w:ascii="Symbol" w:hAnsi="Symbol" w:hint="default"/>
      </w:rPr>
    </w:lvl>
    <w:lvl w:ilvl="7" w:tplc="04160003" w:tentative="1">
      <w:start w:val="1"/>
      <w:numFmt w:val="bullet"/>
      <w:lvlText w:val="o"/>
      <w:lvlJc w:val="left"/>
      <w:pPr>
        <w:ind w:left="6580" w:hanging="360"/>
      </w:pPr>
      <w:rPr>
        <w:rFonts w:ascii="Courier New" w:hAnsi="Courier New" w:cs="Courier New" w:hint="default"/>
      </w:rPr>
    </w:lvl>
    <w:lvl w:ilvl="8" w:tplc="04160005" w:tentative="1">
      <w:start w:val="1"/>
      <w:numFmt w:val="bullet"/>
      <w:lvlText w:val=""/>
      <w:lvlJc w:val="left"/>
      <w:pPr>
        <w:ind w:left="7300" w:hanging="360"/>
      </w:pPr>
      <w:rPr>
        <w:rFonts w:ascii="Wingdings" w:hAnsi="Wingdings" w:hint="default"/>
      </w:rPr>
    </w:lvl>
  </w:abstractNum>
  <w:abstractNum w:abstractNumId="9" w15:restartNumberingAfterBreak="0">
    <w:nsid w:val="5478523A"/>
    <w:multiLevelType w:val="hybridMultilevel"/>
    <w:tmpl w:val="A69C3526"/>
    <w:lvl w:ilvl="0" w:tplc="04160001">
      <w:start w:val="1"/>
      <w:numFmt w:val="bullet"/>
      <w:lvlText w:val=""/>
      <w:lvlJc w:val="left"/>
      <w:pPr>
        <w:ind w:left="1540" w:hanging="360"/>
      </w:pPr>
      <w:rPr>
        <w:rFonts w:ascii="Symbol" w:hAnsi="Symbol" w:hint="default"/>
      </w:rPr>
    </w:lvl>
    <w:lvl w:ilvl="1" w:tplc="04160003" w:tentative="1">
      <w:start w:val="1"/>
      <w:numFmt w:val="bullet"/>
      <w:lvlText w:val="o"/>
      <w:lvlJc w:val="left"/>
      <w:pPr>
        <w:ind w:left="2260" w:hanging="360"/>
      </w:pPr>
      <w:rPr>
        <w:rFonts w:ascii="Courier New" w:hAnsi="Courier New" w:cs="Courier New" w:hint="default"/>
      </w:rPr>
    </w:lvl>
    <w:lvl w:ilvl="2" w:tplc="04160005" w:tentative="1">
      <w:start w:val="1"/>
      <w:numFmt w:val="bullet"/>
      <w:lvlText w:val=""/>
      <w:lvlJc w:val="left"/>
      <w:pPr>
        <w:ind w:left="2980" w:hanging="360"/>
      </w:pPr>
      <w:rPr>
        <w:rFonts w:ascii="Wingdings" w:hAnsi="Wingdings" w:hint="default"/>
      </w:rPr>
    </w:lvl>
    <w:lvl w:ilvl="3" w:tplc="04160001" w:tentative="1">
      <w:start w:val="1"/>
      <w:numFmt w:val="bullet"/>
      <w:lvlText w:val=""/>
      <w:lvlJc w:val="left"/>
      <w:pPr>
        <w:ind w:left="3700" w:hanging="360"/>
      </w:pPr>
      <w:rPr>
        <w:rFonts w:ascii="Symbol" w:hAnsi="Symbol" w:hint="default"/>
      </w:rPr>
    </w:lvl>
    <w:lvl w:ilvl="4" w:tplc="04160003" w:tentative="1">
      <w:start w:val="1"/>
      <w:numFmt w:val="bullet"/>
      <w:lvlText w:val="o"/>
      <w:lvlJc w:val="left"/>
      <w:pPr>
        <w:ind w:left="4420" w:hanging="360"/>
      </w:pPr>
      <w:rPr>
        <w:rFonts w:ascii="Courier New" w:hAnsi="Courier New" w:cs="Courier New" w:hint="default"/>
      </w:rPr>
    </w:lvl>
    <w:lvl w:ilvl="5" w:tplc="04160005" w:tentative="1">
      <w:start w:val="1"/>
      <w:numFmt w:val="bullet"/>
      <w:lvlText w:val=""/>
      <w:lvlJc w:val="left"/>
      <w:pPr>
        <w:ind w:left="5140" w:hanging="360"/>
      </w:pPr>
      <w:rPr>
        <w:rFonts w:ascii="Wingdings" w:hAnsi="Wingdings" w:hint="default"/>
      </w:rPr>
    </w:lvl>
    <w:lvl w:ilvl="6" w:tplc="04160001" w:tentative="1">
      <w:start w:val="1"/>
      <w:numFmt w:val="bullet"/>
      <w:lvlText w:val=""/>
      <w:lvlJc w:val="left"/>
      <w:pPr>
        <w:ind w:left="5860" w:hanging="360"/>
      </w:pPr>
      <w:rPr>
        <w:rFonts w:ascii="Symbol" w:hAnsi="Symbol" w:hint="default"/>
      </w:rPr>
    </w:lvl>
    <w:lvl w:ilvl="7" w:tplc="04160003" w:tentative="1">
      <w:start w:val="1"/>
      <w:numFmt w:val="bullet"/>
      <w:lvlText w:val="o"/>
      <w:lvlJc w:val="left"/>
      <w:pPr>
        <w:ind w:left="6580" w:hanging="360"/>
      </w:pPr>
      <w:rPr>
        <w:rFonts w:ascii="Courier New" w:hAnsi="Courier New" w:cs="Courier New" w:hint="default"/>
      </w:rPr>
    </w:lvl>
    <w:lvl w:ilvl="8" w:tplc="04160005" w:tentative="1">
      <w:start w:val="1"/>
      <w:numFmt w:val="bullet"/>
      <w:lvlText w:val=""/>
      <w:lvlJc w:val="left"/>
      <w:pPr>
        <w:ind w:left="7300" w:hanging="360"/>
      </w:pPr>
      <w:rPr>
        <w:rFonts w:ascii="Wingdings" w:hAnsi="Wingdings" w:hint="default"/>
      </w:rPr>
    </w:lvl>
  </w:abstractNum>
  <w:abstractNum w:abstractNumId="10" w15:restartNumberingAfterBreak="0">
    <w:nsid w:val="5E856F56"/>
    <w:multiLevelType w:val="multilevel"/>
    <w:tmpl w:val="84148E5E"/>
    <w:lvl w:ilvl="0">
      <w:start w:val="2"/>
      <w:numFmt w:val="decimal"/>
      <w:lvlText w:val="%1."/>
      <w:lvlJc w:val="left"/>
      <w:pPr>
        <w:ind w:left="360" w:hanging="360"/>
      </w:pPr>
      <w:rPr>
        <w:rFonts w:hint="default"/>
        <w:b/>
        <w:bCs w:val="0"/>
      </w:rPr>
    </w:lvl>
    <w:lvl w:ilvl="1">
      <w:start w:val="1"/>
      <w:numFmt w:val="decimal"/>
      <w:lvlText w:val="%1.%2."/>
      <w:lvlJc w:val="left"/>
      <w:pPr>
        <w:ind w:left="1440" w:hanging="360"/>
      </w:pPr>
      <w:rPr>
        <w:rFonts w:hint="default"/>
        <w:b/>
        <w:bCs w:val="0"/>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1" w15:restartNumberingAfterBreak="0">
    <w:nsid w:val="5F7A1CEE"/>
    <w:multiLevelType w:val="multilevel"/>
    <w:tmpl w:val="2A44DB5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847BCC"/>
    <w:multiLevelType w:val="hybridMultilevel"/>
    <w:tmpl w:val="13445FFE"/>
    <w:lvl w:ilvl="0" w:tplc="04160001">
      <w:start w:val="1"/>
      <w:numFmt w:val="bullet"/>
      <w:lvlText w:val=""/>
      <w:lvlJc w:val="left"/>
      <w:pPr>
        <w:ind w:left="1540" w:hanging="360"/>
      </w:pPr>
      <w:rPr>
        <w:rFonts w:ascii="Symbol" w:hAnsi="Symbol" w:hint="default"/>
      </w:rPr>
    </w:lvl>
    <w:lvl w:ilvl="1" w:tplc="04160003" w:tentative="1">
      <w:start w:val="1"/>
      <w:numFmt w:val="bullet"/>
      <w:lvlText w:val="o"/>
      <w:lvlJc w:val="left"/>
      <w:pPr>
        <w:ind w:left="2260" w:hanging="360"/>
      </w:pPr>
      <w:rPr>
        <w:rFonts w:ascii="Courier New" w:hAnsi="Courier New" w:cs="Courier New" w:hint="default"/>
      </w:rPr>
    </w:lvl>
    <w:lvl w:ilvl="2" w:tplc="04160005" w:tentative="1">
      <w:start w:val="1"/>
      <w:numFmt w:val="bullet"/>
      <w:lvlText w:val=""/>
      <w:lvlJc w:val="left"/>
      <w:pPr>
        <w:ind w:left="2980" w:hanging="360"/>
      </w:pPr>
      <w:rPr>
        <w:rFonts w:ascii="Wingdings" w:hAnsi="Wingdings" w:hint="default"/>
      </w:rPr>
    </w:lvl>
    <w:lvl w:ilvl="3" w:tplc="04160001" w:tentative="1">
      <w:start w:val="1"/>
      <w:numFmt w:val="bullet"/>
      <w:lvlText w:val=""/>
      <w:lvlJc w:val="left"/>
      <w:pPr>
        <w:ind w:left="3700" w:hanging="360"/>
      </w:pPr>
      <w:rPr>
        <w:rFonts w:ascii="Symbol" w:hAnsi="Symbol" w:hint="default"/>
      </w:rPr>
    </w:lvl>
    <w:lvl w:ilvl="4" w:tplc="04160003" w:tentative="1">
      <w:start w:val="1"/>
      <w:numFmt w:val="bullet"/>
      <w:lvlText w:val="o"/>
      <w:lvlJc w:val="left"/>
      <w:pPr>
        <w:ind w:left="4420" w:hanging="360"/>
      </w:pPr>
      <w:rPr>
        <w:rFonts w:ascii="Courier New" w:hAnsi="Courier New" w:cs="Courier New" w:hint="default"/>
      </w:rPr>
    </w:lvl>
    <w:lvl w:ilvl="5" w:tplc="04160005" w:tentative="1">
      <w:start w:val="1"/>
      <w:numFmt w:val="bullet"/>
      <w:lvlText w:val=""/>
      <w:lvlJc w:val="left"/>
      <w:pPr>
        <w:ind w:left="5140" w:hanging="360"/>
      </w:pPr>
      <w:rPr>
        <w:rFonts w:ascii="Wingdings" w:hAnsi="Wingdings" w:hint="default"/>
      </w:rPr>
    </w:lvl>
    <w:lvl w:ilvl="6" w:tplc="04160001" w:tentative="1">
      <w:start w:val="1"/>
      <w:numFmt w:val="bullet"/>
      <w:lvlText w:val=""/>
      <w:lvlJc w:val="left"/>
      <w:pPr>
        <w:ind w:left="5860" w:hanging="360"/>
      </w:pPr>
      <w:rPr>
        <w:rFonts w:ascii="Symbol" w:hAnsi="Symbol" w:hint="default"/>
      </w:rPr>
    </w:lvl>
    <w:lvl w:ilvl="7" w:tplc="04160003" w:tentative="1">
      <w:start w:val="1"/>
      <w:numFmt w:val="bullet"/>
      <w:lvlText w:val="o"/>
      <w:lvlJc w:val="left"/>
      <w:pPr>
        <w:ind w:left="6580" w:hanging="360"/>
      </w:pPr>
      <w:rPr>
        <w:rFonts w:ascii="Courier New" w:hAnsi="Courier New" w:cs="Courier New" w:hint="default"/>
      </w:rPr>
    </w:lvl>
    <w:lvl w:ilvl="8" w:tplc="04160005" w:tentative="1">
      <w:start w:val="1"/>
      <w:numFmt w:val="bullet"/>
      <w:lvlText w:val=""/>
      <w:lvlJc w:val="left"/>
      <w:pPr>
        <w:ind w:left="7300" w:hanging="360"/>
      </w:pPr>
      <w:rPr>
        <w:rFonts w:ascii="Wingdings" w:hAnsi="Wingdings" w:hint="default"/>
      </w:rPr>
    </w:lvl>
  </w:abstractNum>
  <w:num w:numId="1" w16cid:durableId="2105418980">
    <w:abstractNumId w:val="7"/>
  </w:num>
  <w:num w:numId="2" w16cid:durableId="429664315">
    <w:abstractNumId w:val="4"/>
  </w:num>
  <w:num w:numId="3" w16cid:durableId="1378814985">
    <w:abstractNumId w:val="12"/>
  </w:num>
  <w:num w:numId="4" w16cid:durableId="236280549">
    <w:abstractNumId w:val="9"/>
  </w:num>
  <w:num w:numId="5" w16cid:durableId="2117093669">
    <w:abstractNumId w:val="8"/>
  </w:num>
  <w:num w:numId="6" w16cid:durableId="1013730203">
    <w:abstractNumId w:val="6"/>
  </w:num>
  <w:num w:numId="7" w16cid:durableId="784277635">
    <w:abstractNumId w:val="0"/>
  </w:num>
  <w:num w:numId="8" w16cid:durableId="1610815954">
    <w:abstractNumId w:val="5"/>
  </w:num>
  <w:num w:numId="9" w16cid:durableId="600914703">
    <w:abstractNumId w:val="3"/>
  </w:num>
  <w:num w:numId="10" w16cid:durableId="1331567729">
    <w:abstractNumId w:val="11"/>
  </w:num>
  <w:num w:numId="11" w16cid:durableId="1866404121">
    <w:abstractNumId w:val="1"/>
  </w:num>
  <w:num w:numId="12" w16cid:durableId="17387954">
    <w:abstractNumId w:val="2"/>
  </w:num>
  <w:num w:numId="13" w16cid:durableId="208962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8E"/>
    <w:rsid w:val="00016F60"/>
    <w:rsid w:val="00061C26"/>
    <w:rsid w:val="00071E73"/>
    <w:rsid w:val="000D75DF"/>
    <w:rsid w:val="000E62E5"/>
    <w:rsid w:val="001014F5"/>
    <w:rsid w:val="001110EC"/>
    <w:rsid w:val="00184E7C"/>
    <w:rsid w:val="00187266"/>
    <w:rsid w:val="001A3454"/>
    <w:rsid w:val="00211C97"/>
    <w:rsid w:val="002636E3"/>
    <w:rsid w:val="00266D58"/>
    <w:rsid w:val="002B3CCF"/>
    <w:rsid w:val="003849CA"/>
    <w:rsid w:val="003A4E65"/>
    <w:rsid w:val="003B1D0D"/>
    <w:rsid w:val="00407F8E"/>
    <w:rsid w:val="0046620F"/>
    <w:rsid w:val="004E5FFB"/>
    <w:rsid w:val="004F4A85"/>
    <w:rsid w:val="00526B83"/>
    <w:rsid w:val="00544BD3"/>
    <w:rsid w:val="00563C45"/>
    <w:rsid w:val="00570E8F"/>
    <w:rsid w:val="00595702"/>
    <w:rsid w:val="005E1723"/>
    <w:rsid w:val="0062122A"/>
    <w:rsid w:val="006936AF"/>
    <w:rsid w:val="00764B51"/>
    <w:rsid w:val="007811A7"/>
    <w:rsid w:val="007D7901"/>
    <w:rsid w:val="00910650"/>
    <w:rsid w:val="00951087"/>
    <w:rsid w:val="00992A8C"/>
    <w:rsid w:val="009A335C"/>
    <w:rsid w:val="009B490E"/>
    <w:rsid w:val="009F2A89"/>
    <w:rsid w:val="00A5405B"/>
    <w:rsid w:val="00AB2C62"/>
    <w:rsid w:val="00AF24B4"/>
    <w:rsid w:val="00B54AC0"/>
    <w:rsid w:val="00B75674"/>
    <w:rsid w:val="00BA0956"/>
    <w:rsid w:val="00BC1970"/>
    <w:rsid w:val="00BD6FFB"/>
    <w:rsid w:val="00C27E32"/>
    <w:rsid w:val="00C42785"/>
    <w:rsid w:val="00C61A06"/>
    <w:rsid w:val="00CA1BCA"/>
    <w:rsid w:val="00CD4424"/>
    <w:rsid w:val="00CF3146"/>
    <w:rsid w:val="00CF47A0"/>
    <w:rsid w:val="00D02706"/>
    <w:rsid w:val="00D3784F"/>
    <w:rsid w:val="00D56446"/>
    <w:rsid w:val="00D93D08"/>
    <w:rsid w:val="00DC5CED"/>
    <w:rsid w:val="00DE3557"/>
    <w:rsid w:val="00E21A4B"/>
    <w:rsid w:val="00EC50DC"/>
    <w:rsid w:val="00F1442C"/>
    <w:rsid w:val="00F30D4E"/>
    <w:rsid w:val="00FB5F0D"/>
    <w:rsid w:val="00FE3BE8"/>
    <w:rsid w:val="00FF36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968A"/>
  <w15:docId w15:val="{9277C785-3A70-4E1A-BD19-38311207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35C"/>
  </w:style>
  <w:style w:type="paragraph" w:styleId="Ttulo1">
    <w:name w:val="heading 1"/>
    <w:basedOn w:val="Normal"/>
    <w:next w:val="Normal"/>
    <w:link w:val="Ttulo1Char"/>
    <w:uiPriority w:val="9"/>
    <w:qFormat/>
    <w:rsid w:val="00BE0DE7"/>
    <w:pPr>
      <w:keepNext/>
      <w:keepLines/>
      <w:ind w:firstLine="0"/>
      <w:jc w:val="center"/>
      <w:outlineLvl w:val="0"/>
    </w:pPr>
    <w:rPr>
      <w:rFonts w:eastAsiaTheme="majorEastAsia" w:cstheme="majorBidi"/>
      <w:b/>
      <w:bCs/>
      <w:szCs w:val="32"/>
    </w:rPr>
  </w:style>
  <w:style w:type="paragraph" w:styleId="Ttulo2">
    <w:name w:val="heading 2"/>
    <w:basedOn w:val="Ttulo1"/>
    <w:next w:val="Normal"/>
    <w:link w:val="Ttulo2Char"/>
    <w:uiPriority w:val="9"/>
    <w:unhideWhenUsed/>
    <w:qFormat/>
    <w:rsid w:val="00BE0DE7"/>
    <w:pPr>
      <w:spacing w:before="200"/>
      <w:jc w:val="left"/>
      <w:outlineLvl w:val="1"/>
    </w:pPr>
    <w:rPr>
      <w:bCs w:val="0"/>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BE0DE7"/>
    <w:pPr>
      <w:ind w:firstLine="0"/>
      <w:contextualSpacing/>
      <w:jc w:val="center"/>
    </w:pPr>
    <w:rPr>
      <w:rFonts w:eastAsiaTheme="majorEastAsia" w:cstheme="majorBidi"/>
      <w:b/>
      <w:bCs/>
      <w:caps/>
      <w:spacing w:val="5"/>
      <w:kern w:val="28"/>
      <w:sz w:val="32"/>
      <w:szCs w:val="32"/>
    </w:rPr>
  </w:style>
  <w:style w:type="paragraph" w:styleId="SemEspaamento">
    <w:name w:val="No Spacing"/>
    <w:uiPriority w:val="1"/>
    <w:rsid w:val="00436D67"/>
  </w:style>
  <w:style w:type="paragraph" w:styleId="Cabealho">
    <w:name w:val="header"/>
    <w:basedOn w:val="Normal"/>
    <w:link w:val="CabealhoChar"/>
    <w:uiPriority w:val="99"/>
    <w:unhideWhenUsed/>
    <w:rsid w:val="00436D67"/>
    <w:pPr>
      <w:tabs>
        <w:tab w:val="center" w:pos="4320"/>
        <w:tab w:val="right" w:pos="8640"/>
      </w:tabs>
      <w:spacing w:line="240" w:lineRule="auto"/>
    </w:pPr>
  </w:style>
  <w:style w:type="character" w:customStyle="1" w:styleId="CabealhoChar">
    <w:name w:val="Cabeçalho Char"/>
    <w:basedOn w:val="Fontepargpadro"/>
    <w:link w:val="Cabealho"/>
    <w:uiPriority w:val="99"/>
    <w:rsid w:val="00436D67"/>
    <w:rPr>
      <w:rFonts w:ascii="Times New Roman" w:hAnsi="Times New Roman"/>
    </w:rPr>
  </w:style>
  <w:style w:type="paragraph" w:styleId="Rodap">
    <w:name w:val="footer"/>
    <w:basedOn w:val="Normal"/>
    <w:link w:val="RodapChar"/>
    <w:uiPriority w:val="99"/>
    <w:unhideWhenUsed/>
    <w:rsid w:val="00436D67"/>
    <w:pPr>
      <w:tabs>
        <w:tab w:val="center" w:pos="4320"/>
        <w:tab w:val="right" w:pos="8640"/>
      </w:tabs>
      <w:spacing w:line="240" w:lineRule="auto"/>
    </w:pPr>
  </w:style>
  <w:style w:type="character" w:customStyle="1" w:styleId="RodapChar">
    <w:name w:val="Rodapé Char"/>
    <w:basedOn w:val="Fontepargpadro"/>
    <w:link w:val="Rodap"/>
    <w:uiPriority w:val="99"/>
    <w:rsid w:val="00436D67"/>
    <w:rPr>
      <w:rFonts w:ascii="Times New Roman" w:hAnsi="Times New Roman"/>
    </w:rPr>
  </w:style>
  <w:style w:type="character" w:styleId="Nmerodepgina">
    <w:name w:val="page number"/>
    <w:basedOn w:val="Fontepargpadro"/>
    <w:uiPriority w:val="99"/>
    <w:semiHidden/>
    <w:unhideWhenUsed/>
    <w:rsid w:val="004D6154"/>
  </w:style>
  <w:style w:type="paragraph" w:styleId="Textodebalo">
    <w:name w:val="Balloon Text"/>
    <w:basedOn w:val="Normal"/>
    <w:link w:val="TextodebaloChar"/>
    <w:uiPriority w:val="99"/>
    <w:semiHidden/>
    <w:unhideWhenUsed/>
    <w:rsid w:val="00E82142"/>
    <w:pPr>
      <w:spacing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E82142"/>
    <w:rPr>
      <w:rFonts w:ascii="Lucida Grande" w:hAnsi="Lucida Grande" w:cs="Lucida Grande"/>
      <w:sz w:val="18"/>
      <w:szCs w:val="18"/>
    </w:rPr>
  </w:style>
  <w:style w:type="character" w:customStyle="1" w:styleId="Ttulo1Char">
    <w:name w:val="Título 1 Char"/>
    <w:basedOn w:val="Fontepargpadro"/>
    <w:link w:val="Ttulo1"/>
    <w:uiPriority w:val="9"/>
    <w:rsid w:val="00BE0DE7"/>
    <w:rPr>
      <w:rFonts w:ascii="Times New Roman" w:eastAsiaTheme="majorEastAsia" w:hAnsi="Times New Roman" w:cstheme="majorBidi"/>
      <w:b/>
      <w:bCs/>
      <w:szCs w:val="32"/>
    </w:rPr>
  </w:style>
  <w:style w:type="character" w:customStyle="1" w:styleId="Ttulo2Char">
    <w:name w:val="Título 2 Char"/>
    <w:basedOn w:val="Fontepargpadro"/>
    <w:link w:val="Ttulo2"/>
    <w:uiPriority w:val="9"/>
    <w:rsid w:val="00BE0DE7"/>
    <w:rPr>
      <w:rFonts w:ascii="Times New Roman" w:eastAsiaTheme="majorEastAsia" w:hAnsi="Times New Roman" w:cstheme="majorBidi"/>
      <w:b/>
      <w:szCs w:val="26"/>
    </w:rPr>
  </w:style>
  <w:style w:type="character" w:customStyle="1" w:styleId="TtuloChar">
    <w:name w:val="Título Char"/>
    <w:basedOn w:val="Fontepargpadro"/>
    <w:link w:val="Ttulo"/>
    <w:uiPriority w:val="10"/>
    <w:rsid w:val="00BE0DE7"/>
    <w:rPr>
      <w:rFonts w:ascii="Times New Roman" w:eastAsiaTheme="majorEastAsia" w:hAnsi="Times New Roman" w:cstheme="majorBidi"/>
      <w:b/>
      <w:bCs/>
      <w:caps/>
      <w:spacing w:val="5"/>
      <w:kern w:val="28"/>
      <w:sz w:val="32"/>
      <w:szCs w:val="32"/>
    </w:rPr>
  </w:style>
  <w:style w:type="paragraph" w:styleId="Legenda">
    <w:name w:val="caption"/>
    <w:basedOn w:val="Normal"/>
    <w:next w:val="Normal"/>
    <w:uiPriority w:val="35"/>
    <w:unhideWhenUsed/>
    <w:qFormat/>
    <w:rsid w:val="00416818"/>
    <w:pPr>
      <w:spacing w:after="200" w:line="240" w:lineRule="auto"/>
      <w:jc w:val="center"/>
    </w:pPr>
    <w:rPr>
      <w:rFonts w:ascii="Arial" w:hAnsi="Arial"/>
      <w:bCs/>
      <w:sz w:val="20"/>
      <w:szCs w:val="18"/>
    </w:rPr>
  </w:style>
  <w:style w:type="paragraph" w:styleId="Citao">
    <w:name w:val="Quote"/>
    <w:basedOn w:val="Normal"/>
    <w:next w:val="Normal"/>
    <w:link w:val="CitaoChar"/>
    <w:uiPriority w:val="29"/>
    <w:qFormat/>
    <w:rsid w:val="00416818"/>
    <w:pPr>
      <w:ind w:left="720"/>
    </w:pPr>
    <w:rPr>
      <w:iCs/>
      <w:color w:val="000000" w:themeColor="text1"/>
    </w:rPr>
  </w:style>
  <w:style w:type="character" w:customStyle="1" w:styleId="CitaoChar">
    <w:name w:val="Citação Char"/>
    <w:basedOn w:val="Fontepargpadro"/>
    <w:link w:val="Citao"/>
    <w:uiPriority w:val="29"/>
    <w:rsid w:val="00416818"/>
    <w:rPr>
      <w:rFonts w:ascii="Times New Roman" w:hAnsi="Times New Roman"/>
      <w:iCs/>
      <w:color w:val="000000" w:themeColor="text1"/>
    </w:rPr>
  </w:style>
  <w:style w:type="paragraph" w:customStyle="1" w:styleId="Referncias">
    <w:name w:val="Referências"/>
    <w:basedOn w:val="Normal"/>
    <w:qFormat/>
    <w:rsid w:val="000460CD"/>
    <w:pPr>
      <w:ind w:left="720" w:hanging="720"/>
    </w:pPr>
    <w:rPr>
      <w:noProof/>
    </w:rPr>
  </w:style>
  <w:style w:type="paragraph" w:styleId="NormalWeb">
    <w:name w:val="Normal (Web)"/>
    <w:basedOn w:val="Normal"/>
    <w:uiPriority w:val="99"/>
    <w:semiHidden/>
    <w:unhideWhenUsed/>
    <w:rsid w:val="00CA3536"/>
    <w:pPr>
      <w:spacing w:before="100" w:beforeAutospacing="1" w:after="100" w:afterAutospacing="1" w:line="240" w:lineRule="auto"/>
      <w:ind w:firstLine="0"/>
      <w:jc w:val="left"/>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paragraph" w:styleId="PargrafodaLista">
    <w:name w:val="List Paragraph"/>
    <w:basedOn w:val="Normal"/>
    <w:uiPriority w:val="34"/>
    <w:qFormat/>
    <w:rsid w:val="002B3CCF"/>
    <w:pPr>
      <w:ind w:left="720"/>
      <w:contextualSpacing/>
    </w:pPr>
  </w:style>
  <w:style w:type="table" w:styleId="Tabelacomgrade">
    <w:name w:val="Table Grid"/>
    <w:basedOn w:val="Tabelanormal"/>
    <w:uiPriority w:val="39"/>
    <w:rsid w:val="002B3CCF"/>
    <w:pPr>
      <w:spacing w:line="240" w:lineRule="auto"/>
      <w:ind w:firstLine="0"/>
      <w:jc w:val="left"/>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62122A"/>
    <w:rPr>
      <w:sz w:val="16"/>
      <w:szCs w:val="16"/>
    </w:rPr>
  </w:style>
  <w:style w:type="paragraph" w:styleId="Textodecomentrio">
    <w:name w:val="annotation text"/>
    <w:basedOn w:val="Normal"/>
    <w:link w:val="TextodecomentrioChar"/>
    <w:uiPriority w:val="99"/>
    <w:unhideWhenUsed/>
    <w:rsid w:val="0062122A"/>
    <w:pPr>
      <w:spacing w:line="240" w:lineRule="auto"/>
    </w:pPr>
    <w:rPr>
      <w:sz w:val="20"/>
      <w:szCs w:val="20"/>
    </w:rPr>
  </w:style>
  <w:style w:type="character" w:customStyle="1" w:styleId="TextodecomentrioChar">
    <w:name w:val="Texto de comentário Char"/>
    <w:basedOn w:val="Fontepargpadro"/>
    <w:link w:val="Textodecomentrio"/>
    <w:uiPriority w:val="99"/>
    <w:rsid w:val="0062122A"/>
    <w:rPr>
      <w:sz w:val="20"/>
      <w:szCs w:val="20"/>
    </w:rPr>
  </w:style>
  <w:style w:type="paragraph" w:styleId="Assuntodocomentrio">
    <w:name w:val="annotation subject"/>
    <w:basedOn w:val="Textodecomentrio"/>
    <w:next w:val="Textodecomentrio"/>
    <w:link w:val="AssuntodocomentrioChar"/>
    <w:uiPriority w:val="99"/>
    <w:semiHidden/>
    <w:unhideWhenUsed/>
    <w:rsid w:val="0062122A"/>
    <w:rPr>
      <w:b/>
      <w:bCs/>
    </w:rPr>
  </w:style>
  <w:style w:type="character" w:customStyle="1" w:styleId="AssuntodocomentrioChar">
    <w:name w:val="Assunto do comentário Char"/>
    <w:basedOn w:val="TextodecomentrioChar"/>
    <w:link w:val="Assuntodocomentrio"/>
    <w:uiPriority w:val="99"/>
    <w:semiHidden/>
    <w:rsid w:val="006212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XGHISWn+vS/LeNtroMutvVg9YA==">CgMxLjA4AHIhMUdfT2x1aHFPckJ4WDh0ZTdaRm9nRkNLMFNNOWUxbnFp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11057</Words>
  <Characters>59712</Characters>
  <Application>Microsoft Office Word</Application>
  <DocSecurity>0</DocSecurity>
  <Lines>497</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Augusto Amaral Terra</dc:creator>
  <cp:lastModifiedBy>richard cunha</cp:lastModifiedBy>
  <cp:revision>2</cp:revision>
  <dcterms:created xsi:type="dcterms:W3CDTF">2025-09-05T22:23:00Z</dcterms:created>
  <dcterms:modified xsi:type="dcterms:W3CDTF">2025-09-05T22:23:00Z</dcterms:modified>
</cp:coreProperties>
</file>