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styles.xml" ContentType="application/vnd.openxmlformats-officedocument.wordprocessingml.styles+xml"/>
  <Override PartName="/word/theme/theme1.xml" ContentType="application/vnd.openxmlformats-officedocument.theme+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sdt>
      <w:sdtPr>
        <w:docPartObj>
          <w:docPartGallery w:val="Cover Pages"/>
          <w:docPartUnique w:val="true"/>
        </w:docPartObj>
        <w:id w:val="457162754"/>
      </w:sdtPr>
      <w:sdtContent>
        <w:p>
          <w:pPr>
            <w:pStyle w:val="Normal"/>
            <w:rPr/>
          </w:pPr>
          <w:r>
            <w:rPr/>
            <w:drawing>
              <wp:anchor behindDoc="1" distT="0" distB="0" distL="0" distR="0" simplePos="0" locked="0" layoutInCell="1" allowOverlap="1" relativeHeight="2">
                <wp:simplePos x="0" y="0"/>
                <wp:positionH relativeFrom="column">
                  <wp:posOffset>-1090930</wp:posOffset>
                </wp:positionH>
                <wp:positionV relativeFrom="paragraph">
                  <wp:posOffset>-923925</wp:posOffset>
                </wp:positionV>
                <wp:extent cx="7560310" cy="10686415"/>
                <wp:effectExtent l="0" t="0" r="0" b="0"/>
                <wp:wrapNone/>
                <wp:docPr id="1"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O conteúdo gerado por IA pode estar incorreto."/>
                        <pic:cNvPicPr>
                          <a:picLocks noChangeAspect="1" noChangeArrowheads="1"/>
                        </pic:cNvPicPr>
                      </pic:nvPicPr>
                      <pic:blipFill>
                        <a:blip r:embed="rId2"/>
                        <a:stretch>
                          <a:fillRect/>
                        </a:stretch>
                      </pic:blipFill>
                      <pic:spPr bwMode="auto">
                        <a:xfrm>
                          <a:off x="0" y="0"/>
                          <a:ext cx="7560310" cy="10686415"/>
                        </a:xfrm>
                        <a:prstGeom prst="rect">
                          <a:avLst/>
                        </a:prstGeom>
                      </pic:spPr>
                    </pic:pic>
                  </a:graphicData>
                </a:graphic>
              </wp:anchor>
            </w:drawing>
          </w:r>
        </w:p>
        <w:p>
          <w:pPr>
            <w:pStyle w:val="Normal"/>
            <w:rPr/>
          </w:pPr>
          <w:r>
            <w:rPr/>
            <mc:AlternateContent>
              <mc:Choice Requires="wps">
                <w:drawing>
                  <wp:anchor behindDoc="0" distT="0" distB="0" distL="0" distR="0" simplePos="0" locked="0" layoutInCell="1" allowOverlap="1" relativeHeight="3" wp14:anchorId="5E65D060">
                    <wp:simplePos x="0" y="0"/>
                    <wp:positionH relativeFrom="column">
                      <wp:posOffset>1332865</wp:posOffset>
                    </wp:positionH>
                    <wp:positionV relativeFrom="paragraph">
                      <wp:posOffset>6847205</wp:posOffset>
                    </wp:positionV>
                    <wp:extent cx="3697605" cy="1365250"/>
                    <wp:effectExtent l="0" t="0" r="0" b="0"/>
                    <wp:wrapNone/>
                    <wp:docPr id="2" name="Caixa de Texto 2"/>
                    <a:graphic xmlns:a="http://schemas.openxmlformats.org/drawingml/2006/main">
                      <a:graphicData uri="http://schemas.microsoft.com/office/word/2010/wordprocessingShape">
                        <wps:wsp>
                          <wps:cNvSpPr/>
                          <wps:spPr>
                            <a:xfrm>
                              <a:off x="0" y="0"/>
                              <a:ext cx="3696840" cy="1364760"/>
                            </a:xfrm>
                            <a:prstGeom prst="rect">
                              <a:avLst/>
                            </a:prstGeom>
                            <a:noFill/>
                            <a:ln w="6480">
                              <a:noFill/>
                            </a:ln>
                          </wps:spPr>
                          <wps:style>
                            <a:lnRef idx="0"/>
                            <a:fillRef idx="0"/>
                            <a:effectRef idx="0"/>
                            <a:fontRef idx="minor"/>
                          </wps:style>
                          <wps:txbx>
                            <w:txbxContent>
                              <w:p>
                                <w:pPr>
                                  <w:pStyle w:val="Contedodoquadro"/>
                                  <w:rPr>
                                    <w:rFonts w:ascii="Antonio" w:hAnsi="Antonio"/>
                                    <w:b/>
                                    <w:b/>
                                    <w:i w:val="false"/>
                                    <w:i w:val="false"/>
                                    <w:caps/>
                                    <w:color w:val="4C260D"/>
                                    <w:spacing w:val="0"/>
                                    <w:sz w:val="32"/>
                                    <w:szCs w:val="32"/>
                                  </w:rPr>
                                </w:pPr>
                                <w:r>
                                  <w:rPr>
                                    <w:rFonts w:ascii="Antonio" w:hAnsi="Antonio"/>
                                    <w:b/>
                                    <w:i w:val="false"/>
                                    <w:caps/>
                                    <w:color w:val="1A9B3C"/>
                                    <w:spacing w:val="0"/>
                                    <w:sz w:val="32"/>
                                    <w:szCs w:val="32"/>
                                  </w:rPr>
                                  <w:t>CULTURA ALIMENTAR, SOCIOBIODIVERSIDADE E SOBERANIA E SEGURANÇA ALIMENTAR E NUTRICIONAL: DESAFIOS À PESQUISA</w:t>
                                </w:r>
                              </w:p>
                            </w:txbxContent>
                          </wps:txbx>
                          <wps:bodyPr>
                            <a:noAutofit/>
                          </wps:bodyPr>
                        </wps:wsp>
                      </a:graphicData>
                    </a:graphic>
                  </wp:anchor>
                </w:drawing>
              </mc:Choice>
              <mc:Fallback>
                <w:pict>
                  <v:rect id="shape_0" ID="Caixa de Texto 2" stroked="f" style="position:absolute;margin-left:104.95pt;margin-top:539.15pt;width:291.05pt;height:107.4pt" wp14:anchorId="5E65D060">
                    <w10:wrap type="square"/>
                    <v:fill o:detectmouseclick="t" on="false"/>
                    <v:stroke color="#3465a4" weight="6480" joinstyle="round" endcap="flat"/>
                    <v:textbox>
                      <w:txbxContent>
                        <w:p>
                          <w:pPr>
                            <w:pStyle w:val="Contedodoquadro"/>
                            <w:rPr>
                              <w:rFonts w:ascii="Antonio" w:hAnsi="Antonio"/>
                              <w:b/>
                              <w:b/>
                              <w:i w:val="false"/>
                              <w:i w:val="false"/>
                              <w:caps/>
                              <w:color w:val="4C260D"/>
                              <w:spacing w:val="0"/>
                              <w:sz w:val="32"/>
                              <w:szCs w:val="32"/>
                            </w:rPr>
                          </w:pPr>
                          <w:r>
                            <w:rPr>
                              <w:rFonts w:ascii="Antonio" w:hAnsi="Antonio"/>
                              <w:b/>
                              <w:i w:val="false"/>
                              <w:caps/>
                              <w:color w:val="1A9B3C"/>
                              <w:spacing w:val="0"/>
                              <w:sz w:val="32"/>
                              <w:szCs w:val="32"/>
                            </w:rPr>
                            <w:t>CULTURA ALIMENTAR, SOCIOBIODIVERSIDADE E SOBERANIA E SEGURANÇA ALIMENTAR E NUTRICIONAL: DESAFIOS À PESQUISA</w:t>
                          </w:r>
                        </w:p>
                      </w:txbxContent>
                    </v:textbox>
                  </v:rect>
                </w:pict>
              </mc:Fallback>
            </mc:AlternateContent>
            <mc:AlternateContent>
              <mc:Choice Requires="wps">
                <w:drawing>
                  <wp:anchor behindDoc="0" distT="0" distB="0" distL="0" distR="0" simplePos="0" locked="0" layoutInCell="1" allowOverlap="1" relativeHeight="4" wp14:anchorId="784170F8">
                    <wp:simplePos x="0" y="0"/>
                    <wp:positionH relativeFrom="column">
                      <wp:posOffset>370840</wp:posOffset>
                    </wp:positionH>
                    <wp:positionV relativeFrom="paragraph">
                      <wp:posOffset>6855460</wp:posOffset>
                    </wp:positionV>
                    <wp:extent cx="964565" cy="593090"/>
                    <wp:effectExtent l="0" t="0" r="0" b="0"/>
                    <wp:wrapNone/>
                    <wp:docPr id="4" name="Caixa de Texto 4"/>
                    <a:graphic xmlns:a="http://schemas.openxmlformats.org/drawingml/2006/main">
                      <a:graphicData uri="http://schemas.microsoft.com/office/word/2010/wordprocessingShape">
                        <wps:wsp>
                          <wps:cNvSpPr/>
                          <wps:spPr>
                            <a:xfrm>
                              <a:off x="0" y="0"/>
                              <a:ext cx="964080" cy="592560"/>
                            </a:xfrm>
                            <a:prstGeom prst="rect">
                              <a:avLst/>
                            </a:prstGeom>
                            <a:noFill/>
                            <a:ln w="6480">
                              <a:noFill/>
                            </a:ln>
                          </wps:spPr>
                          <wps:style>
                            <a:lnRef idx="0"/>
                            <a:fillRef idx="0"/>
                            <a:effectRef idx="0"/>
                            <a:fontRef idx="minor"/>
                          </wps:style>
                          <wps:txbx>
                            <w:txbxContent>
                              <w:p>
                                <w:pPr>
                                  <w:pStyle w:val="Contedodoquadro"/>
                                  <w:rPr>
                                    <w:rFonts w:ascii="Antonio" w:hAnsi="Antonio"/>
                                    <w:color w:val="F8EDD1"/>
                                    <w:sz w:val="44"/>
                                    <w:szCs w:val="44"/>
                                  </w:rPr>
                                </w:pPr>
                                <w:r>
                                  <w:rPr>
                                    <w:rFonts w:ascii="Antonio" w:hAnsi="Antonio"/>
                                    <w:color w:val="F8EDD1"/>
                                    <w:sz w:val="44"/>
                                    <w:szCs w:val="44"/>
                                  </w:rPr>
                                  <w:t>GT8:</w:t>
                                </w:r>
                              </w:p>
                            </w:txbxContent>
                          </wps:txbx>
                          <wps:bodyPr>
                            <a:noAutofit/>
                          </wps:bodyPr>
                        </wps:wsp>
                      </a:graphicData>
                    </a:graphic>
                  </wp:anchor>
                </w:drawing>
              </mc:Choice>
              <mc:Fallback>
                <w:pict>
                  <v:rect id="shape_0" ID="Caixa de Texto 4" stroked="f" style="position:absolute;margin-left:29.2pt;margin-top:539.8pt;width:75.85pt;height:46.6pt" wp14:anchorId="784170F8">
                    <w10:wrap type="square"/>
                    <v:fill o:detectmouseclick="t" on="false"/>
                    <v:stroke color="#3465a4" weight="6480" joinstyle="round" endcap="flat"/>
                    <v:textbox>
                      <w:txbxContent>
                        <w:p>
                          <w:pPr>
                            <w:pStyle w:val="Contedodoquadro"/>
                            <w:rPr>
                              <w:rFonts w:ascii="Antonio" w:hAnsi="Antonio"/>
                              <w:color w:val="F8EDD1"/>
                              <w:sz w:val="44"/>
                              <w:szCs w:val="44"/>
                            </w:rPr>
                          </w:pPr>
                          <w:r>
                            <w:rPr>
                              <w:rFonts w:ascii="Antonio" w:hAnsi="Antonio"/>
                              <w:color w:val="F8EDD1"/>
                              <w:sz w:val="44"/>
                              <w:szCs w:val="44"/>
                            </w:rPr>
                            <w:t>GT8:</w:t>
                          </w:r>
                        </w:p>
                      </w:txbxContent>
                    </v:textbox>
                  </v:rect>
                </w:pict>
              </mc:Fallback>
            </mc:AlternateContent>
            <mc:AlternateContent>
              <mc:Choice Requires="wps">
                <w:drawing>
                  <wp:anchor behindDoc="1" distT="0" distB="0" distL="0" distR="0" simplePos="0" locked="0" layoutInCell="1" allowOverlap="1" relativeHeight="5" wp14:anchorId="486A8980">
                    <wp:simplePos x="0" y="0"/>
                    <wp:positionH relativeFrom="column">
                      <wp:posOffset>525145</wp:posOffset>
                    </wp:positionH>
                    <wp:positionV relativeFrom="paragraph">
                      <wp:posOffset>6910070</wp:posOffset>
                    </wp:positionV>
                    <wp:extent cx="712470" cy="386080"/>
                    <wp:effectExtent l="0" t="0" r="2540" b="0"/>
                    <wp:wrapNone/>
                    <wp:docPr id="6" name="Retângulo Arredondado 3"/>
                    <a:graphic xmlns:a="http://schemas.openxmlformats.org/drawingml/2006/main">
                      <a:graphicData uri="http://schemas.microsoft.com/office/word/2010/wordprocessingShape">
                        <wps:wsp>
                          <wps:cNvSpPr/>
                          <wps:spPr>
                            <a:xfrm>
                              <a:off x="0" y="0"/>
                              <a:ext cx="711720" cy="385560"/>
                            </a:xfrm>
                            <a:prstGeom prst="roundRect">
                              <a:avLst>
                                <a:gd name="adj" fmla="val 16667"/>
                              </a:avLst>
                            </a:prstGeom>
                            <a:solidFill>
                              <a:srgbClr val="1a9b3c"/>
                            </a:solid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mc:Fallback>
            </mc:AlternateContent>
          </w:r>
          <w:r>
            <w:br w:type="page"/>
          </w:r>
        </w:p>
      </w:sdtContent>
    </w:sdt>
    <w:p>
      <w:pPr>
        <w:pStyle w:val="Normal"/>
        <w:spacing w:before="0" w:after="240"/>
        <w:jc w:val="center"/>
        <w:rPr>
          <w:rFonts w:ascii="Avenir Book" w:hAnsi="Avenir Book" w:eastAsia="Arial"/>
          <w:b/>
          <w:b/>
          <w:bCs/>
        </w:rPr>
      </w:pPr>
      <w:r>
        <w:rPr>
          <w:rFonts w:eastAsia="Arial" w:ascii="Avenir Book" w:hAnsi="Avenir Book"/>
          <w:b/>
          <w:bCs/>
        </w:rPr>
      </w:r>
    </w:p>
    <w:p>
      <w:pPr>
        <w:pStyle w:val="Corpodotexto"/>
        <w:spacing w:lineRule="auto" w:line="360" w:before="0" w:after="240"/>
        <w:jc w:val="center"/>
        <w:rPr>
          <w:rFonts w:ascii="Trebuchet MS;sans-serif" w:hAnsi="Trebuchet MS;sans-serif"/>
          <w:b/>
          <w:b/>
          <w:i w:val="false"/>
          <w:i w:val="false"/>
          <w:caps w:val="false"/>
          <w:smallCaps w:val="false"/>
          <w:strike w:val="false"/>
          <w:dstrike w:val="false"/>
          <w:color w:val="000000"/>
          <w:sz w:val="24"/>
          <w:u w:val="none"/>
          <w:effect w:val="none"/>
        </w:rPr>
      </w:pPr>
      <w:r>
        <w:rPr>
          <w:rFonts w:eastAsia="Arial" w:cs="Arial" w:ascii="Trebuchet MS;sans-serif" w:hAnsi="Trebuchet MS;sans-serif"/>
          <w:b/>
          <w:bCs/>
          <w:i w:val="false"/>
          <w:caps w:val="false"/>
          <w:smallCaps w:val="false"/>
          <w:strike w:val="false"/>
          <w:dstrike w:val="false"/>
          <w:color w:val="000000"/>
          <w:sz w:val="24"/>
          <w:u w:val="none"/>
          <w:effect w:val="none"/>
        </w:rPr>
        <w:t>SABER-FAZER-COMER: A CONSTRUÇÃO DA REPUTAÇÃO DO QUEIJO ARTESANAL SERRANO</w:t>
      </w:r>
      <w:r>
        <w:rPr>
          <w:rStyle w:val="Ncoradanotaderodap"/>
          <w:rFonts w:eastAsia="Arial" w:cs="Arial" w:ascii="Trebuchet MS;sans-serif" w:hAnsi="Trebuchet MS;sans-serif"/>
          <w:b/>
          <w:bCs/>
          <w:i w:val="false"/>
          <w:caps w:val="false"/>
          <w:smallCaps w:val="false"/>
          <w:strike w:val="false"/>
          <w:dstrike w:val="false"/>
          <w:color w:val="000000"/>
          <w:sz w:val="24"/>
          <w:u w:val="none"/>
          <w:effect w:val="none"/>
        </w:rPr>
        <w:footnoteReference w:id="2"/>
      </w:r>
    </w:p>
    <w:p>
      <w:pPr>
        <w:pStyle w:val="Normal"/>
        <w:spacing w:lineRule="auto" w:line="360" w:before="0" w:after="240"/>
        <w:jc w:val="center"/>
        <w:rPr>
          <w:rFonts w:eastAsia="Arial"/>
          <w:b/>
          <w:b/>
          <w:bCs/>
        </w:rPr>
      </w:pPr>
      <w:r>
        <w:rPr>
          <w:rFonts w:eastAsia="Arial"/>
          <w:b/>
          <w:bCs/>
        </w:rPr>
      </w:r>
    </w:p>
    <w:p>
      <w:pPr>
        <w:pStyle w:val="Normal"/>
        <w:spacing w:lineRule="auto" w:line="360"/>
        <w:ind w:hanging="2"/>
        <w:jc w:val="center"/>
        <w:rPr>
          <w:rFonts w:eastAsia="Arial" w:cs="Arial"/>
          <w:vertAlign w:val="superscript"/>
        </w:rPr>
      </w:pPr>
      <w:r>
        <w:rPr>
          <w:rFonts w:eastAsia="Arial" w:cs="Arial"/>
          <w:color w:val="auto"/>
          <w:kern w:val="2"/>
          <w:sz w:val="24"/>
          <w:szCs w:val="24"/>
          <w:lang w:val="pt-BR" w:eastAsia="en-US" w:bidi="ar-SA"/>
          <w14:ligatures w14:val="standardContextual"/>
        </w:rPr>
        <w:t>Jorge Guimarães dos Santos Junior</w:t>
      </w:r>
      <w:r>
        <w:rPr>
          <w:rStyle w:val="Ncoradanotaderodap"/>
          <w:rFonts w:eastAsia="Arial" w:cs="Arial"/>
        </w:rPr>
        <w:footnoteReference w:id="3"/>
      </w:r>
    </w:p>
    <w:p>
      <w:pPr>
        <w:pStyle w:val="Normal"/>
        <w:spacing w:lineRule="auto" w:line="360"/>
        <w:ind w:hanging="2"/>
        <w:jc w:val="center"/>
        <w:rPr>
          <w:rFonts w:eastAsia="Arial" w:cs="Arial"/>
        </w:rPr>
      </w:pPr>
      <w:r>
        <w:rPr>
          <w:rFonts w:eastAsia="Arial" w:cs="Arial"/>
          <w:color w:val="auto"/>
          <w:kern w:val="2"/>
          <w:sz w:val="24"/>
          <w:szCs w:val="24"/>
          <w:lang w:val="pt-BR" w:eastAsia="en-US" w:bidi="ar-SA"/>
          <w14:ligatures w14:val="standardContextual"/>
        </w:rPr>
        <w:t>Marja Zattoni Milano</w:t>
      </w:r>
      <w:r>
        <w:rPr>
          <w:rStyle w:val="Ncoradanotaderodap"/>
          <w:rFonts w:eastAsia="Arial" w:cs="Arial"/>
        </w:rPr>
        <w:footnoteReference w:id="4"/>
      </w:r>
    </w:p>
    <w:p>
      <w:pPr>
        <w:pStyle w:val="Normal"/>
        <w:spacing w:lineRule="auto" w:line="360"/>
        <w:ind w:hanging="2"/>
        <w:jc w:val="center"/>
        <w:rPr>
          <w:rFonts w:eastAsia="Arial" w:cs="Arial"/>
        </w:rPr>
      </w:pPr>
      <w:r>
        <w:rPr>
          <w:rFonts w:eastAsia="Arial" w:cs="Arial"/>
        </w:rPr>
        <w:t>Ademir Antonio Cazella</w:t>
      </w:r>
      <w:r>
        <w:rPr>
          <w:rStyle w:val="Ncoradanotaderodap"/>
          <w:rFonts w:eastAsia="Arial" w:cs="Arial"/>
        </w:rPr>
        <w:footnoteReference w:id="5"/>
      </w:r>
    </w:p>
    <w:p>
      <w:pPr>
        <w:pStyle w:val="Normal"/>
        <w:spacing w:lineRule="auto" w:line="360"/>
        <w:ind w:hanging="2"/>
        <w:rPr>
          <w:rFonts w:eastAsia="Arial" w:cs="Arial"/>
          <w:color w:val="FF0000"/>
        </w:rPr>
      </w:pPr>
      <w:r>
        <w:rPr>
          <w:rFonts w:eastAsia="Arial" w:cs="Arial"/>
          <w:color w:val="FF0000"/>
        </w:rPr>
      </w:r>
    </w:p>
    <w:p>
      <w:pPr>
        <w:pStyle w:val="Normal"/>
        <w:spacing w:lineRule="auto" w:line="360"/>
        <w:ind w:hanging="2"/>
        <w:rPr>
          <w:rFonts w:eastAsia="Arial" w:cs="Arial"/>
          <w:color w:val="FF0000"/>
        </w:rPr>
      </w:pPr>
      <w:r>
        <w:rPr>
          <w:rFonts w:eastAsia="Arial" w:cs="Arial"/>
          <w:color w:val="FF0000"/>
        </w:rPr>
      </w:r>
    </w:p>
    <w:p>
      <w:pPr>
        <w:pStyle w:val="Normal"/>
        <w:spacing w:lineRule="auto" w:line="360"/>
        <w:ind w:hanging="2"/>
        <w:jc w:val="both"/>
        <w:rPr/>
      </w:pPr>
      <w:r>
        <w:rPr>
          <w:rFonts w:eastAsia="Arial" w:cs="Arial"/>
          <w:b/>
        </w:rPr>
        <w:t>GT 8:</w:t>
      </w:r>
      <w:r>
        <w:rPr>
          <w:rFonts w:eastAsia="Arial" w:cs="Arial"/>
        </w:rPr>
        <w:t xml:space="preserve"> CULTURA ALIMENTAR, SOCIOBIODIVERSIDADE E SOBERANIA E SEGURANÇA ALIMENTAR E NUTRICIONAL: DESAFIOS À PESQUISA</w:t>
      </w:r>
    </w:p>
    <w:p>
      <w:pPr>
        <w:pStyle w:val="Normal"/>
        <w:tabs>
          <w:tab w:val="clear" w:pos="708"/>
          <w:tab w:val="left" w:pos="3544" w:leader="none"/>
        </w:tabs>
        <w:spacing w:lineRule="auto" w:line="360"/>
        <w:ind w:hanging="2"/>
        <w:jc w:val="center"/>
        <w:rPr>
          <w:rFonts w:eastAsia="Arial" w:cs="Arial"/>
          <w:color w:val="FF0000"/>
        </w:rPr>
      </w:pPr>
      <w:r>
        <w:rPr>
          <w:rFonts w:eastAsia="Arial" w:cs="Arial"/>
          <w:color w:val="FF0000"/>
        </w:rPr>
      </w:r>
    </w:p>
    <w:p>
      <w:pPr>
        <w:pStyle w:val="Normal"/>
        <w:tabs>
          <w:tab w:val="clear" w:pos="708"/>
          <w:tab w:val="left" w:pos="3544" w:leader="none"/>
        </w:tabs>
        <w:spacing w:lineRule="auto" w:line="360"/>
        <w:ind w:hanging="2"/>
        <w:jc w:val="center"/>
        <w:rPr>
          <w:rFonts w:eastAsia="Arial" w:cs="Arial"/>
          <w:color w:val="FF0000"/>
        </w:rPr>
      </w:pPr>
      <w:r>
        <w:rPr>
          <w:rFonts w:eastAsia="Arial" w:cs="Arial"/>
          <w:color w:val="FF0000"/>
        </w:rPr>
      </w:r>
    </w:p>
    <w:p>
      <w:pPr>
        <w:pStyle w:val="Normal"/>
        <w:spacing w:lineRule="auto" w:line="360"/>
        <w:ind w:hanging="2"/>
        <w:jc w:val="center"/>
        <w:rPr>
          <w:rFonts w:eastAsia="Arial" w:cs="Arial"/>
          <w:b/>
          <w:b/>
        </w:rPr>
      </w:pPr>
      <w:r>
        <w:rPr>
          <w:rFonts w:eastAsia="Arial" w:cs="Arial"/>
          <w:b/>
        </w:rPr>
        <w:t xml:space="preserve">RESUMO </w:t>
      </w:r>
    </w:p>
    <w:p>
      <w:pPr>
        <w:pStyle w:val="Normal"/>
        <w:spacing w:lineRule="auto" w:line="360"/>
        <w:ind w:hanging="2"/>
        <w:jc w:val="both"/>
        <w:rPr>
          <w:rFonts w:ascii="Trebuchet MS;sans-serif" w:hAnsi="Trebuchet MS;sans-serif"/>
          <w:b w:val="false"/>
          <w:i w:val="false"/>
          <w:caps w:val="false"/>
          <w:smallCaps w:val="false"/>
          <w:strike w:val="false"/>
          <w:dstrike w:val="false"/>
          <w:color w:val="000000"/>
          <w:sz w:val="24"/>
          <w:u w:val="none"/>
          <w:effect w:val="none"/>
        </w:rPr>
      </w:pPr>
      <w:bookmarkStart w:id="0" w:name="docs-internal-guid-8e91fa49-7fff-4f76-7f"/>
      <w:bookmarkEnd w:id="0"/>
      <w:r>
        <w:rPr>
          <w:rFonts w:eastAsia="Arial" w:cs="Arial" w:ascii="Trebuchet MS;sans-serif" w:hAnsi="Trebuchet MS;sans-serif"/>
          <w:b w:val="false"/>
          <w:i w:val="false"/>
          <w:caps w:val="false"/>
          <w:smallCaps w:val="false"/>
          <w:strike w:val="false"/>
          <w:dstrike w:val="false"/>
          <w:color w:val="000000"/>
          <w:sz w:val="24"/>
          <w:u w:val="none"/>
          <w:effect w:val="none"/>
        </w:rPr>
        <w:t>O Queijo Artesanal Serrano (QAS), mantém a sua reputação, dentro e fora do território, associada à singular história da região e à qualidade da sua produção. Tal reconhecimento se materializa no registro da Indicação Geográfica (IG) Campos de Cima da Serra. O objetivo deste artigo é analisar os diferentes tipos de consumo do QAS e sua relevância para práticas que promovem a Segurança Alimentar e Nutricional no território da Serra Catarinense. Os resultados apresentados evidenciam a necessidade de aprofundamento das pesquisas sobre a relação das diferentes possibilidades de consumo do QAS com as oportunidades de ações sustentáveis previstas pelos mecanismos de diferenciação do QAS, em diálogo com as estratégias territoriais de alcance da Segurança Alimentar e Nutricional.</w:t>
      </w:r>
    </w:p>
    <w:p>
      <w:pPr>
        <w:pStyle w:val="Normal"/>
        <w:spacing w:lineRule="auto" w:line="360"/>
        <w:ind w:hanging="2"/>
        <w:jc w:val="both"/>
        <w:rPr>
          <w:rFonts w:eastAsia="Arial" w:cs="Arial"/>
        </w:rPr>
      </w:pPr>
      <w:r>
        <w:rPr>
          <w:rFonts w:eastAsia="Arial" w:cs="Arial"/>
        </w:rPr>
      </w:r>
    </w:p>
    <w:p>
      <w:pPr>
        <w:pStyle w:val="Normal"/>
        <w:spacing w:lineRule="auto" w:line="360"/>
        <w:ind w:hanging="2"/>
        <w:jc w:val="both"/>
        <w:rPr>
          <w:rFonts w:eastAsia="Arial" w:cs="Arial"/>
        </w:rPr>
      </w:pPr>
      <w:r>
        <w:rPr>
          <w:rFonts w:eastAsia="Arial" w:cs="Arial"/>
        </w:rPr>
        <w:t xml:space="preserve">Palavras-chave: Consumo, Alimento Tradicional, </w:t>
      </w:r>
      <w:r>
        <w:rPr>
          <w:rFonts w:eastAsia="Arial" w:cs="Arial"/>
          <w:color w:val="auto"/>
          <w:kern w:val="2"/>
          <w:sz w:val="24"/>
          <w:szCs w:val="24"/>
          <w:lang w:val="pt-BR" w:eastAsia="en-US" w:bidi="ar-SA"/>
          <w14:ligatures w14:val="standardContextual"/>
        </w:rPr>
        <w:t>Segurança Alimentar e Nutricional</w:t>
      </w:r>
      <w:r>
        <w:rPr>
          <w:rFonts w:eastAsia="Arial" w:cs="Arial"/>
        </w:rPr>
        <w:t>, Indicação Geográfica.</w:t>
      </w:r>
    </w:p>
    <w:p>
      <w:pPr>
        <w:pStyle w:val="Normal"/>
        <w:spacing w:lineRule="auto" w:line="360"/>
        <w:ind w:hanging="2"/>
        <w:jc w:val="both"/>
        <w:rPr>
          <w:rFonts w:eastAsia="Arial" w:cs="Arial"/>
        </w:rPr>
      </w:pPr>
      <w:r>
        <w:rPr>
          <w:rFonts w:eastAsia="Arial" w:cs="Arial"/>
        </w:rPr>
      </w:r>
    </w:p>
    <w:p>
      <w:pPr>
        <w:pStyle w:val="Corpodotexto"/>
        <w:bidi w:val="0"/>
        <w:spacing w:lineRule="auto" w:line="360" w:before="0" w:after="0"/>
        <w:ind w:left="0" w:right="0" w:hanging="2"/>
        <w:jc w:val="both"/>
        <w:rPr>
          <w:b w:val="false"/>
          <w:b w:val="false"/>
        </w:rPr>
      </w:pPr>
      <w:bookmarkStart w:id="1" w:name="docs-internal-guid-073b3c42-7fff-70fc-c3"/>
      <w:bookmarkEnd w:id="1"/>
      <w:r>
        <w:rPr>
          <w:rFonts w:ascii="Trebuchet MS;sans-serif" w:hAnsi="Trebuchet MS;sans-serif"/>
          <w:b w:val="false"/>
          <w:i w:val="false"/>
          <w:caps w:val="false"/>
          <w:smallCaps w:val="false"/>
          <w:strike w:val="false"/>
          <w:dstrike w:val="false"/>
          <w:color w:val="000000"/>
          <w:sz w:val="24"/>
          <w:u w:val="none"/>
          <w:effect w:val="none"/>
        </w:rPr>
        <w:t>INTRODUÇÃO </w:t>
      </w:r>
    </w:p>
    <w:p>
      <w:pPr>
        <w:pStyle w:val="Corpodotexto"/>
        <w:spacing w:lineRule="auto" w:line="360"/>
        <w:rPr/>
      </w:pPr>
      <w:r>
        <w:rPr/>
      </w:r>
    </w:p>
    <w:p>
      <w:pPr>
        <w:pStyle w:val="Corpodotexto"/>
        <w:bidi w:val="0"/>
        <w:spacing w:lineRule="auto" w:line="360" w:before="0" w:after="0"/>
        <w:ind w:left="0" w:right="0" w:firstLine="720"/>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O Queijo Artesanal Serrano (QAS) é um queijo fabricado a partir de leite cru, originalmente de bovinos com aptidão para corte, cuja produção é caracterizada como artesanal e familiar. O seu território é delimitado pela Indicação Geográfica (IG) Campos de Cima da Serra (INPI, 2020), um registro que reconhece e protege um território pela produção e oferta de um produto específico, sendo composto por dezesseis municípios do nordeste do Rio Grande do Sul e dezoito municípios da região da Serra Catarinense, no Planalto Sul Serrano de Santa Catarina. Estudos realizados pela Empresa de Pesquisa Agropecuária e Extensão Rural de Santa Catarina (Epagri) e pela Associação Riograndense de Empreendimentos de Assistência Técnica e Extensão Rural (Emater/RS) estimam a existência de mais de duas mil unidades agrícolas familiares que são produtoras do QAS (Córdova; Schlickmann; Pinto, 2014).</w:t>
      </w:r>
    </w:p>
    <w:p>
      <w:pPr>
        <w:pStyle w:val="Corpodotexto"/>
        <w:bidi w:val="0"/>
        <w:spacing w:lineRule="auto" w:line="360" w:before="0" w:after="0"/>
        <w:ind w:left="0" w:right="0" w:firstLine="720"/>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O QAS, reconhecido como o produto processado mais antigo da região, mantém a sua reputação, dentro e fora do território, associada à singular história da região e à qualidade da sua produção (Cazella </w:t>
      </w:r>
      <w:r>
        <w:rPr>
          <w:rFonts w:ascii="Trebuchet MS;sans-serif" w:hAnsi="Trebuchet MS;sans-serif"/>
          <w:b w:val="false"/>
          <w:i/>
          <w:caps w:val="false"/>
          <w:smallCaps w:val="false"/>
          <w:strike w:val="false"/>
          <w:dstrike w:val="false"/>
          <w:color w:val="000000"/>
          <w:sz w:val="24"/>
          <w:u w:val="none"/>
          <w:effect w:val="none"/>
        </w:rPr>
        <w:t>et al</w:t>
      </w:r>
      <w:r>
        <w:rPr>
          <w:rFonts w:ascii="Trebuchet MS;sans-serif" w:hAnsi="Trebuchet MS;sans-serif"/>
          <w:b w:val="false"/>
          <w:i w:val="false"/>
          <w:caps w:val="false"/>
          <w:smallCaps w:val="false"/>
          <w:strike w:val="false"/>
          <w:dstrike w:val="false"/>
          <w:color w:val="000000"/>
          <w:sz w:val="24"/>
          <w:u w:val="none"/>
          <w:effect w:val="none"/>
        </w:rPr>
        <w:t xml:space="preserve">., 2019). </w:t>
      </w:r>
      <w:r>
        <w:rPr>
          <w:rFonts w:ascii="Trebuchet MS;sans-serif" w:hAnsi="Trebuchet MS;sans-serif"/>
          <w:b w:val="false"/>
          <w:i w:val="false"/>
          <w:caps w:val="false"/>
          <w:smallCaps w:val="false"/>
          <w:strike w:val="false"/>
          <w:dstrike w:val="false"/>
          <w:color w:val="000000"/>
          <w:sz w:val="24"/>
          <w:u w:val="none"/>
          <w:effect w:val="none"/>
        </w:rPr>
        <w:t>Tal condição, levou o registro da</w:t>
      </w:r>
      <w:r>
        <w:rPr>
          <w:rFonts w:ascii="Trebuchet MS;sans-serif" w:hAnsi="Trebuchet MS;sans-serif"/>
          <w:b w:val="false"/>
          <w:i w:val="false"/>
          <w:caps w:val="false"/>
          <w:smallCaps w:val="false"/>
          <w:strike w:val="false"/>
          <w:dstrike w:val="false"/>
          <w:color w:val="000000"/>
          <w:sz w:val="24"/>
          <w:u w:val="none"/>
          <w:effect w:val="none"/>
        </w:rPr>
        <w:t xml:space="preserve"> sua IG ser registrada na modalidade Denominação de Origem (DO), </w:t>
      </w:r>
      <w:r>
        <w:rPr>
          <w:rFonts w:ascii="Trebuchet MS;sans-serif" w:hAnsi="Trebuchet MS;sans-serif"/>
          <w:b w:val="false"/>
          <w:i w:val="false"/>
          <w:caps w:val="false"/>
          <w:smallCaps w:val="false"/>
          <w:strike w:val="false"/>
          <w:dstrike w:val="false"/>
          <w:color w:val="000000"/>
          <w:sz w:val="24"/>
          <w:u w:val="none"/>
          <w:effect w:val="none"/>
        </w:rPr>
        <w:t>n</w:t>
      </w:r>
      <w:r>
        <w:rPr>
          <w:rFonts w:ascii="Trebuchet MS;sans-serif" w:hAnsi="Trebuchet MS;sans-serif"/>
          <w:b w:val="false"/>
          <w:i w:val="false"/>
          <w:caps w:val="false"/>
          <w:smallCaps w:val="false"/>
          <w:strike w:val="false"/>
          <w:dstrike w:val="false"/>
          <w:color w:val="000000"/>
          <w:sz w:val="24"/>
          <w:u w:val="none"/>
          <w:effect w:val="none"/>
        </w:rPr>
        <w:t xml:space="preserve">a qual </w:t>
      </w:r>
      <w:r>
        <w:rPr>
          <w:rFonts w:ascii="Trebuchet MS;sans-serif" w:hAnsi="Trebuchet MS;sans-serif"/>
          <w:b w:val="false"/>
          <w:i w:val="false"/>
          <w:caps w:val="false"/>
          <w:smallCaps w:val="false"/>
          <w:strike w:val="false"/>
          <w:dstrike w:val="false"/>
          <w:color w:val="000000"/>
          <w:sz w:val="24"/>
          <w:u w:val="none"/>
          <w:effect w:val="none"/>
        </w:rPr>
        <w:t>a qualidade do produto está associada</w:t>
      </w:r>
      <w:r>
        <w:rPr>
          <w:rFonts w:ascii="Trebuchet MS;sans-serif" w:hAnsi="Trebuchet MS;sans-serif"/>
          <w:b w:val="false"/>
          <w:i w:val="false"/>
          <w:caps w:val="false"/>
          <w:smallCaps w:val="false"/>
          <w:strike w:val="false"/>
          <w:dstrike w:val="false"/>
          <w:color w:val="000000"/>
          <w:sz w:val="24"/>
          <w:u w:val="none"/>
          <w:effect w:val="none"/>
        </w:rPr>
        <w:t xml:space="preserve">, exclusiva ou essencialmente, ao meio geográfico, incluídos fatores socioambientais e socioculturais (Brasil, 1996). </w:t>
      </w:r>
      <w:r>
        <w:rPr>
          <w:rFonts w:ascii="Trebuchet MS;sans-serif" w:hAnsi="Trebuchet MS;sans-serif"/>
          <w:b w:val="false"/>
          <w:i w:val="false"/>
          <w:caps w:val="false"/>
          <w:smallCaps w:val="false"/>
          <w:strike w:val="false"/>
          <w:dstrike w:val="false"/>
          <w:color w:val="000000"/>
          <w:sz w:val="24"/>
          <w:u w:val="none"/>
          <w:effect w:val="none"/>
        </w:rPr>
        <w:t>A outra</w:t>
      </w:r>
      <w:r>
        <w:rPr>
          <w:rFonts w:ascii="Trebuchet MS;sans-serif" w:hAnsi="Trebuchet MS;sans-serif"/>
          <w:b w:val="false"/>
          <w:i w:val="false"/>
          <w:caps w:val="false"/>
          <w:smallCaps w:val="false"/>
          <w:strike w:val="false"/>
          <w:dstrike w:val="false"/>
          <w:color w:val="000000"/>
          <w:sz w:val="24"/>
          <w:u w:val="none"/>
          <w:effect w:val="none"/>
        </w:rPr>
        <w:t xml:space="preserve"> modalidade para um registro de IG é a Indicação de Procedência (IP), a qual delimita uma região geográfica que tenha alcançado a reputação como centro de extração, produção ou fabricação de determinado produto (Brasil, 1996).</w:t>
      </w:r>
    </w:p>
    <w:p>
      <w:pPr>
        <w:pStyle w:val="Corpodotexto"/>
        <w:bidi w:val="0"/>
        <w:spacing w:lineRule="auto" w:line="360" w:before="0" w:after="0"/>
        <w:ind w:left="0" w:right="0" w:firstLine="720"/>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Mesmo sendo reconhecido como um importante recurso específico territorial</w:t>
      </w:r>
      <w:r>
        <w:rPr>
          <w:rStyle w:val="Ncoradanotaderodap"/>
          <w:rFonts w:ascii="Trebuchet MS;sans-serif" w:hAnsi="Trebuchet MS;sans-serif"/>
          <w:b w:val="false"/>
          <w:i w:val="false"/>
          <w:caps w:val="false"/>
          <w:smallCaps w:val="false"/>
          <w:strike w:val="false"/>
          <w:dstrike w:val="false"/>
          <w:color w:val="000000"/>
          <w:sz w:val="24"/>
          <w:u w:val="none"/>
          <w:effect w:val="none"/>
        </w:rPr>
        <w:footnoteReference w:id="6"/>
      </w:r>
      <w:r>
        <w:rPr>
          <w:b w:val="false"/>
          <w:caps w:val="false"/>
          <w:smallCaps w:val="false"/>
          <w:strike w:val="false"/>
          <w:dstrike w:val="false"/>
          <w:color w:val="000000"/>
          <w:u w:val="none"/>
          <w:effect w:val="none"/>
        </w:rPr>
        <w:t xml:space="preserve"> </w:t>
      </w:r>
      <w:r>
        <w:rPr>
          <w:rFonts w:ascii="Trebuchet MS;sans-serif" w:hAnsi="Trebuchet MS;sans-serif"/>
          <w:b w:val="false"/>
          <w:i w:val="false"/>
          <w:caps w:val="false"/>
          <w:smallCaps w:val="false"/>
          <w:strike w:val="false"/>
          <w:dstrike w:val="false"/>
          <w:color w:val="000000"/>
          <w:sz w:val="24"/>
          <w:u w:val="none"/>
          <w:effect w:val="none"/>
        </w:rPr>
        <w:t>e uma forte alternativa de renda, a maioria das unidades agrícolas produtoras não se encontra inserida em mercados inspecionados ou em canais de comercialização especializados, caracterizando o sistema produtivo do QAS como informal (</w:t>
      </w:r>
      <w:r>
        <w:rPr>
          <w:rFonts w:ascii="Trebuchet MS;sans-serif" w:hAnsi="Trebuchet MS;sans-serif"/>
          <w:b w:val="false"/>
          <w:i w:val="false"/>
          <w:caps w:val="false"/>
          <w:smallCaps w:val="false"/>
          <w:strike w:val="false"/>
          <w:dstrike w:val="false"/>
          <w:color w:val="000000"/>
          <w:sz w:val="24"/>
          <w:u w:val="none"/>
          <w:effect w:val="none"/>
        </w:rPr>
        <w:t>Santos Junior, 2025</w:t>
      </w:r>
      <w:r>
        <w:rPr>
          <w:rFonts w:ascii="Trebuchet MS;sans-serif" w:hAnsi="Trebuchet MS;sans-serif"/>
          <w:b w:val="false"/>
          <w:i w:val="false"/>
          <w:caps w:val="false"/>
          <w:smallCaps w:val="false"/>
          <w:strike w:val="false"/>
          <w:dstrike w:val="false"/>
          <w:color w:val="000000"/>
          <w:sz w:val="24"/>
          <w:u w:val="none"/>
          <w:effect w:val="none"/>
        </w:rPr>
        <w:t>). O principal fator que define essa informalidade se dá pelo enquadramento das unidades produtivas que não possuem uma certificação de inspeção sanitária (seja ela municipal - SIM; estadual - SIE; ou federal - SIF), a qual engloba as normas sobre a fabricação e comercialização de produtos de origem animal no Brasil (Cruz; Menasche, 2014; Prezotto, 2013). </w:t>
      </w:r>
    </w:p>
    <w:p>
      <w:pPr>
        <w:pStyle w:val="Normal"/>
        <w:bidi w:val="0"/>
        <w:spacing w:lineRule="auto" w:line="360" w:before="0" w:after="0"/>
        <w:ind w:left="0" w:right="0" w:firstLine="720"/>
        <w:jc w:val="both"/>
        <w:rPr/>
      </w:pPr>
      <w:bookmarkStart w:id="2" w:name="docs-internal-guid-910d4467-7fff-55a5-f5"/>
      <w:bookmarkEnd w:id="2"/>
      <w:r>
        <w:rPr>
          <w:rFonts w:ascii="Trebuchet MS;sans-serif" w:hAnsi="Trebuchet MS;sans-serif"/>
          <w:b w:val="false"/>
          <w:i w:val="false"/>
          <w:caps w:val="false"/>
          <w:smallCaps w:val="false"/>
          <w:strike w:val="false"/>
          <w:dstrike w:val="false"/>
          <w:color w:val="000000"/>
          <w:sz w:val="24"/>
          <w:u w:val="none"/>
          <w:effect w:val="none"/>
        </w:rPr>
        <w:t xml:space="preserve">A consolidação de importantes transformações </w:t>
      </w:r>
      <w:r>
        <w:rPr>
          <w:rFonts w:eastAsia="Trebuchet MS" w:cs="" w:ascii="Trebuchet MS;sans-serif" w:hAnsi="Trebuchet MS;sans-serif" w:cstheme="minorBidi" w:eastAsiaTheme="minorHAnsi"/>
          <w:b w:val="false"/>
          <w:i w:val="false"/>
          <w:caps w:val="false"/>
          <w:smallCaps w:val="false"/>
          <w:strike w:val="false"/>
          <w:dstrike w:val="false"/>
          <w:color w:val="000000"/>
          <w:kern w:val="2"/>
          <w:sz w:val="24"/>
          <w:szCs w:val="24"/>
          <w:u w:val="none"/>
          <w:effect w:val="none"/>
          <w:lang w:val="pt-BR" w:eastAsia="en-US" w:bidi="ar-SA"/>
          <w14:ligatures w14:val="standardContextual"/>
        </w:rPr>
        <w:t>nos</w:t>
      </w:r>
      <w:r>
        <w:rPr>
          <w:rFonts w:ascii="Trebuchet MS;sans-serif" w:hAnsi="Trebuchet MS;sans-serif"/>
          <w:b w:val="false"/>
          <w:i w:val="false"/>
          <w:caps w:val="false"/>
          <w:smallCaps w:val="false"/>
          <w:strike w:val="false"/>
          <w:dstrike w:val="false"/>
          <w:color w:val="000000"/>
          <w:sz w:val="24"/>
          <w:u w:val="none"/>
          <w:effect w:val="none"/>
        </w:rPr>
        <w:t xml:space="preserve"> sistemas de produção, distribuição e consumo de alimentos (Maluf; Flexor, 2017) provocam manifestações de insegurança alimentar na população brasileira (IBGE, 2023; PENSSAN, 2022). Assim, pesquisas sobre estratégias viáveis que exploram e promovem, em distintas escalas e em condições socioculturais favoráveis, o aumento da Segurança Alimentar e Nutricional (SAN) da população brasileira, ganham força e urgência. Para isto, este trabalho tem como objetivo analisar os diferentes tipos de consumo do QAS e sua relevância para práticas que promovem a SAN do território da Serra Catarinense.</w:t>
      </w:r>
    </w:p>
    <w:p>
      <w:pPr>
        <w:pStyle w:val="Corpodotexto"/>
        <w:bidi w:val="0"/>
        <w:spacing w:lineRule="auto" w:line="360" w:before="0" w:after="0"/>
        <w:ind w:left="0" w:right="0" w:firstLine="72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r>
    </w:p>
    <w:p>
      <w:pPr>
        <w:pStyle w:val="Corpodotexto"/>
        <w:bidi w:val="0"/>
        <w:spacing w:lineRule="auto" w:line="360" w:before="0" w:after="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PROCEDIMENTOS METODOLÓGICOS</w:t>
      </w:r>
    </w:p>
    <w:p>
      <w:pPr>
        <w:pStyle w:val="Corpodotexto"/>
        <w:spacing w:lineRule="auto" w:line="360"/>
        <w:rPr/>
      </w:pPr>
      <w:r>
        <w:rPr/>
      </w:r>
    </w:p>
    <w:p>
      <w:pPr>
        <w:pStyle w:val="Corpodotexto"/>
        <w:bidi w:val="0"/>
        <w:spacing w:lineRule="auto" w:line="360" w:before="0" w:after="0"/>
        <w:ind w:left="0" w:right="0" w:firstLine="720"/>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Este artigo foi construído </w:t>
      </w:r>
      <w:r>
        <w:rPr>
          <w:rFonts w:ascii="Trebuchet MS;sans-serif" w:hAnsi="Trebuchet MS;sans-serif"/>
          <w:b w:val="false"/>
          <w:i w:val="false"/>
          <w:caps w:val="false"/>
          <w:smallCaps w:val="false"/>
          <w:strike w:val="false"/>
          <w:dstrike w:val="false"/>
          <w:color w:val="000000"/>
          <w:sz w:val="24"/>
          <w:u w:val="none"/>
          <w:effect w:val="none"/>
        </w:rPr>
        <w:t>com</w:t>
      </w:r>
      <w:r>
        <w:rPr>
          <w:rFonts w:ascii="Trebuchet MS;sans-serif" w:hAnsi="Trebuchet MS;sans-serif"/>
          <w:b w:val="false"/>
          <w:i w:val="false"/>
          <w:caps w:val="false"/>
          <w:smallCaps w:val="false"/>
          <w:strike w:val="false"/>
          <w:dstrike w:val="false"/>
          <w:color w:val="000000"/>
          <w:sz w:val="24"/>
          <w:u w:val="none"/>
          <w:effect w:val="none"/>
        </w:rPr>
        <w:t xml:space="preserve"> o interesse de reunir as lacunas e hipóteses geradas a partir da dissertação intitulada: “Da tradição ao mercado: a informalidade na fabricação e comercialização do Queijo Artesanal Serrano em Santa Catarina”</w:t>
      </w:r>
      <w:r>
        <w:rPr>
          <w:rStyle w:val="Ncoradanotaderodap"/>
          <w:rFonts w:ascii="Trebuchet MS;sans-serif" w:hAnsi="Trebuchet MS;sans-serif"/>
          <w:b w:val="false"/>
          <w:i w:val="false"/>
          <w:caps w:val="false"/>
          <w:smallCaps w:val="false"/>
          <w:strike w:val="false"/>
          <w:dstrike w:val="false"/>
          <w:color w:val="000000"/>
          <w:sz w:val="24"/>
          <w:u w:val="none"/>
          <w:effect w:val="none"/>
        </w:rPr>
        <w:footnoteReference w:id="7"/>
      </w:r>
      <w:r>
        <w:rPr>
          <w:rFonts w:ascii="Trebuchet MS;sans-serif" w:hAnsi="Trebuchet MS;sans-serif"/>
          <w:b w:val="false"/>
          <w:i w:val="false"/>
          <w:caps w:val="false"/>
          <w:smallCaps w:val="false"/>
          <w:strike w:val="false"/>
          <w:dstrike w:val="false"/>
          <w:color w:val="000000"/>
          <w:sz w:val="24"/>
          <w:u w:val="none"/>
          <w:effect w:val="none"/>
        </w:rPr>
        <w:t>. A pesquisa de campo do estudo de caso do QAS, que trouxe dados à dissertação citada, ocorreu durante os meses de março a maio de 2023. Foram realizadas entrevistas com atores-chave do sistema produtivo em questão e com profissionais técnicos que prestavam assistência à comunidade rural. Também foram aplicados questionários junto às pessoas responsáveis pelas unidades produtivas do QAS</w:t>
      </w:r>
      <w:r>
        <w:rPr>
          <w:rStyle w:val="Ncoradanotaderodap"/>
          <w:rFonts w:ascii="Trebuchet MS;sans-serif" w:hAnsi="Trebuchet MS;sans-serif"/>
          <w:b w:val="false"/>
          <w:i w:val="false"/>
          <w:caps w:val="false"/>
          <w:smallCaps w:val="false"/>
          <w:strike w:val="false"/>
          <w:dstrike w:val="false"/>
          <w:color w:val="000000"/>
          <w:sz w:val="24"/>
          <w:u w:val="none"/>
          <w:effect w:val="none"/>
        </w:rPr>
        <w:footnoteReference w:id="8"/>
      </w:r>
      <w:r>
        <w:rPr>
          <w:rFonts w:ascii="Trebuchet MS;sans-serif" w:hAnsi="Trebuchet MS;sans-serif"/>
          <w:b w:val="false"/>
          <w:i w:val="false"/>
          <w:caps w:val="false"/>
          <w:smallCaps w:val="false"/>
          <w:strike w:val="false"/>
          <w:dstrike w:val="false"/>
          <w:color w:val="000000"/>
          <w:sz w:val="24"/>
          <w:u w:val="none"/>
          <w:effect w:val="none"/>
        </w:rPr>
        <w:t xml:space="preserve">. Neste último grupo, foram amostradas unidades que: i) faziam o uso de um local especializado </w:t>
      </w:r>
      <w:r>
        <w:rPr>
          <w:rFonts w:ascii="Trebuchet MS;sans-serif" w:hAnsi="Trebuchet MS;sans-serif"/>
          <w:b w:val="false"/>
          <w:i w:val="false"/>
          <w:caps w:val="false"/>
          <w:smallCaps w:val="false"/>
          <w:strike w:val="false"/>
          <w:dstrike w:val="false"/>
          <w:color w:val="000000"/>
          <w:sz w:val="24"/>
          <w:u w:val="none"/>
          <w:effect w:val="none"/>
        </w:rPr>
        <w:t>ou fabricavam o QAS em</w:t>
      </w:r>
      <w:r>
        <w:rPr>
          <w:rFonts w:ascii="Trebuchet MS;sans-serif" w:hAnsi="Trebuchet MS;sans-serif"/>
          <w:b w:val="false"/>
          <w:i w:val="false"/>
          <w:caps w:val="false"/>
          <w:smallCaps w:val="false"/>
          <w:strike w:val="false"/>
          <w:dstrike w:val="false"/>
          <w:color w:val="000000"/>
          <w:sz w:val="24"/>
          <w:u w:val="none"/>
          <w:effect w:val="none"/>
        </w:rPr>
        <w:t xml:space="preserve"> locais multifuncionais, como cozinhas da residência, por exemplo; e ii) com o destino da produção tanto para o autoconsumo quanto para a comercialização em diferentes canais. No total, foram amostradas 39 unidades familiares em catorze municípios diferentes da Serra Catarinense. As principais explicações para a persistência da informalidade no território foram a baixa dificuldade de venda dos queijos em canais de comercialização territorializados e as relações de confiança e proximidade com o grupo de consumidores. O ponto de partida deste trabalho, portanto, se dá em compreender as motivações que envolvem o consumo do QAS.</w:t>
      </w:r>
    </w:p>
    <w:p>
      <w:pPr>
        <w:pStyle w:val="Corpodotexto"/>
        <w:spacing w:lineRule="auto" w:line="360"/>
        <w:rPr/>
      </w:pPr>
      <w:r>
        <w:rPr/>
      </w:r>
    </w:p>
    <w:p>
      <w:pPr>
        <w:pStyle w:val="Corpodotexto"/>
        <w:bidi w:val="0"/>
        <w:spacing w:lineRule="auto" w:line="360" w:before="0" w:after="0"/>
        <w:ind w:left="0" w:right="0" w:hanging="2"/>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RESULTADOS</w:t>
      </w:r>
    </w:p>
    <w:p>
      <w:pPr>
        <w:pStyle w:val="Corpodotexto"/>
        <w:spacing w:lineRule="auto" w:line="360"/>
        <w:rPr/>
      </w:pPr>
      <w:r>
        <w:rPr/>
      </w:r>
    </w:p>
    <w:p>
      <w:pPr>
        <w:pStyle w:val="Corpodotexto"/>
        <w:bidi w:val="0"/>
        <w:spacing w:lineRule="auto" w:line="360" w:before="0" w:after="0"/>
        <w:ind w:left="0" w:right="0" w:hanging="2"/>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Saber: o reconhecimento do queijo serrano</w:t>
      </w:r>
    </w:p>
    <w:p>
      <w:pPr>
        <w:pStyle w:val="Corpodotexto"/>
        <w:bidi w:val="0"/>
        <w:spacing w:lineRule="auto" w:line="360" w:before="0" w:after="0"/>
        <w:ind w:left="0" w:right="0" w:hanging="2"/>
        <w:jc w:val="both"/>
        <w:rPr/>
      </w:pPr>
      <w:r>
        <w:rPr>
          <w:rFonts w:ascii="Trebuchet MS;sans-serif" w:hAnsi="Trebuchet MS;sans-serif"/>
          <w:b w:val="false"/>
          <w:i w:val="false"/>
          <w:caps w:val="false"/>
          <w:smallCaps w:val="false"/>
          <w:strike w:val="false"/>
          <w:dstrike w:val="false"/>
          <w:color w:val="000000"/>
          <w:sz w:val="24"/>
          <w:u w:val="none"/>
          <w:effect w:val="none"/>
        </w:rPr>
        <w:tab/>
        <w:tab/>
        <w:t>A credibilidade ganhada em diferentes canais de comercialização, somada às mudanças políticas que ocorriam em nível nacional, como a modernização agrícola e industrialização de alimentos, estimulou a articulação de atores sociais, ao longo da sua história, na criação de diversos mecanismos para a proteção da identidade do queijo e sua valorização monetária (Brasil, 2019; Epagri, 2020; Souza e</w:t>
      </w:r>
      <w:r>
        <w:rPr>
          <w:rFonts w:ascii="Trebuchet MS;sans-serif" w:hAnsi="Trebuchet MS;sans-serif"/>
          <w:b w:val="false"/>
          <w:i/>
          <w:caps w:val="false"/>
          <w:smallCaps w:val="false"/>
          <w:strike w:val="false"/>
          <w:dstrike w:val="false"/>
          <w:color w:val="000000"/>
          <w:sz w:val="24"/>
          <w:u w:val="none"/>
          <w:effect w:val="none"/>
        </w:rPr>
        <w:t>t al</w:t>
      </w:r>
      <w:r>
        <w:rPr>
          <w:rFonts w:ascii="Trebuchet MS;sans-serif" w:hAnsi="Trebuchet MS;sans-serif"/>
          <w:b w:val="false"/>
          <w:i w:val="false"/>
          <w:caps w:val="false"/>
          <w:smallCaps w:val="false"/>
          <w:strike w:val="false"/>
          <w:dstrike w:val="false"/>
          <w:color w:val="000000"/>
          <w:sz w:val="24"/>
          <w:u w:val="none"/>
          <w:effect w:val="none"/>
        </w:rPr>
        <w:t>., 2022; Vieira; Dortzbach, 2017). Assim, o QAS alcançou outros nichos de consumo, como turistas e pessoas imigrantes da Serra Catarinense, além de um público consumidor assíduo. </w:t>
      </w:r>
    </w:p>
    <w:p>
      <w:pPr>
        <w:pStyle w:val="Corpodotexto"/>
        <w:bidi w:val="0"/>
        <w:spacing w:lineRule="auto" w:line="360" w:before="0" w:after="0"/>
        <w:ind w:left="0" w:right="0" w:firstLine="72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Na maioria das famílias entrevistadas, a sucessão do saber-fazer do QAS se dava por meio da herança de saberes transmitida entre as gerações. Somente em 5 unidades visitadas (12,8%), as pessoas respondentes aprenderam o modo de fabricação do QAS com cônjuges ou famílias vizinhas, após sua imigração à Serra Catarinense. </w:t>
      </w:r>
    </w:p>
    <w:p>
      <w:pPr>
        <w:pStyle w:val="Corpodotexto"/>
        <w:bidi w:val="0"/>
        <w:spacing w:lineRule="auto" w:line="360" w:before="0" w:after="0"/>
        <w:ind w:left="0" w:right="0" w:firstLine="72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 xml:space="preserve">Na finalidade de enfatizar a importância das comunicações entre as gerações na continuidade das atividades agrícolas familiares, também tratadas aqui como tradicionais, Pollan (2007) argumenta que a maneira impositiva de funcionamento da agricultura nos dias atuais dificulta as oportunidades de práticas tradicionais para resolução de problemas complexos e diversos, bem como </w:t>
      </w:r>
      <w:r>
        <w:rPr>
          <w:rFonts w:ascii="Trebuchet MS;sans-serif" w:hAnsi="Trebuchet MS;sans-serif"/>
          <w:b w:val="false"/>
          <w:i w:val="false"/>
          <w:caps w:val="false"/>
          <w:smallCaps w:val="false"/>
          <w:strike w:val="false"/>
          <w:dstrike w:val="false"/>
          <w:color w:val="000000"/>
          <w:sz w:val="24"/>
          <w:u w:val="none"/>
          <w:effect w:val="none"/>
        </w:rPr>
        <w:t xml:space="preserve">contribui para </w:t>
      </w:r>
      <w:r>
        <w:rPr>
          <w:rFonts w:ascii="Trebuchet MS;sans-serif" w:hAnsi="Trebuchet MS;sans-serif"/>
          <w:b w:val="false"/>
          <w:i w:val="false"/>
          <w:caps w:val="false"/>
          <w:smallCaps w:val="false"/>
          <w:strike w:val="false"/>
          <w:dstrike w:val="false"/>
          <w:color w:val="000000"/>
          <w:sz w:val="24"/>
          <w:u w:val="none"/>
          <w:effect w:val="none"/>
        </w:rPr>
        <w:t xml:space="preserve">insegurança alimentar e </w:t>
      </w:r>
      <w:r>
        <w:rPr>
          <w:rFonts w:ascii="Trebuchet MS;sans-serif" w:hAnsi="Trebuchet MS;sans-serif"/>
          <w:b w:val="false"/>
          <w:i w:val="false"/>
          <w:caps w:val="false"/>
          <w:smallCaps w:val="false"/>
          <w:strike w:val="false"/>
          <w:dstrike w:val="false"/>
          <w:color w:val="000000"/>
          <w:sz w:val="24"/>
          <w:u w:val="none"/>
          <w:effect w:val="none"/>
        </w:rPr>
        <w:t xml:space="preserve">as </w:t>
      </w:r>
      <w:r>
        <w:rPr>
          <w:rFonts w:ascii="Trebuchet MS;sans-serif" w:hAnsi="Trebuchet MS;sans-serif"/>
          <w:b w:val="false"/>
          <w:i w:val="false"/>
          <w:caps w:val="false"/>
          <w:smallCaps w:val="false"/>
          <w:strike w:val="false"/>
          <w:dstrike w:val="false"/>
          <w:color w:val="000000"/>
          <w:sz w:val="24"/>
          <w:u w:val="none"/>
          <w:effect w:val="none"/>
        </w:rPr>
        <w:t>mudanças climáticas. Sem esses contínuos exercícios, grande parte dos saberes populares e do conhecimento territorial acumulado, também valorizado por Zaoual (2006), se tornam mercadorias, sendo sequestradas das unidades produtivas familiares para as grandes corporações e indústrias, convertendo em máquinas, embalagens e garrafas plásticas, e até em normas sanitárias cada vez mais restritas (Pollan, 2007).</w:t>
      </w:r>
    </w:p>
    <w:p>
      <w:pPr>
        <w:pStyle w:val="Corpodotexto"/>
        <w:spacing w:lineRule="auto" w:line="360"/>
        <w:rPr/>
      </w:pPr>
      <w:r>
        <w:rPr/>
      </w:r>
    </w:p>
    <w:p>
      <w:pPr>
        <w:pStyle w:val="Corpodotexto"/>
        <w:bidi w:val="0"/>
        <w:spacing w:lineRule="auto" w:line="360" w:before="0" w:after="0"/>
        <w:ind w:left="0" w:right="0" w:hanging="2"/>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Fazer: a fabricação do queijo artesanal</w:t>
      </w:r>
    </w:p>
    <w:p>
      <w:pPr>
        <w:pStyle w:val="Corpodotexto"/>
        <w:bidi w:val="0"/>
        <w:spacing w:lineRule="auto" w:line="360" w:before="0" w:after="0"/>
        <w:ind w:left="0" w:right="0" w:hanging="2"/>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ab/>
        <w:tab/>
        <w:t>Historicamente, a produção do QAS vem sendo realizada principalmente pelas mulheres, desde os cuidados com as vacas, a ordenha e até a destinação do queijo para o autoconsumo ou venda (Krone, 2009). Vale lembrar que as mulheres entrevistadas, além de fabricarem o queijo, também são as responsáveis pelas atividades domésticas, cuidados com a família, atividades agropecuárias, além de colaborar com as tomadas de decisões sobre as finanças. </w:t>
      </w:r>
    </w:p>
    <w:p>
      <w:pPr>
        <w:pStyle w:val="Corpodotexto"/>
        <w:bidi w:val="0"/>
        <w:spacing w:lineRule="auto" w:line="360" w:before="0" w:after="0"/>
        <w:ind w:left="0" w:right="0" w:firstLine="72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Com a modernização agrícola, o local de fabricação de queijo e seus utensílios sofreram adequações. Antes das normas legais exigirem local específico e exclusivo para a fabricação de qualquer produto de origem animal (Brasil, 1950), o fluxo da produção de queijo iniciava-se com a ordenha e seguia para a cozinha da casa que integra a unidade. A partir da obrigatoriedade legal de uma estrutura exclusiva para a fabricação do queijo, bem como demais normas sobre a fabricação e comercialização de outros produtos de origem animal, criam-se duas categorias de unidades que fabricam o QAS: a categoria “queijo de cozinha”, a que não se enquadra nas normas legais, e a categoria “queijo de queijaria”, a qual pode ser enquadrada nas normas se houver a certificação sanitária. </w:t>
      </w:r>
    </w:p>
    <w:p>
      <w:pPr>
        <w:pStyle w:val="Corpodotexto"/>
        <w:bidi w:val="0"/>
        <w:spacing w:lineRule="auto" w:line="360" w:before="0" w:after="0"/>
        <w:ind w:left="0" w:right="0" w:firstLine="720"/>
        <w:jc w:val="both"/>
        <w:rPr/>
      </w:pPr>
      <w:r>
        <w:rPr>
          <w:rFonts w:eastAsia="Trebuchet MS" w:cs="" w:ascii="Trebuchet MS;sans-serif" w:hAnsi="Trebuchet MS;sans-serif" w:cstheme="minorBidi" w:eastAsiaTheme="minorHAnsi"/>
          <w:b w:val="false"/>
          <w:i w:val="false"/>
          <w:caps w:val="false"/>
          <w:smallCaps w:val="false"/>
          <w:strike w:val="false"/>
          <w:dstrike w:val="false"/>
          <w:color w:val="000000"/>
          <w:kern w:val="2"/>
          <w:sz w:val="24"/>
          <w:szCs w:val="24"/>
          <w:u w:val="none"/>
          <w:effect w:val="none"/>
          <w:lang w:val="pt-BR" w:eastAsia="en-US" w:bidi="ar-SA"/>
          <w14:ligatures w14:val="standardContextual"/>
        </w:rPr>
        <w:t>Entende-se que</w:t>
      </w:r>
      <w:r>
        <w:rPr>
          <w:rFonts w:ascii="Trebuchet MS;sans-serif" w:hAnsi="Trebuchet MS;sans-serif"/>
          <w:b w:val="false"/>
          <w:i w:val="false"/>
          <w:caps w:val="false"/>
          <w:smallCaps w:val="false"/>
          <w:strike w:val="false"/>
          <w:dstrike w:val="false"/>
          <w:color w:val="000000"/>
          <w:sz w:val="24"/>
          <w:u w:val="none"/>
          <w:effect w:val="none"/>
        </w:rPr>
        <w:t>, a continuidade de um sistema produtivo depende do seu consumo e, em muitos casos, variando o grau da dependência do sistema produtivo a um tipo de mercado consumidor, pode-se transformar todo o complexo estrutural do sistema.</w:t>
      </w:r>
    </w:p>
    <w:p>
      <w:pPr>
        <w:pStyle w:val="Corpodotexto"/>
        <w:bidi w:val="0"/>
        <w:spacing w:lineRule="auto" w:line="36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ab/>
        <w:tab/>
        <w:t>Ao fazer um queijo, seja para o autoconsumo ou para uma clientela vizinha, que há décadas o consome, o seu processamento se torna um processo automático. O peso, o formato, e, principalmente, o tempo de maturação, já estão acordados previamente. Nesse caso, os mecanismos de controle das boas práticas de fabricação s</w:t>
      </w:r>
      <w:r>
        <w:rPr>
          <w:rFonts w:ascii="Trebuchet MS;sans-serif" w:hAnsi="Trebuchet MS;sans-serif"/>
          <w:b w:val="false"/>
          <w:i w:val="false"/>
          <w:caps w:val="false"/>
          <w:smallCaps w:val="false"/>
          <w:strike w:val="false"/>
          <w:dstrike w:val="false"/>
          <w:color w:val="000000"/>
          <w:sz w:val="24"/>
          <w:u w:val="none"/>
          <w:effect w:val="none"/>
        </w:rPr>
        <w:t>e d</w:t>
      </w:r>
      <w:r>
        <w:rPr>
          <w:rFonts w:ascii="Trebuchet MS;sans-serif" w:hAnsi="Trebuchet MS;sans-serif"/>
          <w:b w:val="false"/>
          <w:i w:val="false"/>
          <w:caps w:val="false"/>
          <w:smallCaps w:val="false"/>
          <w:strike w:val="false"/>
          <w:dstrike w:val="false"/>
          <w:color w:val="000000"/>
          <w:sz w:val="24"/>
          <w:u w:val="none"/>
          <w:effect w:val="none"/>
        </w:rPr>
        <w:t>ão pelo controle social na venda direta: a pessoa produtora garante a qualidade e inocuidade do produto e a pessoa consumidora se compromete na compra frequente e, com ou sem intenção, na divulgação da qualidade do produto. </w:t>
      </w:r>
    </w:p>
    <w:p>
      <w:pPr>
        <w:pStyle w:val="Corpodotexto"/>
        <w:bidi w:val="0"/>
        <w:spacing w:lineRule="auto" w:line="360" w:before="0" w:after="0"/>
        <w:ind w:left="0" w:right="0" w:firstLine="72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A troca de mercadorias aqui, portanto, não se limita apenas à oferta e à demanda do queijo, pois podem ser empregadas outras relações subjetivas durante a troca, sendo estas importantes para a continuidade desse tipo de canal de comercialização. Neste ponto, esta pesquisa enfatiza a importância da compreensão dos critérios sociais empregados na avaliação, por parte do grupo consumidor. Ou seja, além do tempo de ocorrência do consumo e dos fatores estéticos do queijo consumido, quais outros fatores contribuem com a escolha do queijo imerso em canais de comercialização informais?</w:t>
      </w:r>
    </w:p>
    <w:p>
      <w:pPr>
        <w:pStyle w:val="Corpodotexto"/>
        <w:bidi w:val="0"/>
        <w:spacing w:lineRule="auto" w:line="360" w:before="0" w:after="0"/>
        <w:ind w:left="0" w:right="0" w:firstLine="720"/>
        <w:jc w:val="both"/>
        <w:rPr/>
      </w:pPr>
      <w:r>
        <w:rPr>
          <w:rFonts w:ascii="Trebuchet MS;sans-serif" w:hAnsi="Trebuchet MS;sans-serif"/>
          <w:b w:val="false"/>
          <w:i w:val="false"/>
          <w:caps w:val="false"/>
          <w:smallCaps w:val="false"/>
          <w:strike w:val="false"/>
          <w:dstrike w:val="false"/>
          <w:color w:val="000000"/>
          <w:sz w:val="24"/>
          <w:u w:val="none"/>
          <w:effect w:val="none"/>
        </w:rPr>
        <w:t xml:space="preserve">Por outro lado, a produção de queijos artesanais para o mercado especializado, geralmente inspecionado por fiscalização sanitária, ocorre de uma forma bem diferente. Os critérios são bem definidos em legislações e fiscalizados por profissionais capacitados por um sistema formativo universalizado, o qual inclui um conjunto de regulamentos que exige, desde a monitoração da saúde do rebanho, determinado por avaliações laboratoriais, até a coleta do leite, quais os utensílios a serem utilizados e a determinação do período de maturação. Desta forma, não interessa aos grandes mercado a origem do “saber” fabricar o queijo, nem a </w:t>
      </w:r>
      <w:r>
        <w:rPr>
          <w:rFonts w:eastAsia="Trebuchet MS" w:cs="" w:ascii="Trebuchet MS;sans-serif" w:hAnsi="Trebuchet MS;sans-serif" w:cstheme="minorBidi" w:eastAsiaTheme="minorHAnsi"/>
          <w:b w:val="false"/>
          <w:i w:val="false"/>
          <w:caps w:val="false"/>
          <w:smallCaps w:val="false"/>
          <w:strike w:val="false"/>
          <w:dstrike w:val="false"/>
          <w:color w:val="000000"/>
          <w:kern w:val="2"/>
          <w:sz w:val="24"/>
          <w:szCs w:val="24"/>
          <w:u w:val="none"/>
          <w:effect w:val="none"/>
          <w:lang w:val="pt-BR" w:eastAsia="en-US" w:bidi="ar-SA"/>
          <w14:ligatures w14:val="standardContextual"/>
        </w:rPr>
        <w:t>composição</w:t>
      </w:r>
      <w:r>
        <w:rPr>
          <w:rFonts w:ascii="Trebuchet MS;sans-serif" w:hAnsi="Trebuchet MS;sans-serif"/>
          <w:b w:val="false"/>
          <w:i w:val="false"/>
          <w:caps w:val="false"/>
          <w:smallCaps w:val="false"/>
          <w:strike w:val="false"/>
          <w:dstrike w:val="false"/>
          <w:color w:val="000000"/>
          <w:sz w:val="24"/>
          <w:u w:val="none"/>
          <w:effect w:val="none"/>
        </w:rPr>
        <w:t xml:space="preserve"> da ração e os tratamentos clínicos dados aos animais, e sim a qualidade do produto que, com as certificações sanitárias, garante a inocuidade do alimento ao público consumidor, em diferentes escalas de distribuição.</w:t>
      </w:r>
    </w:p>
    <w:p>
      <w:pPr>
        <w:pStyle w:val="Corpodotexto"/>
        <w:bidi w:val="0"/>
        <w:spacing w:lineRule="auto" w:line="36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ab/>
        <w:tab/>
        <w:t>Nesse campo de fabricação formal do queijo, foi identificada a possibilidade do emprego de signos distintivos que permitem a venda do QAS por todo município (SIM), para outros municípios pertencentes a AMURES (Marca Coletiva Sabor Serrano) ou não (SIE), para fora do estado (Selo Arte</w:t>
      </w:r>
      <w:r>
        <w:rPr>
          <w:rStyle w:val="Ncoradanotaderodap"/>
          <w:rFonts w:ascii="Trebuchet MS;sans-serif" w:hAnsi="Trebuchet MS;sans-serif"/>
          <w:b w:val="false"/>
          <w:i w:val="false"/>
          <w:caps w:val="false"/>
          <w:smallCaps w:val="false"/>
          <w:strike w:val="false"/>
          <w:dstrike w:val="false"/>
          <w:color w:val="000000"/>
          <w:sz w:val="24"/>
          <w:u w:val="none"/>
          <w:effect w:val="none"/>
        </w:rPr>
        <w:footnoteReference w:id="9"/>
      </w:r>
      <w:r>
        <w:rPr>
          <w:rFonts w:ascii="Trebuchet MS;sans-serif" w:hAnsi="Trebuchet MS;sans-serif"/>
          <w:b w:val="false"/>
          <w:i w:val="false"/>
          <w:caps w:val="false"/>
          <w:smallCaps w:val="false"/>
          <w:strike w:val="false"/>
          <w:dstrike w:val="false"/>
          <w:color w:val="000000"/>
          <w:sz w:val="24"/>
          <w:u w:val="none"/>
          <w:effect w:val="none"/>
        </w:rPr>
        <w:t xml:space="preserve">) e quem sabe fora do país (IG). </w:t>
      </w:r>
    </w:p>
    <w:p>
      <w:pPr>
        <w:pStyle w:val="Corpodotexto"/>
        <w:bidi w:val="0"/>
        <w:spacing w:lineRule="auto" w:line="360" w:before="0" w:after="0"/>
        <w:ind w:left="0" w:right="0" w:firstLine="720"/>
        <w:jc w:val="both"/>
        <w:rPr/>
      </w:pPr>
      <w:r>
        <w:rPr>
          <w:rFonts w:eastAsia="Trebuchet MS" w:cs="" w:ascii="Trebuchet MS;sans-serif" w:hAnsi="Trebuchet MS;sans-serif" w:cstheme="minorBidi" w:eastAsiaTheme="minorHAnsi"/>
          <w:b w:val="false"/>
          <w:i w:val="false"/>
          <w:caps w:val="false"/>
          <w:smallCaps w:val="false"/>
          <w:strike w:val="false"/>
          <w:dstrike w:val="false"/>
          <w:color w:val="000000"/>
          <w:kern w:val="2"/>
          <w:sz w:val="24"/>
          <w:szCs w:val="24"/>
          <w:u w:val="none"/>
          <w:effect w:val="none"/>
          <w:lang w:val="pt-BR" w:eastAsia="en-US" w:bidi="ar-SA"/>
          <w14:ligatures w14:val="standardContextual"/>
        </w:rPr>
        <w:t>Dadas as</w:t>
      </w:r>
      <w:r>
        <w:rPr>
          <w:rFonts w:ascii="Trebuchet MS;sans-serif" w:hAnsi="Trebuchet MS;sans-serif"/>
          <w:b w:val="false"/>
          <w:i w:val="false"/>
          <w:caps w:val="false"/>
          <w:smallCaps w:val="false"/>
          <w:strike w:val="false"/>
          <w:dstrike w:val="false"/>
          <w:color w:val="000000"/>
          <w:sz w:val="24"/>
          <w:u w:val="none"/>
          <w:effect w:val="none"/>
        </w:rPr>
        <w:t xml:space="preserve"> opções de queijo, para o lado do consumidor, qual seria a exigência priorizada: adquirir um “queijo-mercadoria” com selo de qualidade em um supermercado ou adquirir um “queijo-produto” em canais de venda direta, que oferece, também, relações sociais amarradas à cultura alimentar? </w:t>
      </w:r>
      <w:r>
        <w:rPr>
          <w:rFonts w:ascii="Trebuchet MS;sans-serif" w:hAnsi="Trebuchet MS;sans-serif"/>
          <w:b w:val="false"/>
          <w:i w:val="false"/>
          <w:caps w:val="false"/>
          <w:smallCaps w:val="false"/>
          <w:strike w:val="false"/>
          <w:dstrike w:val="false"/>
          <w:color w:val="000000"/>
          <w:sz w:val="24"/>
          <w:u w:val="none"/>
          <w:effect w:val="none"/>
        </w:rPr>
        <w:t xml:space="preserve">Ambas opções também podem ser sobrepostas, ou seja, os dois tipos de queijo serem </w:t>
      </w:r>
      <w:r>
        <w:rPr>
          <w:rFonts w:eastAsia="Trebuchet MS" w:cs="" w:ascii="Trebuchet MS;sans-serif" w:hAnsi="Trebuchet MS;sans-serif"/>
          <w:b w:val="false"/>
          <w:i w:val="false"/>
          <w:caps w:val="false"/>
          <w:smallCaps w:val="false"/>
          <w:strike w:val="false"/>
          <w:dstrike w:val="false"/>
          <w:color w:val="000000"/>
          <w:kern w:val="2"/>
          <w:sz w:val="24"/>
          <w:szCs w:val="24"/>
          <w:u w:val="none"/>
          <w:effect w:val="none"/>
          <w:lang w:val="pt-BR" w:eastAsia="en-US" w:bidi="ar-SA"/>
        </w:rPr>
        <w:t>priorizados</w:t>
      </w:r>
      <w:r>
        <w:rPr>
          <w:rFonts w:ascii="Trebuchet MS;sans-serif" w:hAnsi="Trebuchet MS;sans-serif"/>
          <w:b w:val="false"/>
          <w:i w:val="false"/>
          <w:caps w:val="false"/>
          <w:smallCaps w:val="false"/>
          <w:strike w:val="false"/>
          <w:dstrike w:val="false"/>
          <w:color w:val="000000"/>
          <w:sz w:val="24"/>
          <w:u w:val="none"/>
          <w:effect w:val="none"/>
        </w:rPr>
        <w:t xml:space="preserve"> pelo mesmo consumidor.</w:t>
      </w:r>
      <w:r>
        <w:rPr>
          <w:rFonts w:ascii="Trebuchet MS;sans-serif" w:hAnsi="Trebuchet MS;sans-serif"/>
          <w:b w:val="false"/>
          <w:i w:val="false"/>
          <w:caps w:val="false"/>
          <w:smallCaps w:val="false"/>
          <w:strike w:val="false"/>
          <w:dstrike w:val="false"/>
          <w:color w:val="000000"/>
          <w:sz w:val="24"/>
          <w:u w:val="none"/>
          <w:effect w:val="none"/>
        </w:rPr>
        <w:t xml:space="preserve"> Há inúmeros desdobramentos nesse debate que precisam ser mais aprofundados em estudos futuros. Se a justificativa de restringir a produção dita informal se fundamenta por uma preocupação </w:t>
      </w:r>
      <w:r>
        <w:rPr>
          <w:rFonts w:ascii="Trebuchet MS;sans-serif" w:hAnsi="Trebuchet MS;sans-serif"/>
          <w:b w:val="false"/>
          <w:i w:val="false"/>
          <w:caps w:val="false"/>
          <w:smallCaps w:val="false"/>
          <w:strike w:val="false"/>
          <w:dstrike w:val="false"/>
          <w:color w:val="000000"/>
          <w:sz w:val="24"/>
          <w:u w:val="none"/>
          <w:effect w:val="none"/>
        </w:rPr>
        <w:t>com</w:t>
      </w:r>
      <w:r>
        <w:rPr>
          <w:rFonts w:ascii="Trebuchet MS;sans-serif" w:hAnsi="Trebuchet MS;sans-serif"/>
          <w:b w:val="false"/>
          <w:i w:val="false"/>
          <w:caps w:val="false"/>
          <w:smallCaps w:val="false"/>
          <w:strike w:val="false"/>
          <w:dstrike w:val="false"/>
          <w:color w:val="000000"/>
          <w:sz w:val="24"/>
          <w:u w:val="none"/>
          <w:effect w:val="none"/>
        </w:rPr>
        <w:t xml:space="preserve"> saúde pública, faz-se necessário incluir outros determinantes </w:t>
      </w:r>
      <w:r>
        <w:rPr>
          <w:rFonts w:ascii="Trebuchet MS;sans-serif" w:hAnsi="Trebuchet MS;sans-serif"/>
          <w:b w:val="false"/>
          <w:i w:val="false"/>
          <w:caps w:val="false"/>
          <w:smallCaps w:val="false"/>
          <w:strike w:val="false"/>
          <w:dstrike w:val="false"/>
          <w:color w:val="000000"/>
          <w:sz w:val="24"/>
          <w:u w:val="none"/>
          <w:effect w:val="none"/>
        </w:rPr>
        <w:t xml:space="preserve">sociais </w:t>
      </w:r>
      <w:r>
        <w:rPr>
          <w:rFonts w:ascii="Trebuchet MS;sans-serif" w:hAnsi="Trebuchet MS;sans-serif"/>
          <w:b w:val="false"/>
          <w:i w:val="false"/>
          <w:caps w:val="false"/>
          <w:smallCaps w:val="false"/>
          <w:strike w:val="false"/>
          <w:dstrike w:val="false"/>
          <w:color w:val="000000"/>
          <w:sz w:val="24"/>
          <w:u w:val="none"/>
          <w:effect w:val="none"/>
        </w:rPr>
        <w:t xml:space="preserve">de saúde, </w:t>
      </w:r>
      <w:r>
        <w:rPr>
          <w:rFonts w:ascii="Trebuchet MS;sans-serif" w:hAnsi="Trebuchet MS;sans-serif"/>
          <w:b w:val="false"/>
          <w:i w:val="false"/>
          <w:caps w:val="false"/>
          <w:smallCaps w:val="false"/>
          <w:strike w:val="false"/>
          <w:dstrike w:val="false"/>
          <w:color w:val="000000"/>
          <w:sz w:val="24"/>
          <w:u w:val="none"/>
          <w:effect w:val="none"/>
        </w:rPr>
        <w:t>principalmente quando se trata da aquisição de alimentos</w:t>
      </w:r>
      <w:r>
        <w:rPr>
          <w:rFonts w:ascii="Trebuchet MS;sans-serif" w:hAnsi="Trebuchet MS;sans-serif"/>
          <w:b w:val="false"/>
          <w:i w:val="false"/>
          <w:caps w:val="false"/>
          <w:smallCaps w:val="false"/>
          <w:strike w:val="false"/>
          <w:dstrike w:val="false"/>
          <w:color w:val="000000"/>
          <w:sz w:val="24"/>
          <w:u w:val="none"/>
          <w:effect w:val="none"/>
        </w:rPr>
        <w:t xml:space="preserve">. </w:t>
      </w:r>
      <w:r>
        <w:rPr>
          <w:rFonts w:ascii="Trebuchet MS;sans-serif" w:hAnsi="Trebuchet MS;sans-serif"/>
          <w:b w:val="false"/>
          <w:i w:val="false"/>
          <w:caps w:val="false"/>
          <w:smallCaps w:val="false"/>
          <w:strike w:val="false"/>
          <w:dstrike w:val="false"/>
          <w:color w:val="000000"/>
          <w:sz w:val="24"/>
          <w:u w:val="none"/>
          <w:effect w:val="none"/>
        </w:rPr>
        <w:t xml:space="preserve">Os principais fatores correspondentes aos determinantes sociais são: a renda, a educação, o emprego, </w:t>
      </w:r>
      <w:r>
        <w:rPr>
          <w:rFonts w:eastAsia="Trebuchet MS" w:cs="" w:ascii="Trebuchet MS;sans-serif" w:hAnsi="Trebuchet MS;sans-serif"/>
          <w:b w:val="false"/>
          <w:i w:val="false"/>
          <w:caps w:val="false"/>
          <w:smallCaps w:val="false"/>
          <w:strike w:val="false"/>
          <w:dstrike w:val="false"/>
          <w:color w:val="000000"/>
          <w:kern w:val="2"/>
          <w:sz w:val="24"/>
          <w:szCs w:val="24"/>
          <w:u w:val="none"/>
          <w:effect w:val="none"/>
          <w:lang w:val="pt-BR" w:eastAsia="en-US" w:bidi="ar-SA"/>
        </w:rPr>
        <w:t>o</w:t>
      </w:r>
      <w:r>
        <w:rPr>
          <w:rFonts w:ascii="Trebuchet MS;sans-serif" w:hAnsi="Trebuchet MS;sans-serif"/>
          <w:b w:val="false"/>
          <w:i w:val="false"/>
          <w:caps w:val="false"/>
          <w:smallCaps w:val="false"/>
          <w:strike w:val="false"/>
          <w:dstrike w:val="false"/>
          <w:color w:val="000000"/>
          <w:sz w:val="24"/>
          <w:u w:val="none"/>
          <w:effect w:val="none"/>
        </w:rPr>
        <w:t xml:space="preserve"> acesso a serviços de saúde e as políticas sociais (</w:t>
      </w:r>
      <w:r>
        <w:rPr>
          <w:rFonts w:ascii="Trebuchet MS;sans-serif" w:hAnsi="Trebuchet MS;sans-serif"/>
          <w:b w:val="false"/>
          <w:i w:val="false"/>
          <w:caps w:val="false"/>
          <w:smallCaps w:val="false"/>
          <w:strike w:val="false"/>
          <w:dstrike w:val="false"/>
          <w:color w:val="000000"/>
          <w:spacing w:val="0"/>
          <w:sz w:val="24"/>
          <w:u w:val="none"/>
          <w:effect w:val="none"/>
        </w:rPr>
        <w:t>Buss; Pellegrini Filho, 2007).</w:t>
      </w:r>
    </w:p>
    <w:p>
      <w:pPr>
        <w:pStyle w:val="Corpodotexto"/>
        <w:bidi w:val="0"/>
        <w:spacing w:lineRule="auto" w:line="360" w:before="0" w:after="0"/>
        <w:ind w:left="0" w:right="0" w:firstLine="72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A caracterização do queijo artesanal também entra no jogo. Quanto maior a escala de comercialização, maior a exigência de cumprimento dos critérios sanitários para reduzir os riscos à saúde pública. O maior investimento financeiro para regularizar os critérios sanitários implica na venda para mais mercados, consequentemente no aumento da escala produtiva. As principais tecnologias que permitem esse aumento produtivo da fabricação durante todo o ano são: o plantio de pastagens exóticas resistentes às geadas durante o inverno no território e a aquisição de raças bovinas com maior resistência a parasitas e maior produção de leite. Essa tendência, se por um lado favorece a adequação da atividade aos novos ritmos de trabalhos agrícolas, por outro, oferece riscos à manutenção dos fatores que imprimem a identidade territorial ao QAS, principalmente aqueles que agregam a originalidade do queijo, como sabor e maturação vinculada com a época do ano. </w:t>
      </w:r>
    </w:p>
    <w:p>
      <w:pPr>
        <w:pStyle w:val="Corpodotexto"/>
        <w:bidi w:val="0"/>
        <w:spacing w:lineRule="auto" w:line="360" w:before="0" w:after="0"/>
        <w:ind w:left="0" w:right="0" w:firstLine="720"/>
        <w:jc w:val="both"/>
        <w:rPr/>
      </w:pPr>
      <w:r>
        <w:rPr/>
      </w:r>
    </w:p>
    <w:p>
      <w:pPr>
        <w:pStyle w:val="Corpodotexto"/>
        <w:bidi w:val="0"/>
        <w:spacing w:lineRule="auto" w:line="360" w:before="0" w:after="0"/>
        <w:ind w:left="0" w:right="0" w:hanging="2"/>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Comer: o acesso e uso do queijo</w:t>
      </w:r>
    </w:p>
    <w:p>
      <w:pPr>
        <w:pStyle w:val="Corpodotexto"/>
        <w:bidi w:val="0"/>
        <w:spacing w:lineRule="auto" w:line="360" w:before="0" w:after="0"/>
        <w:ind w:left="0" w:right="0" w:firstLine="72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A partir desse cenário, foi possível estipular três possíveis grupos de consumidores presentes no sistema produtivo do QAS:</w:t>
      </w:r>
    </w:p>
    <w:p>
      <w:pPr>
        <w:pStyle w:val="Corpodotexto"/>
        <w:spacing w:lineRule="auto" w:line="360"/>
        <w:rPr/>
      </w:pPr>
      <w:r>
        <w:rPr/>
      </w:r>
    </w:p>
    <w:p>
      <w:pPr>
        <w:pStyle w:val="Corpodotexto"/>
        <w:bidi w:val="0"/>
        <w:spacing w:lineRule="auto" w:line="360" w:before="0" w:after="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Grupo consumidor-situado</w:t>
      </w:r>
    </w:p>
    <w:p>
      <w:pPr>
        <w:pStyle w:val="Corpodotexto"/>
        <w:bidi w:val="0"/>
        <w:spacing w:lineRule="auto" w:line="360" w:before="0" w:after="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ab/>
        <w:t>As principais características des</w:t>
      </w:r>
      <w:r>
        <w:rPr>
          <w:rFonts w:ascii="Trebuchet MS;sans-serif" w:hAnsi="Trebuchet MS;sans-serif"/>
          <w:b w:val="false"/>
          <w:i w:val="false"/>
          <w:caps w:val="false"/>
          <w:smallCaps w:val="false"/>
          <w:strike w:val="false"/>
          <w:dstrike w:val="false"/>
          <w:color w:val="000000"/>
          <w:sz w:val="24"/>
          <w:u w:val="none"/>
          <w:effect w:val="none"/>
        </w:rPr>
        <w:t>s</w:t>
      </w:r>
      <w:r>
        <w:rPr>
          <w:rFonts w:ascii="Trebuchet MS;sans-serif" w:hAnsi="Trebuchet MS;sans-serif"/>
          <w:b w:val="false"/>
          <w:i w:val="false"/>
          <w:caps w:val="false"/>
          <w:smallCaps w:val="false"/>
          <w:strike w:val="false"/>
          <w:dstrike w:val="false"/>
          <w:color w:val="000000"/>
          <w:sz w:val="24"/>
          <w:u w:val="none"/>
          <w:effect w:val="none"/>
        </w:rPr>
        <w:t>e grupo s</w:t>
      </w:r>
      <w:r>
        <w:rPr>
          <w:rFonts w:ascii="Trebuchet MS;sans-serif" w:hAnsi="Trebuchet MS;sans-serif"/>
          <w:b w:val="false"/>
          <w:i w:val="false"/>
          <w:caps w:val="false"/>
          <w:smallCaps w:val="false"/>
          <w:strike w:val="false"/>
          <w:dstrike w:val="false"/>
          <w:color w:val="000000"/>
          <w:sz w:val="24"/>
          <w:u w:val="none"/>
          <w:effect w:val="none"/>
        </w:rPr>
        <w:t>ão su</w:t>
      </w:r>
      <w:r>
        <w:rPr>
          <w:rFonts w:ascii="Trebuchet MS;sans-serif" w:hAnsi="Trebuchet MS;sans-serif"/>
          <w:b w:val="false"/>
          <w:i w:val="false"/>
          <w:caps w:val="false"/>
          <w:smallCaps w:val="false"/>
          <w:strike w:val="false"/>
          <w:dstrike w:val="false"/>
          <w:color w:val="000000"/>
          <w:sz w:val="24"/>
          <w:u w:val="none"/>
          <w:effect w:val="none"/>
        </w:rPr>
        <w:t xml:space="preserve">a composição, </w:t>
      </w:r>
      <w:r>
        <w:rPr>
          <w:rFonts w:ascii="Trebuchet MS;sans-serif" w:hAnsi="Trebuchet MS;sans-serif"/>
          <w:b w:val="false"/>
          <w:i w:val="false"/>
          <w:caps w:val="false"/>
          <w:smallCaps w:val="false"/>
          <w:strike w:val="false"/>
          <w:dstrike w:val="false"/>
          <w:color w:val="000000"/>
          <w:sz w:val="24"/>
          <w:u w:val="none"/>
          <w:effect w:val="none"/>
        </w:rPr>
        <w:t>n</w:t>
      </w:r>
      <w:r>
        <w:rPr>
          <w:rFonts w:ascii="Trebuchet MS;sans-serif" w:hAnsi="Trebuchet MS;sans-serif"/>
          <w:b w:val="false"/>
          <w:i w:val="false"/>
          <w:caps w:val="false"/>
          <w:smallCaps w:val="false"/>
          <w:strike w:val="false"/>
          <w:dstrike w:val="false"/>
          <w:color w:val="000000"/>
          <w:sz w:val="24"/>
          <w:u w:val="none"/>
          <w:effect w:val="none"/>
        </w:rPr>
        <w:t xml:space="preserve">a maioria moradores locais, e pelo fator de proximidade com a unidade </w:t>
      </w:r>
      <w:r>
        <w:rPr>
          <w:rFonts w:ascii="Trebuchet MS;sans-serif" w:hAnsi="Trebuchet MS;sans-serif"/>
          <w:b w:val="false"/>
          <w:i w:val="false"/>
          <w:caps w:val="false"/>
          <w:smallCaps w:val="false"/>
          <w:strike w:val="false"/>
          <w:dstrike w:val="false"/>
          <w:color w:val="000000"/>
          <w:sz w:val="24"/>
          <w:u w:val="none"/>
          <w:effect w:val="none"/>
        </w:rPr>
        <w:t>produtiva</w:t>
      </w:r>
      <w:r>
        <w:rPr>
          <w:rFonts w:ascii="Trebuchet MS;sans-serif" w:hAnsi="Trebuchet MS;sans-serif"/>
          <w:b w:val="false"/>
          <w:i w:val="false"/>
          <w:caps w:val="false"/>
          <w:smallCaps w:val="false"/>
          <w:strike w:val="false"/>
          <w:dstrike w:val="false"/>
          <w:color w:val="000000"/>
          <w:sz w:val="24"/>
          <w:u w:val="none"/>
          <w:effect w:val="none"/>
        </w:rPr>
        <w:t xml:space="preserve"> para realizar a compra </w:t>
      </w:r>
      <w:r>
        <w:rPr>
          <w:rFonts w:ascii="Trebuchet MS;sans-serif" w:hAnsi="Trebuchet MS;sans-serif"/>
          <w:b w:val="false"/>
          <w:i w:val="false"/>
          <w:caps w:val="false"/>
          <w:smallCaps w:val="false"/>
          <w:strike w:val="false"/>
          <w:dstrike w:val="false"/>
          <w:color w:val="000000"/>
          <w:sz w:val="24"/>
          <w:u w:val="none"/>
          <w:effect w:val="none"/>
        </w:rPr>
        <w:t>direta</w:t>
      </w:r>
      <w:r>
        <w:rPr>
          <w:rFonts w:ascii="Trebuchet MS;sans-serif" w:hAnsi="Trebuchet MS;sans-serif"/>
          <w:b w:val="false"/>
          <w:i w:val="false"/>
          <w:caps w:val="false"/>
          <w:smallCaps w:val="false"/>
          <w:strike w:val="false"/>
          <w:dstrike w:val="false"/>
          <w:color w:val="000000"/>
          <w:sz w:val="24"/>
          <w:u w:val="none"/>
          <w:effect w:val="none"/>
        </w:rPr>
        <w:t>. Nesse sentido, Zaoual (2010) argumenta que os indivíduos que compõem o território possuem diferentes motivos para realizar seus comportamentos, porém, colaboram com a construção coletiva de uma racionalidade flexível, complexa e heterogênea, superando a superficialidade materialista nas relações. </w:t>
      </w:r>
      <w:r>
        <w:rPr>
          <w:rFonts w:ascii="Trebuchet MS;sans-serif" w:hAnsi="Trebuchet MS;sans-serif"/>
          <w:b w:val="false"/>
          <w:i w:val="false"/>
          <w:caps w:val="false"/>
          <w:smallCaps w:val="false"/>
          <w:strike w:val="false"/>
          <w:dstrike w:val="false"/>
          <w:color w:val="000000"/>
          <w:sz w:val="24"/>
          <w:u w:val="none"/>
          <w:effect w:val="none"/>
        </w:rPr>
        <w:t xml:space="preserve">Entra aqui também, as pessoas que produzem o QAS exclusivamente para o autoconsumo. Na pesquisa de campo, foram identificadas oito núcleo familiares que utilizavam o queijo na composição da sua dieta, realizando uma estratégia de SAN bem </w:t>
      </w:r>
      <w:r>
        <w:rPr>
          <w:rFonts w:ascii="Trebuchet MS;sans-serif" w:hAnsi="Trebuchet MS;sans-serif"/>
          <w:b w:val="false"/>
          <w:i w:val="false"/>
          <w:caps w:val="false"/>
          <w:smallCaps w:val="false"/>
          <w:strike w:val="false"/>
          <w:dstrike w:val="false"/>
          <w:color w:val="000000"/>
          <w:sz w:val="24"/>
          <w:u w:val="none"/>
          <w:effect w:val="none"/>
        </w:rPr>
        <w:t>valoroso para a reprodução social do território.</w:t>
      </w:r>
    </w:p>
    <w:p>
      <w:pPr>
        <w:pStyle w:val="Corpodotexto"/>
        <w:bidi w:val="0"/>
        <w:spacing w:lineRule="auto" w:line="360" w:before="0" w:after="0"/>
        <w:ind w:left="0" w:right="0" w:firstLine="720"/>
        <w:jc w:val="both"/>
        <w:rPr>
          <w:caps w:val="false"/>
          <w:smallCaps w:val="false"/>
          <w:strike w:val="false"/>
          <w:dstrike w:val="false"/>
          <w:color w:val="000000"/>
          <w:u w:val="none"/>
          <w:effect w:val="none"/>
        </w:rPr>
      </w:pPr>
      <w:r>
        <w:rPr>
          <w:rFonts w:ascii="Trebuchet MS;sans-serif" w:hAnsi="Trebuchet MS;sans-serif"/>
          <w:b w:val="false"/>
          <w:i w:val="false"/>
          <w:caps w:val="false"/>
          <w:smallCaps w:val="false"/>
          <w:strike w:val="false"/>
          <w:dstrike w:val="false"/>
          <w:color w:val="000000"/>
          <w:sz w:val="24"/>
          <w:u w:val="none"/>
          <w:effect w:val="none"/>
        </w:rPr>
        <w:t>Um exemplo possível de observação dessa combinação se dá no simples e habitual trajeto até a unidade produtiva. Esse grupo também faz o consumo das paisagens nativas e as outras particularidades da infraestrutura campo-cidade presente território. A reputação do queijo, nes</w:t>
      </w:r>
      <w:r>
        <w:rPr>
          <w:rFonts w:ascii="Trebuchet MS;sans-serif" w:hAnsi="Trebuchet MS;sans-serif"/>
          <w:b w:val="false"/>
          <w:i w:val="false"/>
          <w:caps w:val="false"/>
          <w:smallCaps w:val="false"/>
          <w:strike w:val="false"/>
          <w:dstrike w:val="false"/>
          <w:color w:val="000000"/>
          <w:sz w:val="24"/>
          <w:u w:val="none"/>
          <w:effect w:val="none"/>
        </w:rPr>
        <w:t>s</w:t>
      </w:r>
      <w:r>
        <w:rPr>
          <w:rFonts w:ascii="Trebuchet MS;sans-serif" w:hAnsi="Trebuchet MS;sans-serif"/>
          <w:b w:val="false"/>
          <w:i w:val="false"/>
          <w:caps w:val="false"/>
          <w:smallCaps w:val="false"/>
          <w:strike w:val="false"/>
          <w:dstrike w:val="false"/>
          <w:color w:val="000000"/>
          <w:sz w:val="24"/>
          <w:u w:val="none"/>
          <w:effect w:val="none"/>
        </w:rPr>
        <w:t>e ponto, se mistura com outros consumos indiretos, se firmando na valorização de especificidades territoriais ligadas aos bens públicos, tais como o bioma, o patrimônio natural e cultural.</w:t>
      </w:r>
    </w:p>
    <w:p>
      <w:pPr>
        <w:pStyle w:val="Corpodotexto"/>
        <w:bidi w:val="0"/>
        <w:spacing w:lineRule="auto" w:line="360" w:before="0" w:after="0"/>
        <w:ind w:left="0" w:right="0" w:firstLine="720"/>
        <w:jc w:val="both"/>
        <w:rPr/>
      </w:pPr>
      <w:r>
        <w:rPr>
          <w:rFonts w:ascii="Trebuchet MS;sans-serif" w:hAnsi="Trebuchet MS;sans-serif"/>
          <w:b w:val="false"/>
          <w:i w:val="false"/>
          <w:caps w:val="false"/>
          <w:smallCaps w:val="false"/>
          <w:strike w:val="false"/>
          <w:dstrike w:val="false"/>
          <w:color w:val="000000"/>
          <w:sz w:val="24"/>
          <w:u w:val="none"/>
          <w:effect w:val="none"/>
        </w:rPr>
        <w:t xml:space="preserve">Não tão explicitamente assim, as transformações em sistemas produtivos de agroalimentos, com a alteração das pastagens e perda da mata nativa, pode gerar influência do consumo do QAS durante o trajeto da compra. A percepção dessas transformações varia conforme ocorre a imersão da população, tanto a comunidade produtora quanto a consumidora, nos debates políticos sobre os impactos da modernização agrícola. </w:t>
      </w:r>
      <w:r>
        <w:rPr>
          <w:rFonts w:ascii="Trebuchet MS;sans-serif" w:hAnsi="Trebuchet MS;sans-serif"/>
          <w:b w:val="false"/>
          <w:i w:val="false"/>
          <w:caps w:val="false"/>
          <w:smallCaps w:val="false"/>
          <w:strike w:val="false"/>
          <w:dstrike w:val="false"/>
          <w:color w:val="000000"/>
          <w:sz w:val="24"/>
          <w:u w:val="none"/>
          <w:effect w:val="none"/>
        </w:rPr>
        <w:t>A</w:t>
      </w:r>
      <w:r>
        <w:rPr>
          <w:rFonts w:ascii="Trebuchet MS;sans-serif" w:hAnsi="Trebuchet MS;sans-serif"/>
          <w:b w:val="false"/>
          <w:i w:val="false"/>
          <w:caps w:val="false"/>
          <w:smallCaps w:val="false"/>
          <w:strike w:val="false"/>
          <w:dstrike w:val="false"/>
          <w:color w:val="000000"/>
          <w:sz w:val="24"/>
          <w:u w:val="none"/>
          <w:effect w:val="none"/>
        </w:rPr>
        <w:t xml:space="preserve">qui ganha evidência a importância das relações sociais que ocorrem durante a venda direta. O consumidor-situado, receberia estímulo para trocar suas percepções, colaborando com a construção social de valores locais, contribuindo com acúmulo dos conhecimentos e transversalização de saberes científico, técnico e popular do território, frente ao entendimento sobre as mudanças sociopolíticas manifestadas nos espaços socioambientais (Zaoual, 2006). Uma simples compra de queijo, portanto, pode ser transformada em manifestações </w:t>
      </w:r>
      <w:r>
        <w:rPr>
          <w:rFonts w:eastAsia="Trebuchet MS" w:cs="" w:ascii="Trebuchet MS;sans-serif" w:hAnsi="Trebuchet MS;sans-serif" w:cstheme="minorBidi" w:eastAsiaTheme="minorHAnsi"/>
          <w:b w:val="false"/>
          <w:i w:val="false"/>
          <w:caps w:val="false"/>
          <w:smallCaps w:val="false"/>
          <w:strike w:val="false"/>
          <w:dstrike w:val="false"/>
          <w:color w:val="000000"/>
          <w:kern w:val="2"/>
          <w:sz w:val="24"/>
          <w:szCs w:val="24"/>
          <w:u w:val="none"/>
          <w:effect w:val="none"/>
          <w:lang w:val="pt-BR" w:eastAsia="en-US" w:bidi="ar-SA"/>
          <w14:ligatures w14:val="standardContextual"/>
        </w:rPr>
        <w:t>d</w:t>
      </w:r>
      <w:r>
        <w:rPr>
          <w:rFonts w:ascii="Trebuchet MS;sans-serif" w:hAnsi="Trebuchet MS;sans-serif"/>
          <w:b w:val="false"/>
          <w:i w:val="false"/>
          <w:caps w:val="false"/>
          <w:smallCaps w:val="false"/>
          <w:strike w:val="false"/>
          <w:dstrike w:val="false"/>
          <w:color w:val="000000"/>
          <w:sz w:val="24"/>
          <w:u w:val="none"/>
          <w:effect w:val="none"/>
        </w:rPr>
        <w:t>e fortalecimento (e atualização) das tradições endêmicas.</w:t>
      </w:r>
    </w:p>
    <w:p>
      <w:pPr>
        <w:pStyle w:val="Corpodotexto"/>
        <w:bidi w:val="0"/>
        <w:spacing w:lineRule="auto" w:line="360" w:before="0" w:after="0"/>
        <w:ind w:left="0" w:right="0" w:firstLine="720"/>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Além disso, por se tratar de um produto de origem animal informal, emerge a importante reflexão sobre o impacto desse acesso no que tange às mobilizações de políticas públicas que envolvem a SAN (Cintrão, 2016). Dentro da segurança alimentar, o termo </w:t>
      </w:r>
      <w:r>
        <w:rPr>
          <w:rFonts w:ascii="Trebuchet MS;sans-serif" w:hAnsi="Trebuchet MS;sans-serif"/>
          <w:b w:val="false"/>
          <w:i/>
          <w:caps w:val="false"/>
          <w:smallCaps w:val="false"/>
          <w:strike w:val="false"/>
          <w:dstrike w:val="false"/>
          <w:color w:val="000000"/>
          <w:sz w:val="24"/>
          <w:u w:val="none"/>
          <w:effect w:val="none"/>
        </w:rPr>
        <w:t>Food Safety</w:t>
      </w:r>
      <w:r>
        <w:rPr>
          <w:b w:val="false"/>
          <w:caps w:val="false"/>
          <w:smallCaps w:val="false"/>
          <w:strike w:val="false"/>
          <w:dstrike w:val="false"/>
          <w:color w:val="000000"/>
          <w:u w:val="none"/>
          <w:effect w:val="none"/>
        </w:rPr>
        <w:t xml:space="preserve"> </w:t>
      </w:r>
      <w:r>
        <w:rPr>
          <w:rFonts w:ascii="Trebuchet MS;sans-serif" w:hAnsi="Trebuchet MS;sans-serif"/>
          <w:b w:val="false"/>
          <w:i w:val="false"/>
          <w:caps w:val="false"/>
          <w:smallCaps w:val="false"/>
          <w:strike w:val="false"/>
          <w:dstrike w:val="false"/>
          <w:color w:val="000000"/>
          <w:sz w:val="24"/>
          <w:u w:val="none"/>
          <w:effect w:val="none"/>
        </w:rPr>
        <w:t xml:space="preserve">defende o alimento seguro e adequado para o consumo, materializado pelas exigências sanitárias e o conjunto de legislações que promovem a inocuidade dos produtos de origem animal. Porém, a segurança alimentar também se compromete com a forma de acessar o alimento, através do termo </w:t>
      </w:r>
      <w:r>
        <w:rPr>
          <w:rFonts w:ascii="Trebuchet MS;sans-serif" w:hAnsi="Trebuchet MS;sans-serif"/>
          <w:b w:val="false"/>
          <w:i/>
          <w:caps w:val="false"/>
          <w:smallCaps w:val="false"/>
          <w:strike w:val="false"/>
          <w:dstrike w:val="false"/>
          <w:color w:val="000000"/>
          <w:sz w:val="24"/>
          <w:u w:val="none"/>
          <w:effect w:val="none"/>
        </w:rPr>
        <w:t>Food Security</w:t>
      </w:r>
      <w:r>
        <w:rPr>
          <w:rFonts w:ascii="Trebuchet MS;sans-serif" w:hAnsi="Trebuchet MS;sans-serif"/>
          <w:b w:val="false"/>
          <w:i w:val="false"/>
          <w:caps w:val="false"/>
          <w:smallCaps w:val="false"/>
          <w:strike w:val="false"/>
          <w:dstrike w:val="false"/>
          <w:color w:val="000000"/>
          <w:sz w:val="24"/>
          <w:u w:val="none"/>
          <w:effect w:val="none"/>
        </w:rPr>
        <w:t>, que, além da importância da qualidade sanitária, também prioriza a quantidade adequada, a qualidade cultural e as possibilidades de escolha quanto aos alimentos pelas populações. </w:t>
      </w:r>
    </w:p>
    <w:p>
      <w:pPr>
        <w:pStyle w:val="Corpodotexto"/>
        <w:bidi w:val="0"/>
        <w:spacing w:lineRule="auto" w:line="360" w:before="0" w:after="0"/>
        <w:ind w:left="0" w:right="0" w:firstLine="72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Assim, a existência desse grupo levanta questões sobre a dualidade da formulação de políticas públicas de acesso à alimentos de qualidade e de políticas públicas de segurança alimentar que promovem a saúde pública.</w:t>
      </w:r>
    </w:p>
    <w:p>
      <w:pPr>
        <w:pStyle w:val="Corpodotexto"/>
        <w:spacing w:lineRule="auto" w:line="360"/>
        <w:rPr/>
      </w:pPr>
      <w:r>
        <w:rPr/>
      </w:r>
    </w:p>
    <w:p>
      <w:pPr>
        <w:pStyle w:val="Corpodotexto"/>
        <w:bidi w:val="0"/>
        <w:spacing w:lineRule="auto" w:line="360" w:before="0" w:after="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Grupo consumidor-comprador</w:t>
      </w:r>
    </w:p>
    <w:p>
      <w:pPr>
        <w:pStyle w:val="Corpodotexto"/>
        <w:bidi w:val="0"/>
        <w:spacing w:lineRule="auto" w:line="360" w:before="0" w:after="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ab/>
        <w:t xml:space="preserve">Aqui, o queijo já recebe uma nova leitura de consumo, </w:t>
      </w:r>
      <w:r>
        <w:rPr>
          <w:rFonts w:eastAsia="Trebuchet MS" w:cs="" w:ascii="Trebuchet MS;sans-serif" w:hAnsi="Trebuchet MS;sans-serif" w:cstheme="minorBidi" w:eastAsiaTheme="minorHAnsi"/>
          <w:b w:val="false"/>
          <w:i w:val="false"/>
          <w:caps w:val="false"/>
          <w:smallCaps w:val="false"/>
          <w:strike w:val="false"/>
          <w:dstrike w:val="false"/>
          <w:color w:val="000000"/>
          <w:kern w:val="2"/>
          <w:sz w:val="24"/>
          <w:szCs w:val="24"/>
          <w:u w:val="none"/>
          <w:effect w:val="none"/>
          <w:lang w:val="pt-BR" w:eastAsia="en-US" w:bidi="ar-SA"/>
          <w14:ligatures w14:val="standardContextual"/>
        </w:rPr>
        <w:t>no qual a sua</w:t>
      </w:r>
      <w:r>
        <w:rPr>
          <w:rFonts w:ascii="Trebuchet MS;sans-serif" w:hAnsi="Trebuchet MS;sans-serif"/>
          <w:b w:val="false"/>
          <w:i w:val="false"/>
          <w:caps w:val="false"/>
          <w:smallCaps w:val="false"/>
          <w:strike w:val="false"/>
          <w:dstrike w:val="false"/>
          <w:color w:val="000000"/>
          <w:sz w:val="24"/>
          <w:u w:val="none"/>
          <w:effect w:val="none"/>
        </w:rPr>
        <w:t xml:space="preserve"> reputação e seu acesso </w:t>
      </w:r>
      <w:r>
        <w:rPr>
          <w:rFonts w:ascii="Trebuchet MS;sans-serif" w:hAnsi="Trebuchet MS;sans-serif"/>
          <w:b w:val="false"/>
          <w:i w:val="false"/>
          <w:caps w:val="false"/>
          <w:smallCaps w:val="false"/>
          <w:strike w:val="false"/>
          <w:dstrike w:val="false"/>
          <w:color w:val="000000"/>
          <w:sz w:val="24"/>
          <w:u w:val="none"/>
          <w:effect w:val="none"/>
        </w:rPr>
        <w:t>ganham maior amplitude difusora  que o primeiro grupo</w:t>
      </w:r>
      <w:r>
        <w:rPr>
          <w:rFonts w:ascii="Trebuchet MS;sans-serif" w:hAnsi="Trebuchet MS;sans-serif"/>
          <w:b w:val="false"/>
          <w:i w:val="false"/>
          <w:caps w:val="false"/>
          <w:smallCaps w:val="false"/>
          <w:strike w:val="false"/>
          <w:dstrike w:val="false"/>
          <w:color w:val="000000"/>
          <w:sz w:val="24"/>
          <w:u w:val="none"/>
          <w:effect w:val="none"/>
        </w:rPr>
        <w:t>.</w:t>
      </w:r>
      <w:r>
        <w:rPr>
          <w:rFonts w:ascii="Trebuchet MS;sans-serif" w:hAnsi="Trebuchet MS;sans-serif"/>
          <w:b w:val="false"/>
          <w:i w:val="false"/>
          <w:caps w:val="false"/>
          <w:smallCaps w:val="false"/>
          <w:strike w:val="false"/>
          <w:dstrike w:val="false"/>
          <w:color w:val="000000"/>
          <w:sz w:val="24"/>
          <w:u w:val="none"/>
          <w:effect w:val="none"/>
        </w:rPr>
        <w:t xml:space="preserve"> </w:t>
      </w:r>
      <w:r>
        <w:rPr>
          <w:rFonts w:ascii="Trebuchet MS;sans-serif" w:hAnsi="Trebuchet MS;sans-serif"/>
          <w:b w:val="false"/>
          <w:i w:val="false"/>
          <w:caps w:val="false"/>
          <w:smallCaps w:val="false"/>
          <w:strike w:val="false"/>
          <w:dstrike w:val="false"/>
          <w:color w:val="000000"/>
          <w:sz w:val="24"/>
          <w:u w:val="none"/>
          <w:effect w:val="none"/>
        </w:rPr>
        <w:t xml:space="preserve">Sabe-se que, a partir da pesquisa de campo realizada, esse tipo de consumo não se restringe apenas à população local, </w:t>
      </w:r>
      <w:r>
        <w:rPr>
          <w:rFonts w:ascii="Trebuchet MS;sans-serif" w:hAnsi="Trebuchet MS;sans-serif"/>
          <w:b w:val="false"/>
          <w:i w:val="false"/>
          <w:caps w:val="false"/>
          <w:smallCaps w:val="false"/>
          <w:strike w:val="false"/>
          <w:dstrike w:val="false"/>
          <w:color w:val="000000"/>
          <w:sz w:val="24"/>
          <w:u w:val="none"/>
          <w:effect w:val="none"/>
        </w:rPr>
        <w:t xml:space="preserve">a qual, </w:t>
      </w:r>
      <w:r>
        <w:rPr>
          <w:rFonts w:eastAsia="Trebuchet MS" w:cs="" w:ascii="Trebuchet MS;sans-serif" w:hAnsi="Trebuchet MS;sans-serif"/>
          <w:b w:val="false"/>
          <w:i w:val="false"/>
          <w:caps w:val="false"/>
          <w:smallCaps w:val="false"/>
          <w:strike w:val="false"/>
          <w:dstrike w:val="false"/>
          <w:color w:val="000000"/>
          <w:kern w:val="2"/>
          <w:sz w:val="24"/>
          <w:szCs w:val="24"/>
          <w:u w:val="none"/>
          <w:effect w:val="none"/>
          <w:lang w:val="pt-BR" w:eastAsia="en-US" w:bidi="ar-SA"/>
        </w:rPr>
        <w:t>aqui</w:t>
      </w:r>
      <w:r>
        <w:rPr>
          <w:rFonts w:ascii="Trebuchet MS;sans-serif" w:hAnsi="Trebuchet MS;sans-serif"/>
          <w:b w:val="false"/>
          <w:i w:val="false"/>
          <w:caps w:val="false"/>
          <w:smallCaps w:val="false"/>
          <w:strike w:val="false"/>
          <w:dstrike w:val="false"/>
          <w:color w:val="000000"/>
          <w:sz w:val="24"/>
          <w:u w:val="none"/>
          <w:effect w:val="none"/>
        </w:rPr>
        <w:t xml:space="preserve">, </w:t>
      </w:r>
      <w:r>
        <w:rPr>
          <w:rFonts w:eastAsia="Trebuchet MS" w:cs="" w:ascii="Trebuchet MS;sans-serif" w:hAnsi="Trebuchet MS;sans-serif"/>
          <w:b w:val="false"/>
          <w:i w:val="false"/>
          <w:caps w:val="false"/>
          <w:smallCaps w:val="false"/>
          <w:strike w:val="false"/>
          <w:dstrike w:val="false"/>
          <w:color w:val="000000"/>
          <w:kern w:val="2"/>
          <w:sz w:val="24"/>
          <w:szCs w:val="24"/>
          <w:u w:val="none"/>
          <w:effect w:val="none"/>
          <w:lang w:val="pt-BR" w:eastAsia="en-US" w:bidi="ar-SA"/>
        </w:rPr>
        <w:t>acessa</w:t>
      </w:r>
      <w:r>
        <w:rPr>
          <w:rFonts w:ascii="Trebuchet MS;sans-serif" w:hAnsi="Trebuchet MS;sans-serif"/>
          <w:b w:val="false"/>
          <w:i w:val="false"/>
          <w:caps w:val="false"/>
          <w:smallCaps w:val="false"/>
          <w:strike w:val="false"/>
          <w:dstrike w:val="false"/>
          <w:color w:val="000000"/>
          <w:sz w:val="24"/>
          <w:u w:val="none"/>
          <w:effect w:val="none"/>
        </w:rPr>
        <w:t xml:space="preserve"> o queijo </w:t>
      </w:r>
      <w:r>
        <w:rPr>
          <w:rFonts w:eastAsia="Trebuchet MS" w:cs="" w:ascii="Trebuchet MS;sans-serif" w:hAnsi="Trebuchet MS;sans-serif"/>
          <w:b w:val="false"/>
          <w:i w:val="false"/>
          <w:caps w:val="false"/>
          <w:smallCaps w:val="false"/>
          <w:strike w:val="false"/>
          <w:dstrike w:val="false"/>
          <w:color w:val="000000"/>
          <w:kern w:val="2"/>
          <w:sz w:val="24"/>
          <w:szCs w:val="24"/>
          <w:u w:val="none"/>
          <w:effect w:val="none"/>
          <w:lang w:val="pt-BR" w:eastAsia="en-US" w:bidi="ar-SA"/>
        </w:rPr>
        <w:t>pel</w:t>
      </w:r>
      <w:r>
        <w:rPr>
          <w:rFonts w:ascii="Trebuchet MS;sans-serif" w:hAnsi="Trebuchet MS;sans-serif"/>
          <w:b w:val="false"/>
          <w:i w:val="false"/>
          <w:caps w:val="false"/>
          <w:smallCaps w:val="false"/>
          <w:strike w:val="false"/>
          <w:dstrike w:val="false"/>
          <w:color w:val="000000"/>
          <w:sz w:val="24"/>
          <w:u w:val="none"/>
          <w:effect w:val="none"/>
        </w:rPr>
        <w:t xml:space="preserve">a entrega do produto </w:t>
      </w:r>
      <w:r>
        <w:rPr>
          <w:rFonts w:ascii="Trebuchet MS;sans-serif" w:hAnsi="Trebuchet MS;sans-serif"/>
          <w:b w:val="false"/>
          <w:i w:val="false"/>
          <w:caps w:val="false"/>
          <w:smallCaps w:val="false"/>
          <w:strike w:val="false"/>
          <w:dstrike w:val="false"/>
          <w:color w:val="000000"/>
          <w:sz w:val="24"/>
          <w:u w:val="none"/>
          <w:effect w:val="none"/>
        </w:rPr>
        <w:t>em</w:t>
      </w:r>
      <w:r>
        <w:rPr>
          <w:rFonts w:ascii="Trebuchet MS;sans-serif" w:hAnsi="Trebuchet MS;sans-serif"/>
          <w:b w:val="false"/>
          <w:i w:val="false"/>
          <w:caps w:val="false"/>
          <w:smallCaps w:val="false"/>
          <w:strike w:val="false"/>
          <w:dstrike w:val="false"/>
          <w:color w:val="000000"/>
          <w:sz w:val="24"/>
          <w:u w:val="none"/>
          <w:effect w:val="none"/>
        </w:rPr>
        <w:t xml:space="preserve"> domicílio, </w:t>
      </w:r>
      <w:r>
        <w:rPr>
          <w:rFonts w:ascii="Trebuchet MS;sans-serif" w:hAnsi="Trebuchet MS;sans-serif"/>
          <w:b w:val="false"/>
          <w:i w:val="false"/>
          <w:caps w:val="false"/>
          <w:smallCaps w:val="false"/>
          <w:strike w:val="false"/>
          <w:dstrike w:val="false"/>
          <w:color w:val="000000"/>
          <w:spacing w:val="0"/>
          <w:sz w:val="24"/>
          <w:u w:val="none"/>
          <w:effect w:val="none"/>
        </w:rPr>
        <w:t xml:space="preserve">nos locais de trabalho </w:t>
      </w:r>
      <w:r>
        <w:rPr>
          <w:rFonts w:ascii="Trebuchet MS;sans-serif" w:hAnsi="Trebuchet MS;sans-serif"/>
          <w:b w:val="false"/>
          <w:i w:val="false"/>
          <w:caps w:val="false"/>
          <w:smallCaps w:val="false"/>
          <w:strike w:val="false"/>
          <w:dstrike w:val="false"/>
          <w:color w:val="000000"/>
          <w:spacing w:val="0"/>
          <w:sz w:val="24"/>
          <w:u w:val="none"/>
          <w:effect w:val="none"/>
        </w:rPr>
        <w:t>e</w:t>
      </w:r>
      <w:r>
        <w:rPr>
          <w:rFonts w:ascii="Trebuchet MS;sans-serif" w:hAnsi="Trebuchet MS;sans-serif"/>
          <w:b w:val="false"/>
          <w:i w:val="false"/>
          <w:caps w:val="false"/>
          <w:smallCaps w:val="false"/>
          <w:strike w:val="false"/>
          <w:dstrike w:val="false"/>
          <w:color w:val="000000"/>
          <w:spacing w:val="0"/>
          <w:sz w:val="24"/>
          <w:u w:val="none"/>
          <w:effect w:val="none"/>
        </w:rPr>
        <w:t xml:space="preserve"> nas feiras, </w:t>
      </w:r>
      <w:r>
        <w:rPr>
          <w:rFonts w:ascii="Trebuchet MS;sans-serif" w:hAnsi="Trebuchet MS;sans-serif"/>
          <w:b w:val="false"/>
          <w:i w:val="false"/>
          <w:caps w:val="false"/>
          <w:smallCaps w:val="false"/>
          <w:strike w:val="false"/>
          <w:dstrike w:val="false"/>
          <w:color w:val="000000"/>
          <w:spacing w:val="0"/>
          <w:sz w:val="24"/>
          <w:u w:val="none"/>
          <w:effect w:val="none"/>
        </w:rPr>
        <w:t>por exemplo</w:t>
      </w:r>
      <w:r>
        <w:rPr>
          <w:rFonts w:ascii="Trebuchet MS;sans-serif" w:hAnsi="Trebuchet MS;sans-serif"/>
          <w:b w:val="false"/>
          <w:i w:val="false"/>
          <w:caps w:val="false"/>
          <w:smallCaps w:val="false"/>
          <w:strike w:val="false"/>
          <w:dstrike w:val="false"/>
          <w:color w:val="000000"/>
          <w:sz w:val="24"/>
          <w:u w:val="none"/>
          <w:effect w:val="none"/>
        </w:rPr>
        <w:t>.</w:t>
      </w:r>
      <w:r>
        <w:rPr>
          <w:rFonts w:ascii="Trebuchet MS;sans-serif" w:hAnsi="Trebuchet MS;sans-serif"/>
          <w:b w:val="false"/>
          <w:i w:val="false"/>
          <w:caps w:val="false"/>
          <w:smallCaps w:val="false"/>
          <w:strike w:val="false"/>
          <w:dstrike w:val="false"/>
          <w:color w:val="000000"/>
          <w:sz w:val="24"/>
          <w:u w:val="none"/>
          <w:effect w:val="none"/>
        </w:rPr>
        <w:t xml:space="preserve"> A</w:t>
      </w:r>
      <w:r>
        <w:rPr>
          <w:rFonts w:ascii="Trebuchet MS;sans-serif" w:hAnsi="Trebuchet MS;sans-serif"/>
          <w:b w:val="false"/>
          <w:i w:val="false"/>
          <w:caps w:val="false"/>
          <w:smallCaps w:val="false"/>
          <w:strike w:val="false"/>
          <w:dstrike w:val="false"/>
          <w:color w:val="000000"/>
          <w:sz w:val="24"/>
          <w:u w:val="none"/>
          <w:effect w:val="none"/>
        </w:rPr>
        <w:t>ssim, a</w:t>
      </w:r>
      <w:r>
        <w:rPr>
          <w:rFonts w:ascii="Trebuchet MS;sans-serif" w:hAnsi="Trebuchet MS;sans-serif"/>
          <w:b w:val="false"/>
          <w:i w:val="false"/>
          <w:caps w:val="false"/>
          <w:smallCaps w:val="false"/>
          <w:strike w:val="false"/>
          <w:dstrike w:val="false"/>
          <w:color w:val="000000"/>
          <w:sz w:val="24"/>
          <w:u w:val="none"/>
          <w:effect w:val="none"/>
        </w:rPr>
        <w:t xml:space="preserve"> porção da população local ainda interage com a pessoa produtora, colaborando com a relação de confiança e em alguma parte com a reputação costurada </w:t>
      </w:r>
      <w:r>
        <w:rPr>
          <w:rFonts w:ascii="Trebuchet MS;sans-serif" w:hAnsi="Trebuchet MS;sans-serif"/>
          <w:b w:val="false"/>
          <w:i w:val="false"/>
          <w:caps w:val="false"/>
          <w:smallCaps w:val="false"/>
          <w:strike w:val="false"/>
          <w:dstrike w:val="false"/>
          <w:color w:val="000000"/>
          <w:sz w:val="24"/>
          <w:u w:val="none"/>
          <w:effect w:val="none"/>
        </w:rPr>
        <w:t>a</w:t>
      </w:r>
      <w:r>
        <w:rPr>
          <w:rFonts w:ascii="Trebuchet MS;sans-serif" w:hAnsi="Trebuchet MS;sans-serif"/>
          <w:b w:val="false"/>
          <w:i w:val="false"/>
          <w:caps w:val="false"/>
          <w:smallCaps w:val="false"/>
          <w:strike w:val="false"/>
          <w:dstrike w:val="false"/>
          <w:color w:val="000000"/>
          <w:sz w:val="24"/>
          <w:u w:val="none"/>
          <w:effect w:val="none"/>
        </w:rPr>
        <w:t xml:space="preserve"> sua história de consumo, mas parcialmente com a paisagem e os modos de produção, </w:t>
      </w:r>
      <w:r>
        <w:rPr>
          <w:rFonts w:ascii="Trebuchet MS;sans-serif" w:hAnsi="Trebuchet MS;sans-serif"/>
          <w:b w:val="false"/>
          <w:i w:val="false"/>
          <w:caps w:val="false"/>
          <w:smallCaps w:val="false"/>
          <w:strike w:val="false"/>
          <w:dstrike w:val="false"/>
          <w:color w:val="000000"/>
          <w:sz w:val="24"/>
          <w:u w:val="none"/>
          <w:effect w:val="none"/>
        </w:rPr>
        <w:t xml:space="preserve">como </w:t>
      </w:r>
      <w:r>
        <w:rPr>
          <w:rFonts w:ascii="Trebuchet MS;sans-serif" w:hAnsi="Trebuchet MS;sans-serif"/>
          <w:b w:val="false"/>
          <w:i w:val="false"/>
          <w:caps w:val="false"/>
          <w:smallCaps w:val="false"/>
          <w:strike w:val="false"/>
          <w:dstrike w:val="false"/>
          <w:color w:val="000000"/>
          <w:sz w:val="24"/>
          <w:u w:val="none"/>
          <w:effect w:val="none"/>
        </w:rPr>
        <w:t>escolher o queijo e as trocas de saberes.</w:t>
      </w:r>
    </w:p>
    <w:p>
      <w:pPr>
        <w:pStyle w:val="Corpodotexto"/>
        <w:bidi w:val="0"/>
        <w:spacing w:lineRule="auto" w:line="360" w:before="0" w:after="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ab/>
      </w:r>
      <w:r>
        <w:rPr>
          <w:rFonts w:ascii="Trebuchet MS;sans-serif" w:hAnsi="Trebuchet MS;sans-serif"/>
          <w:b w:val="false"/>
          <w:i w:val="false"/>
          <w:caps w:val="false"/>
          <w:smallCaps w:val="false"/>
          <w:strike w:val="false"/>
          <w:dstrike w:val="false"/>
          <w:color w:val="000000"/>
          <w:sz w:val="24"/>
          <w:u w:val="none"/>
          <w:effect w:val="none"/>
        </w:rPr>
        <w:t>Pode ser</w:t>
      </w:r>
      <w:r>
        <w:rPr>
          <w:rFonts w:ascii="Trebuchet MS;sans-serif" w:hAnsi="Trebuchet MS;sans-serif"/>
          <w:b w:val="false"/>
          <w:i w:val="false"/>
          <w:caps w:val="false"/>
          <w:smallCaps w:val="false"/>
          <w:strike w:val="false"/>
          <w:dstrike w:val="false"/>
          <w:color w:val="000000"/>
          <w:sz w:val="24"/>
          <w:u w:val="none"/>
          <w:effect w:val="none"/>
        </w:rPr>
        <w:t xml:space="preserve"> estipulado que mais da metade da composição </w:t>
      </w:r>
      <w:r>
        <w:rPr>
          <w:rFonts w:ascii="Trebuchet MS;sans-serif" w:hAnsi="Trebuchet MS;sans-serif"/>
          <w:b w:val="false"/>
          <w:i w:val="false"/>
          <w:caps w:val="false"/>
          <w:smallCaps w:val="false"/>
          <w:strike w:val="false"/>
          <w:dstrike w:val="false"/>
          <w:color w:val="000000"/>
          <w:sz w:val="24"/>
          <w:u w:val="none"/>
          <w:effect w:val="none"/>
        </w:rPr>
        <w:t>desse grupo</w:t>
      </w:r>
      <w:r>
        <w:rPr>
          <w:rFonts w:ascii="Trebuchet MS;sans-serif" w:hAnsi="Trebuchet MS;sans-serif"/>
          <w:b w:val="false"/>
          <w:i w:val="false"/>
          <w:caps w:val="false"/>
          <w:smallCaps w:val="false"/>
          <w:strike w:val="false"/>
          <w:dstrike w:val="false"/>
          <w:color w:val="000000"/>
          <w:sz w:val="24"/>
          <w:u w:val="none"/>
          <w:effect w:val="none"/>
        </w:rPr>
        <w:t xml:space="preserve"> </w:t>
      </w:r>
      <w:r>
        <w:rPr>
          <w:rFonts w:eastAsia="Trebuchet MS" w:cs="" w:ascii="Trebuchet MS;sans-serif" w:hAnsi="Trebuchet MS;sans-serif" w:cstheme="minorBidi" w:eastAsiaTheme="minorHAnsi"/>
          <w:b w:val="false"/>
          <w:i w:val="false"/>
          <w:caps w:val="false"/>
          <w:smallCaps w:val="false"/>
          <w:strike w:val="false"/>
          <w:dstrike w:val="false"/>
          <w:color w:val="000000"/>
          <w:kern w:val="2"/>
          <w:sz w:val="24"/>
          <w:szCs w:val="24"/>
          <w:u w:val="none"/>
          <w:effect w:val="none"/>
          <w:lang w:val="pt-BR" w:eastAsia="en-US" w:bidi="ar-SA"/>
          <w14:ligatures w14:val="standardContextual"/>
        </w:rPr>
        <w:t>inclui</w:t>
      </w:r>
      <w:r>
        <w:rPr>
          <w:rFonts w:ascii="Trebuchet MS;sans-serif" w:hAnsi="Trebuchet MS;sans-serif"/>
          <w:b w:val="false"/>
          <w:i w:val="false"/>
          <w:caps w:val="false"/>
          <w:smallCaps w:val="false"/>
          <w:strike w:val="false"/>
          <w:dstrike w:val="false"/>
          <w:color w:val="000000"/>
          <w:sz w:val="24"/>
          <w:u w:val="none"/>
          <w:effect w:val="none"/>
        </w:rPr>
        <w:t xml:space="preserve"> turistas. A reputação aqui, então, pode receber grande influência a partir da culinária local difundida em outros espaços de divulgação, como eventos festivos, restaurantes e hotéis. </w:t>
      </w:r>
    </w:p>
    <w:p>
      <w:pPr>
        <w:pStyle w:val="Corpodotexto"/>
        <w:bidi w:val="0"/>
        <w:spacing w:lineRule="auto" w:line="360" w:before="0" w:after="0"/>
        <w:ind w:left="0" w:right="0" w:firstLine="720"/>
        <w:jc w:val="both"/>
        <w:rPr/>
      </w:pPr>
      <w:r>
        <w:rPr>
          <w:rFonts w:ascii="Trebuchet MS;sans-serif" w:hAnsi="Trebuchet MS;sans-serif"/>
          <w:b w:val="false"/>
          <w:i w:val="false"/>
          <w:caps w:val="false"/>
          <w:smallCaps w:val="false"/>
          <w:strike w:val="false"/>
          <w:dstrike w:val="false"/>
          <w:color w:val="000000"/>
          <w:sz w:val="24"/>
          <w:u w:val="none"/>
          <w:effect w:val="none"/>
        </w:rPr>
        <w:t xml:space="preserve">Cabe lembrar que o território da Serra Catarinense possui forte reconhecimento de turismo por suas paisagens naturais (Guzzatti; Gelbcke; Cazella, 2024) e que o turismo </w:t>
      </w:r>
      <w:r>
        <w:rPr>
          <w:rFonts w:eastAsia="Trebuchet MS" w:cs="" w:ascii="Trebuchet MS;sans-serif" w:hAnsi="Trebuchet MS;sans-serif" w:cstheme="minorBidi" w:eastAsiaTheme="minorHAnsi"/>
          <w:b w:val="false"/>
          <w:i w:val="false"/>
          <w:caps w:val="false"/>
          <w:smallCaps w:val="false"/>
          <w:strike w:val="false"/>
          <w:dstrike w:val="false"/>
          <w:color w:val="000000"/>
          <w:kern w:val="2"/>
          <w:sz w:val="24"/>
          <w:szCs w:val="24"/>
          <w:u w:val="none"/>
          <w:effect w:val="none"/>
          <w:lang w:val="pt-BR" w:eastAsia="en-US" w:bidi="ar-SA"/>
          <w14:ligatures w14:val="standardContextual"/>
        </w:rPr>
        <w:t>de massa</w:t>
      </w:r>
      <w:r>
        <w:rPr>
          <w:rFonts w:ascii="Trebuchet MS;sans-serif" w:hAnsi="Trebuchet MS;sans-serif"/>
          <w:b w:val="false"/>
          <w:i w:val="false"/>
          <w:caps w:val="false"/>
          <w:smallCaps w:val="false"/>
          <w:strike w:val="false"/>
          <w:dstrike w:val="false"/>
          <w:color w:val="000000"/>
          <w:sz w:val="24"/>
          <w:u w:val="none"/>
          <w:effect w:val="none"/>
        </w:rPr>
        <w:t xml:space="preserve"> não está inteiramente </w:t>
      </w:r>
      <w:r>
        <w:rPr>
          <w:rFonts w:eastAsia="Trebuchet MS" w:cs="" w:ascii="Trebuchet MS;sans-serif" w:hAnsi="Trebuchet MS;sans-serif" w:cstheme="minorBidi" w:eastAsiaTheme="minorHAnsi"/>
          <w:b w:val="false"/>
          <w:i w:val="false"/>
          <w:caps w:val="false"/>
          <w:smallCaps w:val="false"/>
          <w:strike w:val="false"/>
          <w:dstrike w:val="false"/>
          <w:color w:val="000000"/>
          <w:kern w:val="2"/>
          <w:sz w:val="24"/>
          <w:szCs w:val="24"/>
          <w:u w:val="none"/>
          <w:effect w:val="none"/>
          <w:lang w:val="pt-BR" w:eastAsia="en-US" w:bidi="ar-SA"/>
          <w14:ligatures w14:val="standardContextual"/>
        </w:rPr>
        <w:t>ligado</w:t>
      </w:r>
      <w:r>
        <w:rPr>
          <w:rFonts w:ascii="Trebuchet MS;sans-serif" w:hAnsi="Trebuchet MS;sans-serif"/>
          <w:b w:val="false"/>
          <w:i w:val="false"/>
          <w:caps w:val="false"/>
          <w:smallCaps w:val="false"/>
          <w:strike w:val="false"/>
          <w:dstrike w:val="false"/>
          <w:color w:val="000000"/>
          <w:sz w:val="24"/>
          <w:u w:val="none"/>
          <w:effect w:val="none"/>
        </w:rPr>
        <w:t xml:space="preserve"> a existência das unidades produtivas informais, restringindo o seu consumo aos mercados especializados e convencionais. Contudo, sua contribuição não se reduz somente à dimensão econômica da compra em mercados inspecionados. Diferentemente do grupo anterior, este grupo por dividir espaço com </w:t>
      </w:r>
      <w:r>
        <w:rPr>
          <w:rFonts w:eastAsia="Trebuchet MS" w:cs="" w:ascii="Trebuchet MS;sans-serif" w:hAnsi="Trebuchet MS;sans-serif" w:cstheme="minorBidi" w:eastAsiaTheme="minorHAnsi"/>
          <w:b w:val="false"/>
          <w:i w:val="false"/>
          <w:caps w:val="false"/>
          <w:smallCaps w:val="false"/>
          <w:strike w:val="false"/>
          <w:dstrike w:val="false"/>
          <w:color w:val="000000"/>
          <w:kern w:val="2"/>
          <w:sz w:val="24"/>
          <w:szCs w:val="24"/>
          <w:u w:val="none"/>
          <w:effect w:val="none"/>
          <w:lang w:val="pt-BR" w:eastAsia="en-US" w:bidi="ar-SA"/>
          <w14:ligatures w14:val="standardContextual"/>
        </w:rPr>
        <w:t>pessoas</w:t>
      </w:r>
      <w:r>
        <w:rPr>
          <w:rFonts w:ascii="Trebuchet MS;sans-serif" w:hAnsi="Trebuchet MS;sans-serif"/>
          <w:b w:val="false"/>
          <w:i w:val="false"/>
          <w:caps w:val="false"/>
          <w:smallCaps w:val="false"/>
          <w:strike w:val="false"/>
          <w:dstrike w:val="false"/>
          <w:color w:val="000000"/>
          <w:sz w:val="24"/>
          <w:u w:val="none"/>
          <w:effect w:val="none"/>
        </w:rPr>
        <w:t xml:space="preserve"> que não moram no território, </w:t>
      </w:r>
      <w:r>
        <w:rPr>
          <w:rFonts w:eastAsia="Trebuchet MS" w:cs="" w:ascii="Trebuchet MS;sans-serif" w:hAnsi="Trebuchet MS;sans-serif" w:cstheme="minorBidi" w:eastAsiaTheme="minorHAnsi"/>
          <w:b w:val="false"/>
          <w:i w:val="false"/>
          <w:caps w:val="false"/>
          <w:smallCaps w:val="false"/>
          <w:strike w:val="false"/>
          <w:dstrike w:val="false"/>
          <w:color w:val="000000"/>
          <w:kern w:val="2"/>
          <w:sz w:val="24"/>
          <w:szCs w:val="24"/>
          <w:u w:val="none"/>
          <w:effect w:val="none"/>
          <w:lang w:val="pt-BR" w:eastAsia="en-US" w:bidi="ar-SA"/>
          <w14:ligatures w14:val="standardContextual"/>
        </w:rPr>
        <w:t>seus integrantes</w:t>
      </w:r>
      <w:r>
        <w:rPr>
          <w:rFonts w:ascii="Trebuchet MS;sans-serif" w:hAnsi="Trebuchet MS;sans-serif"/>
          <w:b w:val="false"/>
          <w:i w:val="false"/>
          <w:caps w:val="false"/>
          <w:smallCaps w:val="false"/>
          <w:strike w:val="false"/>
          <w:dstrike w:val="false"/>
          <w:color w:val="000000"/>
          <w:sz w:val="24"/>
          <w:u w:val="none"/>
          <w:effect w:val="none"/>
        </w:rPr>
        <w:t xml:space="preserve"> participam da construção da reputação em outras escalas geográficas, difundindo outras leituras do “queijo-mercadoria”.</w:t>
      </w:r>
    </w:p>
    <w:p>
      <w:pPr>
        <w:pStyle w:val="Corpodotexto"/>
        <w:bidi w:val="0"/>
        <w:spacing w:lineRule="auto" w:line="360" w:before="0" w:after="0"/>
        <w:ind w:left="0" w:right="0" w:firstLine="72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 xml:space="preserve">Outra característica que pode ser destacada a este grupo refere-se ao comportamento de consumo urbanizado, o qual associa um tempo restrito de busca de alimento com a necessidade de rapidez no preparo do alimento. O consumo do QAS e sua reputação ganham aqui certo risco de substituição e desvalorização, com outros queijos e produtos semelhantes, mais financeiramente acessíveis e, certamente, mais industrializados. </w:t>
      </w:r>
    </w:p>
    <w:p>
      <w:pPr>
        <w:pStyle w:val="Corpodotexto"/>
        <w:spacing w:lineRule="auto" w:line="360"/>
        <w:rPr/>
      </w:pPr>
      <w:r>
        <w:rPr/>
      </w:r>
    </w:p>
    <w:p>
      <w:pPr>
        <w:pStyle w:val="Corpodotexto"/>
        <w:bidi w:val="0"/>
        <w:spacing w:lineRule="auto" w:line="360" w:before="0" w:after="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Grupo consumidor-colecionador:</w:t>
      </w:r>
    </w:p>
    <w:p>
      <w:pPr>
        <w:pStyle w:val="Corpodotexto"/>
        <w:bidi w:val="0"/>
        <w:spacing w:lineRule="auto" w:line="360" w:before="0" w:after="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ab/>
        <w:t>A caracterização predominante desse grupo se dá pela possibilidade de consumir o QAS sem a necessidade de estar, presencialmente, no território. Através do Selo Arte e IG, ambos com exigência mínima de algum certificado de inspeção, o queijo pode viajar por diferentes estados e até países</w:t>
      </w:r>
      <w:r>
        <w:rPr>
          <w:rStyle w:val="Ncoradanotaderodap"/>
          <w:rFonts w:ascii="Trebuchet MS;sans-serif" w:hAnsi="Trebuchet MS;sans-serif"/>
          <w:b w:val="false"/>
          <w:i w:val="false"/>
          <w:caps w:val="false"/>
          <w:smallCaps w:val="false"/>
          <w:strike w:val="false"/>
          <w:dstrike w:val="false"/>
          <w:color w:val="000000"/>
          <w:sz w:val="24"/>
          <w:u w:val="none"/>
          <w:effect w:val="none"/>
        </w:rPr>
        <w:footnoteReference w:id="10"/>
      </w:r>
      <w:r>
        <w:rPr>
          <w:rFonts w:ascii="Trebuchet MS;sans-serif" w:hAnsi="Trebuchet MS;sans-serif"/>
          <w:b w:val="false"/>
          <w:i w:val="false"/>
          <w:caps w:val="false"/>
          <w:smallCaps w:val="false"/>
          <w:strike w:val="false"/>
          <w:dstrike w:val="false"/>
          <w:color w:val="000000"/>
          <w:sz w:val="24"/>
          <w:u w:val="none"/>
          <w:effect w:val="none"/>
        </w:rPr>
        <w:t>. Reforçando as particularidades culturais e ambientais da Serra Catarinense, vale citar que há outras três IG no território: o Mel de Melato da Bracatinga do Planalto Sul Brasileiro (DO), os Vinhos de Altitude de Santa Catarina (IP) e a Maçã Fuji da Região de São Joaquim (DO), todos registrados no ano de 2021. </w:t>
      </w:r>
    </w:p>
    <w:p>
      <w:pPr>
        <w:pStyle w:val="Corpodotexto"/>
        <w:bidi w:val="0"/>
        <w:spacing w:lineRule="auto" w:line="360" w:before="0" w:after="0"/>
        <w:ind w:left="0" w:right="0" w:firstLine="720"/>
        <w:jc w:val="both"/>
        <w:rPr/>
      </w:pPr>
      <w:r>
        <w:rPr>
          <w:rFonts w:ascii="Trebuchet MS;sans-serif" w:hAnsi="Trebuchet MS;sans-serif"/>
          <w:b w:val="false"/>
          <w:i w:val="false"/>
          <w:caps w:val="false"/>
          <w:smallCaps w:val="false"/>
          <w:strike w:val="false"/>
          <w:dstrike w:val="false"/>
          <w:color w:val="000000"/>
          <w:sz w:val="24"/>
          <w:u w:val="none"/>
          <w:effect w:val="none"/>
        </w:rPr>
        <w:t xml:space="preserve">A reputação neste grupo, portanto, se enraíza na experiência de um consumo diferenciado, influenciado pela busca da sua história revelada por trás do produto e, mais atual, pela qualidade de saúde vinculada aos valores nutricionais obtidos por alimentos tradicionais. A contribuição deste grupo para com a reputação do QAS enriquece debates sobre a sustentabilidade dos sistemas produtivos de agroalimentos e sobre a genuinidade e exclusividade da produção de alimentos artesanais. Entretanto, durante a pesquisa de campo, surgiram dois importantes limitadores de consumo do </w:t>
      </w:r>
      <w:r>
        <w:rPr>
          <w:rFonts w:eastAsia="Trebuchet MS" w:cs="" w:ascii="Trebuchet MS;sans-serif" w:hAnsi="Trebuchet MS;sans-serif" w:cstheme="minorBidi" w:eastAsiaTheme="minorHAnsi"/>
          <w:b w:val="false"/>
          <w:i w:val="false"/>
          <w:caps w:val="false"/>
          <w:smallCaps w:val="false"/>
          <w:strike w:val="false"/>
          <w:dstrike w:val="false"/>
          <w:color w:val="000000"/>
          <w:kern w:val="2"/>
          <w:sz w:val="24"/>
          <w:szCs w:val="24"/>
          <w:u w:val="none"/>
          <w:effect w:val="none"/>
          <w:lang w:val="pt-BR" w:eastAsia="en-US" w:bidi="ar-SA"/>
          <w14:ligatures w14:val="standardContextual"/>
        </w:rPr>
        <w:t>queijo pertencente a este grupo</w:t>
      </w:r>
      <w:r>
        <w:rPr>
          <w:rFonts w:ascii="Trebuchet MS;sans-serif" w:hAnsi="Trebuchet MS;sans-serif"/>
          <w:b w:val="false"/>
          <w:i w:val="false"/>
          <w:caps w:val="false"/>
          <w:smallCaps w:val="false"/>
          <w:strike w:val="false"/>
          <w:dstrike w:val="false"/>
          <w:color w:val="000000"/>
          <w:sz w:val="24"/>
          <w:u w:val="none"/>
          <w:effect w:val="none"/>
        </w:rPr>
        <w:t>: o preço e a disponibilidade do produto, ambos interdependentes.</w:t>
      </w:r>
    </w:p>
    <w:p>
      <w:pPr>
        <w:pStyle w:val="Corpodotexto"/>
        <w:bidi w:val="0"/>
        <w:spacing w:lineRule="auto" w:line="360" w:before="0" w:after="0"/>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ab/>
        <w:t>Na Serra Catarinense, há apenas uma unidade que detém o direito de uso da IG. O preço do quilo do queijo desta unidade é cerca de quatro vezes maior que a média do preço das demais unidades entrevistadas. Esta atende demandas de mercados específicos, como hotéis e restaurantes, dentro e fora do estado. As limitações para a formalização das unidades produtivas geram pouca disponibilidade de queijos com IG. Com poucos queijos dentro dos critérios do uso da IG, provoca-se uma tendência para o aumento do preço nos mercados, principalmente nos mercados nichados. Com um valor alto e a sua pouca disponibilidade em canais de comercialização, somado à distância do produto com seu território, surge uma possível elitização do consumo do QAS. O queijo, assim, se torna uma mercadoria de coleção gastronômica, disponível para poucas pessoas.</w:t>
      </w:r>
    </w:p>
    <w:p>
      <w:pPr>
        <w:pStyle w:val="Corpodotexto"/>
        <w:bidi w:val="0"/>
        <w:spacing w:lineRule="auto" w:line="360" w:before="0" w:after="0"/>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ab/>
        <w:t>A relação das IGs com as questões socioambientais em seus territórios pode proporcionar ambiguidades na noção de sustentabilidade e possível elitização do consumo (Arce; Charão-Marques, 2020; Milano; Cazella, 2021). Nos casos do território da Serra Catarinense, por exemplo, a IG Maçã Fuji da Região de São Joaquim e a IG Vinhos de Altitude de Santa Catarina não vêm sendo empregadas como ferramentas de promoção ambiental. As recomendações de abordagens sustentáveis dessas IG, segundo seus respectivos Cadernos de Especificações Técnicas, são elusivas, as quais possibilitam a reprodução de práticas agrícolas convencionais, como uso de venenos e monoculturas, e um distanciamento do produto com o público consumidor local (ACAVITIS, 2019; AMAP, 2019). Já a IG Mel de Melato da Bracatinga do Planalto Sul Brasileiro implica na preservação da árvore Bracatinga (</w:t>
      </w:r>
      <w:r>
        <w:rPr>
          <w:rFonts w:ascii="Trebuchet MS;sans-serif" w:hAnsi="Trebuchet MS;sans-serif"/>
          <w:b w:val="false"/>
          <w:i/>
          <w:caps w:val="false"/>
          <w:smallCaps w:val="false"/>
          <w:strike w:val="false"/>
          <w:dstrike w:val="false"/>
          <w:color w:val="000000"/>
          <w:sz w:val="24"/>
          <w:u w:val="none"/>
          <w:effect w:val="none"/>
        </w:rPr>
        <w:t>Mimosa scabrella</w:t>
      </w:r>
      <w:r>
        <w:rPr>
          <w:rFonts w:ascii="Trebuchet MS;sans-serif" w:hAnsi="Trebuchet MS;sans-serif"/>
          <w:b w:val="false"/>
          <w:i w:val="false"/>
          <w:caps w:val="false"/>
          <w:smallCaps w:val="false"/>
          <w:strike w:val="false"/>
          <w:dstrike w:val="false"/>
          <w:color w:val="000000"/>
          <w:sz w:val="24"/>
          <w:u w:val="none"/>
          <w:effect w:val="none"/>
        </w:rPr>
        <w:t xml:space="preserve">) nos seus espaços naturais de ocorrência e no manejo de abelhas </w:t>
      </w:r>
      <w:r>
        <w:rPr>
          <w:rFonts w:ascii="Trebuchet MS;sans-serif" w:hAnsi="Trebuchet MS;sans-serif"/>
          <w:b w:val="false"/>
          <w:i/>
          <w:caps w:val="false"/>
          <w:smallCaps w:val="false"/>
          <w:strike w:val="false"/>
          <w:dstrike w:val="false"/>
          <w:color w:val="000000"/>
          <w:sz w:val="24"/>
          <w:u w:val="none"/>
          <w:effect w:val="none"/>
        </w:rPr>
        <w:t>Apis sp</w:t>
      </w:r>
      <w:r>
        <w:rPr>
          <w:rFonts w:ascii="Trebuchet MS;sans-serif" w:hAnsi="Trebuchet MS;sans-serif"/>
          <w:b w:val="false"/>
          <w:i w:val="false"/>
          <w:caps w:val="false"/>
          <w:smallCaps w:val="false"/>
          <w:strike w:val="false"/>
          <w:dstrike w:val="false"/>
          <w:color w:val="000000"/>
          <w:sz w:val="24"/>
          <w:u w:val="none"/>
          <w:effect w:val="none"/>
        </w:rPr>
        <w:t>, contribuindo com a conservação da mata nativa e serviços ambientais decorrentes da polinização. Entretanto, há ainda lacunas nos modos de produção que podem propiciar uma adesão de agentes extraterritoriais com outras intenções na produção (FAASC, 2021).</w:t>
      </w:r>
    </w:p>
    <w:p>
      <w:pPr>
        <w:pStyle w:val="Corpodotexto"/>
        <w:bidi w:val="0"/>
        <w:spacing w:lineRule="auto" w:line="360" w:before="0" w:after="0"/>
        <w:ind w:left="0" w:right="0" w:firstLine="720"/>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Portanto, o emprego de um instrumento que visa somente a valorização monetária de um recurso territorial específico, sem incluir outras demandas sociopolíticas e socioambientais, pode levar a uma intensificação produtiva, a qual tende a uma utilização desregulada e destrutiva dos recursos naturais, levando à descaracterização dos sistemas produtivos tradicionais (Prado </w:t>
      </w:r>
      <w:r>
        <w:rPr>
          <w:rFonts w:ascii="Trebuchet MS;sans-serif" w:hAnsi="Trebuchet MS;sans-serif"/>
          <w:b w:val="false"/>
          <w:i/>
          <w:caps w:val="false"/>
          <w:smallCaps w:val="false"/>
          <w:strike w:val="false"/>
          <w:dstrike w:val="false"/>
          <w:color w:val="000000"/>
          <w:sz w:val="24"/>
          <w:u w:val="none"/>
          <w:effect w:val="none"/>
        </w:rPr>
        <w:t>et al.</w:t>
      </w:r>
      <w:r>
        <w:rPr>
          <w:rFonts w:ascii="Trebuchet MS;sans-serif" w:hAnsi="Trebuchet MS;sans-serif"/>
          <w:b w:val="false"/>
          <w:i w:val="false"/>
          <w:caps w:val="false"/>
          <w:smallCaps w:val="false"/>
          <w:strike w:val="false"/>
          <w:dstrike w:val="false"/>
          <w:color w:val="000000"/>
          <w:sz w:val="24"/>
          <w:u w:val="none"/>
          <w:effect w:val="none"/>
        </w:rPr>
        <w:t>, 2022).</w:t>
      </w:r>
    </w:p>
    <w:p>
      <w:pPr>
        <w:pStyle w:val="Corpodotexto"/>
        <w:spacing w:lineRule="auto" w:line="360"/>
        <w:rPr/>
      </w:pPr>
      <w:r>
        <w:rPr/>
      </w:r>
    </w:p>
    <w:p>
      <w:pPr>
        <w:pStyle w:val="Corpodotexto"/>
        <w:bidi w:val="0"/>
        <w:spacing w:lineRule="auto" w:line="360" w:before="0" w:after="0"/>
        <w:ind w:left="0" w:right="0" w:hanging="2"/>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E DEPOIS QUE COME, ACABA? CONSIDERAÇÕES FINAIS</w:t>
      </w:r>
    </w:p>
    <w:p>
      <w:pPr>
        <w:pStyle w:val="Corpodotexto"/>
        <w:spacing w:lineRule="auto" w:line="360"/>
        <w:rPr/>
      </w:pPr>
      <w:r>
        <w:rPr/>
      </w:r>
    </w:p>
    <w:p>
      <w:pPr>
        <w:pStyle w:val="Corpodotexto"/>
        <w:bidi w:val="0"/>
        <w:spacing w:lineRule="auto" w:line="360" w:before="0" w:after="0"/>
        <w:ind w:left="0" w:right="0" w:firstLine="72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 xml:space="preserve">A partir de hipóteses formadas após a conclusão da pesquisa de campo e da dissertação citada, </w:t>
      </w:r>
      <w:r>
        <w:rPr>
          <w:rFonts w:ascii="Trebuchet MS;sans-serif" w:hAnsi="Trebuchet MS;sans-serif"/>
          <w:b w:val="false"/>
          <w:i w:val="false"/>
          <w:caps w:val="false"/>
          <w:smallCaps w:val="false"/>
          <w:strike w:val="false"/>
          <w:dstrike w:val="false"/>
          <w:color w:val="000000"/>
          <w:sz w:val="24"/>
          <w:u w:val="none"/>
          <w:effect w:val="none"/>
        </w:rPr>
        <w:t xml:space="preserve">a qual enfocou a perspectiva do grupo dos produtores, </w:t>
      </w:r>
      <w:r>
        <w:rPr>
          <w:rFonts w:ascii="Trebuchet MS;sans-serif" w:hAnsi="Trebuchet MS;sans-serif"/>
          <w:b w:val="false"/>
          <w:i w:val="false"/>
          <w:caps w:val="false"/>
          <w:smallCaps w:val="false"/>
          <w:strike w:val="false"/>
          <w:dstrike w:val="false"/>
          <w:color w:val="000000"/>
          <w:sz w:val="24"/>
          <w:u w:val="none"/>
          <w:effect w:val="none"/>
        </w:rPr>
        <w:t xml:space="preserve">o presente artigo buscou compreender a conformação da reputação do QAS, dando destaque aos seus desdobramentos, oscilando como mercadoria e como alimento, e </w:t>
      </w:r>
      <w:r>
        <w:rPr>
          <w:rFonts w:ascii="Trebuchet MS;sans-serif" w:hAnsi="Trebuchet MS;sans-serif"/>
          <w:b w:val="false"/>
          <w:i w:val="false"/>
          <w:caps w:val="false"/>
          <w:smallCaps w:val="false"/>
          <w:strike w:val="false"/>
          <w:dstrike w:val="false"/>
          <w:color w:val="000000"/>
          <w:sz w:val="24"/>
          <w:u w:val="none"/>
          <w:effect w:val="none"/>
        </w:rPr>
        <w:t>as possíveis relevâncias</w:t>
      </w:r>
      <w:r>
        <w:rPr>
          <w:rFonts w:ascii="Trebuchet MS;sans-serif" w:hAnsi="Trebuchet MS;sans-serif"/>
          <w:b w:val="false"/>
          <w:i w:val="false"/>
          <w:caps w:val="false"/>
          <w:smallCaps w:val="false"/>
          <w:strike w:val="false"/>
          <w:dstrike w:val="false"/>
          <w:color w:val="000000"/>
          <w:sz w:val="24"/>
          <w:u w:val="none"/>
          <w:effect w:val="none"/>
        </w:rPr>
        <w:t xml:space="preserve"> com a SAN para seu público consumidor. </w:t>
      </w:r>
    </w:p>
    <w:p>
      <w:pPr>
        <w:pStyle w:val="Corpodotexto"/>
        <w:bidi w:val="0"/>
        <w:spacing w:lineRule="auto" w:line="360" w:before="0" w:after="0"/>
        <w:ind w:left="0" w:right="0" w:firstLine="72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Nesse sentido, se fazem necessárias pesquisas que investiguem, mais profundamente, os possíveis resultados da soma de diferentes tipos de consumo do queijo artesanal, analisando o simbolismo do produto, os valores sociais existentes nas relações sociais e o crescente fetiche de mercadorias artesanais, junto às oportunidades de ações sustentáveis previstas pelos mecanismos de diferenciação do QAS, como exemplo a IG Campos de Cima da Serra. Além disso, compreender quais são as mobilizações sociopolíticas, bem como as formulações de políticas públicas, promovem diálogos entre atores de outros recursos territoriais, seja materiais ou imateriais, e que também favorecem um planejamento coletivo de estratégias territoriais de SAN. </w:t>
      </w:r>
    </w:p>
    <w:p>
      <w:pPr>
        <w:pStyle w:val="Corpodotexto"/>
        <w:spacing w:lineRule="auto" w:line="360"/>
        <w:rPr/>
      </w:pPr>
      <w:r>
        <w:rPr/>
      </w:r>
    </w:p>
    <w:p>
      <w:pPr>
        <w:pStyle w:val="Corpodotexto"/>
        <w:bidi w:val="0"/>
        <w:spacing w:lineRule="auto" w:line="360" w:before="0" w:after="0"/>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REFERÊNCIAS BIBLIOGRÁFICAS</w:t>
      </w:r>
    </w:p>
    <w:p>
      <w:pPr>
        <w:pStyle w:val="Corpodotexto"/>
        <w:bidi w:val="0"/>
        <w:spacing w:lineRule="auto" w:line="240" w:before="0" w:after="0"/>
        <w:ind w:left="0" w:right="0" w:hanging="2"/>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r>
    </w:p>
    <w:p>
      <w:pPr>
        <w:pStyle w:val="Corpodotexto"/>
        <w:bidi w:val="0"/>
        <w:spacing w:lineRule="auto" w:line="240" w:before="0" w:after="0"/>
        <w:ind w:left="0" w:right="0" w:hanging="2"/>
        <w:jc w:val="both"/>
        <w:rPr/>
      </w:pPr>
      <w:r>
        <w:rPr>
          <w:rFonts w:ascii="Trebuchet MS;sans-serif" w:hAnsi="Trebuchet MS;sans-serif"/>
          <w:b w:val="false"/>
          <w:i w:val="false"/>
          <w:caps w:val="false"/>
          <w:smallCaps w:val="false"/>
          <w:strike w:val="false"/>
          <w:dstrike w:val="false"/>
          <w:color w:val="000000"/>
          <w:sz w:val="24"/>
          <w:u w:val="none"/>
          <w:effect w:val="none"/>
        </w:rPr>
        <w:t xml:space="preserve">ACAVITIS. Vinhos de Altitude - Produtores e Associados. Registro: BR402020000008-6: </w:t>
      </w:r>
      <w:r>
        <w:rPr>
          <w:rFonts w:ascii="Trebuchet MS;sans-serif" w:hAnsi="Trebuchet MS;sans-serif"/>
          <w:b/>
          <w:i w:val="false"/>
          <w:caps w:val="false"/>
          <w:smallCaps w:val="false"/>
          <w:strike w:val="false"/>
          <w:dstrike w:val="false"/>
          <w:color w:val="000000"/>
          <w:sz w:val="24"/>
          <w:u w:val="none"/>
          <w:effect w:val="none"/>
        </w:rPr>
        <w:t>Caderno de Especificações Técnicas da Indicação de Procedência Vinho de Altitude de Santa Catarina</w:t>
      </w:r>
      <w:r>
        <w:rPr>
          <w:rFonts w:ascii="Trebuchet MS;sans-serif" w:hAnsi="Trebuchet MS;sans-serif"/>
          <w:b w:val="false"/>
          <w:i w:val="false"/>
          <w:caps w:val="false"/>
          <w:smallCaps w:val="false"/>
          <w:strike w:val="false"/>
          <w:dstrike w:val="false"/>
          <w:color w:val="000000"/>
          <w:sz w:val="24"/>
          <w:u w:val="none"/>
          <w:effect w:val="none"/>
        </w:rPr>
        <w:t>. Florianópolis: Inpi, 2019. 17 p.</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AMAP. Associação de Produtores de Maçã e Pêra de Santa Catarina. Registro: BR412020000010-4: </w:t>
      </w:r>
      <w:r>
        <w:rPr>
          <w:rFonts w:ascii="Trebuchet MS;sans-serif" w:hAnsi="Trebuchet MS;sans-serif"/>
          <w:b/>
          <w:i w:val="false"/>
          <w:caps w:val="false"/>
          <w:smallCaps w:val="false"/>
          <w:strike w:val="false"/>
          <w:dstrike w:val="false"/>
          <w:color w:val="000000"/>
          <w:sz w:val="24"/>
          <w:u w:val="none"/>
          <w:effect w:val="none"/>
        </w:rPr>
        <w:t>Caderno de Especificações Técnicas da Maçã Fuji da Região de São Joaquim</w:t>
      </w:r>
      <w:r>
        <w:rPr>
          <w:rFonts w:ascii="Trebuchet MS;sans-serif" w:hAnsi="Trebuchet MS;sans-serif"/>
          <w:b w:val="false"/>
          <w:i w:val="false"/>
          <w:caps w:val="false"/>
          <w:smallCaps w:val="false"/>
          <w:strike w:val="false"/>
          <w:dstrike w:val="false"/>
          <w:color w:val="000000"/>
          <w:sz w:val="24"/>
          <w:u w:val="none"/>
          <w:effect w:val="none"/>
        </w:rPr>
        <w:t>. Florianópolis: Inpi, 2019. 20 p.</w:t>
      </w:r>
    </w:p>
    <w:p>
      <w:pPr>
        <w:pStyle w:val="Corpodotexto"/>
        <w:spacing w:lineRule="auto" w:line="240"/>
        <w:rPr/>
      </w:pPr>
      <w:r>
        <w:rPr/>
      </w:r>
    </w:p>
    <w:p>
      <w:pPr>
        <w:pStyle w:val="Corpodotexto"/>
        <w:bidi w:val="0"/>
        <w:spacing w:lineRule="auto" w:line="240" w:before="0" w:after="0"/>
        <w:ind w:left="0" w:right="0" w:hanging="2"/>
        <w:jc w:val="both"/>
        <w:rPr/>
      </w:pPr>
      <w:r>
        <w:rPr>
          <w:rFonts w:ascii="Trebuchet MS;sans-serif" w:hAnsi="Trebuchet MS;sans-serif"/>
          <w:b w:val="false"/>
          <w:i w:val="false"/>
          <w:caps w:val="false"/>
          <w:smallCaps w:val="false"/>
          <w:strike w:val="false"/>
          <w:dstrike w:val="false"/>
          <w:color w:val="000000"/>
          <w:sz w:val="24"/>
          <w:u w:val="none"/>
          <w:effect w:val="none"/>
        </w:rPr>
        <w:t xml:space="preserve">ARCE, Alberto; CHARÃO-MARQUES, Flávia. Espaços ambíguos e a inovação neoliberal contemporânea: o caso do Merkén. </w:t>
      </w:r>
      <w:r>
        <w:rPr>
          <w:rFonts w:ascii="Trebuchet MS;sans-serif" w:hAnsi="Trebuchet MS;sans-serif"/>
          <w:b/>
          <w:i w:val="false"/>
          <w:caps w:val="false"/>
          <w:smallCaps w:val="false"/>
          <w:strike w:val="false"/>
          <w:dstrike w:val="false"/>
          <w:color w:val="000000"/>
          <w:sz w:val="24"/>
          <w:u w:val="none"/>
          <w:effect w:val="none"/>
        </w:rPr>
        <w:t>Redes</w:t>
      </w:r>
      <w:r>
        <w:rPr>
          <w:b w:val="false"/>
          <w:caps w:val="false"/>
          <w:smallCaps w:val="false"/>
          <w:strike w:val="false"/>
          <w:dstrike w:val="false"/>
          <w:color w:val="000000"/>
          <w:u w:val="none"/>
          <w:effect w:val="none"/>
        </w:rPr>
        <w:t xml:space="preserve"> </w:t>
      </w:r>
      <w:r>
        <w:rPr>
          <w:rFonts w:ascii="Trebuchet MS;sans-serif" w:hAnsi="Trebuchet MS;sans-serif"/>
          <w:b w:val="false"/>
          <w:i w:val="false"/>
          <w:caps w:val="false"/>
          <w:smallCaps w:val="false"/>
          <w:strike w:val="false"/>
          <w:dstrike w:val="false"/>
          <w:color w:val="000000"/>
          <w:sz w:val="24"/>
          <w:u w:val="none"/>
          <w:effect w:val="none"/>
        </w:rPr>
        <w:t>(St. Cruz Sul, Online), 2020.</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BENKO, Georges.; PECQUEUR, Bernard. Os recursos de territórios e os territórios de recursos. </w:t>
      </w:r>
      <w:r>
        <w:rPr>
          <w:rFonts w:ascii="Trebuchet MS;sans-serif" w:hAnsi="Trebuchet MS;sans-serif"/>
          <w:b/>
          <w:i w:val="false"/>
          <w:caps w:val="false"/>
          <w:smallCaps w:val="false"/>
          <w:strike w:val="false"/>
          <w:dstrike w:val="false"/>
          <w:color w:val="000000"/>
          <w:sz w:val="24"/>
          <w:u w:val="none"/>
          <w:effect w:val="none"/>
        </w:rPr>
        <w:t>Geosul</w:t>
      </w:r>
      <w:r>
        <w:rPr>
          <w:rFonts w:ascii="Trebuchet MS;sans-serif" w:hAnsi="Trebuchet MS;sans-serif"/>
          <w:b w:val="false"/>
          <w:i w:val="false"/>
          <w:caps w:val="false"/>
          <w:smallCaps w:val="false"/>
          <w:strike w:val="false"/>
          <w:dstrike w:val="false"/>
          <w:color w:val="000000"/>
          <w:sz w:val="24"/>
          <w:u w:val="none"/>
          <w:effect w:val="none"/>
        </w:rPr>
        <w:t>, Florianópolis, nº 32, v.16, p. 31-50, 2001.</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BRASIL. Lei nº 9.279, de 14 de maio de 1996. </w:t>
      </w:r>
      <w:r>
        <w:rPr>
          <w:rFonts w:ascii="Trebuchet MS;sans-serif" w:hAnsi="Trebuchet MS;sans-serif"/>
          <w:b/>
          <w:i w:val="false"/>
          <w:caps w:val="false"/>
          <w:smallCaps w:val="false"/>
          <w:strike w:val="false"/>
          <w:dstrike w:val="false"/>
          <w:color w:val="000000"/>
          <w:sz w:val="24"/>
          <w:u w:val="none"/>
          <w:effect w:val="none"/>
        </w:rPr>
        <w:t>Regula direitos e obrigações relativos à propriedade industrial</w:t>
      </w:r>
      <w:r>
        <w:rPr>
          <w:rFonts w:ascii="Trebuchet MS;sans-serif" w:hAnsi="Trebuchet MS;sans-serif"/>
          <w:b w:val="false"/>
          <w:i w:val="false"/>
          <w:caps w:val="false"/>
          <w:smallCaps w:val="false"/>
          <w:strike w:val="false"/>
          <w:dstrike w:val="false"/>
          <w:color w:val="000000"/>
          <w:sz w:val="24"/>
          <w:u w:val="none"/>
          <w:effect w:val="none"/>
        </w:rPr>
        <w:t>. Brasília, DF. Presidência da República,  1996. Disponível em: &lt;https://www.planalto.gov.br/ccivil_03/leis/l9279.htm&gt; </w:t>
      </w:r>
    </w:p>
    <w:p>
      <w:pPr>
        <w:pStyle w:val="Corpodotexto"/>
        <w:spacing w:lineRule="auto" w:line="240"/>
        <w:rPr>
          <w:rFonts w:ascii="Trebuchet MS;sans-serif" w:hAnsi="Trebuchet MS;sans-serif"/>
          <w:b w:val="false"/>
          <w:b w:val="false"/>
          <w:i w:val="false"/>
          <w:i w:val="false"/>
          <w:caps w:val="false"/>
          <w:smallCaps w:val="false"/>
          <w:strike w:val="false"/>
          <w:dstrike w:val="false"/>
          <w:color w:val="000000"/>
          <w:sz w:val="24"/>
          <w:u w:val="none"/>
          <w:effect w:val="none"/>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BUSS, Paulo Marchiori; PELLEGRINI FILHO, Alberto. A Saúde e seus Determinantes Sociais. </w:t>
      </w:r>
      <w:r>
        <w:rPr>
          <w:rFonts w:ascii="Trebuchet MS;sans-serif" w:hAnsi="Trebuchet MS;sans-serif"/>
          <w:b/>
          <w:bCs/>
          <w:i w:val="false"/>
          <w:caps w:val="false"/>
          <w:smallCaps w:val="false"/>
          <w:strike w:val="false"/>
          <w:dstrike w:val="false"/>
          <w:color w:val="000000"/>
          <w:sz w:val="24"/>
          <w:u w:val="none"/>
          <w:effect w:val="none"/>
        </w:rPr>
        <w:t>Physis: Revista Saúde Coletiva</w:t>
      </w:r>
      <w:r>
        <w:rPr>
          <w:rFonts w:ascii="Trebuchet MS;sans-serif" w:hAnsi="Trebuchet MS;sans-serif"/>
          <w:b w:val="false"/>
          <w:i w:val="false"/>
          <w:caps w:val="false"/>
          <w:smallCaps w:val="false"/>
          <w:strike w:val="false"/>
          <w:dstrike w:val="false"/>
          <w:color w:val="000000"/>
          <w:sz w:val="24"/>
          <w:u w:val="none"/>
          <w:effect w:val="none"/>
        </w:rPr>
        <w:t>, Rio de Janeiro, v. 17, n. 1, p. 77-93, mar. 2007.</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CAZELLA, Ademir Antonio et al. A construção de um território de  desenvolvimento rural: recursos e ativos territoriais específicos. </w:t>
      </w:r>
      <w:r>
        <w:rPr>
          <w:rFonts w:ascii="Trebuchet MS;sans-serif" w:hAnsi="Trebuchet MS;sans-serif"/>
          <w:b/>
          <w:i w:val="false"/>
          <w:caps w:val="false"/>
          <w:smallCaps w:val="false"/>
          <w:strike w:val="false"/>
          <w:dstrike w:val="false"/>
          <w:color w:val="000000"/>
          <w:sz w:val="24"/>
          <w:u w:val="none"/>
          <w:effect w:val="none"/>
        </w:rPr>
        <w:t>Redes</w:t>
      </w:r>
      <w:r>
        <w:rPr>
          <w:rFonts w:ascii="Trebuchet MS;sans-serif" w:hAnsi="Trebuchet MS;sans-serif"/>
          <w:b w:val="false"/>
          <w:i w:val="false"/>
          <w:caps w:val="false"/>
          <w:smallCaps w:val="false"/>
          <w:strike w:val="false"/>
          <w:dstrike w:val="false"/>
          <w:color w:val="000000"/>
          <w:sz w:val="24"/>
          <w:u w:val="none"/>
          <w:effect w:val="none"/>
        </w:rPr>
        <w:t>, v. 24, n.  3, p. 49–74, 3 set. 2019. </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CINTRÃO, Rosângela Pezza. S</w:t>
      </w:r>
      <w:r>
        <w:rPr>
          <w:rFonts w:ascii="Trebuchet MS;sans-serif" w:hAnsi="Trebuchet MS;sans-serif"/>
          <w:b/>
          <w:i w:val="false"/>
          <w:caps w:val="false"/>
          <w:smallCaps w:val="false"/>
          <w:strike w:val="false"/>
          <w:dstrike w:val="false"/>
          <w:color w:val="000000"/>
          <w:sz w:val="24"/>
          <w:u w:val="none"/>
          <w:effect w:val="none"/>
        </w:rPr>
        <w:t>egurança, qualidade e riscos: a regulação sanitária e os processos de (i)legalização dos queijos artesanais de leite cru em Minas Gerais</w:t>
      </w:r>
      <w:r>
        <w:rPr>
          <w:rFonts w:ascii="Trebuchet MS;sans-serif" w:hAnsi="Trebuchet MS;sans-serif"/>
          <w:b w:val="false"/>
          <w:i w:val="false"/>
          <w:caps w:val="false"/>
          <w:smallCaps w:val="false"/>
          <w:strike w:val="false"/>
          <w:dstrike w:val="false"/>
          <w:color w:val="000000"/>
          <w:sz w:val="24"/>
          <w:u w:val="none"/>
          <w:effect w:val="none"/>
        </w:rPr>
        <w:t>. 2016. 354 f. Tese (Doutorado) - Curso de Programa de Pós-Graduação de Ciências Sociais em Desenvolvimento, Agricultura e Sociedade, Instituto de Ciências Humanas e Sociais, Universidade Federal Rural do Rio de Janeiro, Rio de Janeiro, 2016. </w:t>
      </w:r>
    </w:p>
    <w:p>
      <w:pPr>
        <w:pStyle w:val="Corpodotexto"/>
        <w:spacing w:lineRule="auto" w:line="240"/>
        <w:rPr/>
      </w:pPr>
      <w:r>
        <w:rPr/>
      </w:r>
    </w:p>
    <w:p>
      <w:pPr>
        <w:pStyle w:val="Corpodotexto"/>
        <w:bidi w:val="0"/>
        <w:spacing w:lineRule="auto" w:line="240" w:before="0" w:after="0"/>
        <w:ind w:left="0" w:right="0" w:hanging="2"/>
        <w:jc w:val="both"/>
        <w:rPr/>
      </w:pPr>
      <w:r>
        <w:rPr>
          <w:rFonts w:ascii="Helvetica Neue;Helvetica;Roboto;Arial;sans-serif" w:hAnsi="Helvetica Neue;Helvetica;Roboto;Arial;sans-serif"/>
          <w:b w:val="false"/>
          <w:i w:val="false"/>
          <w:caps w:val="false"/>
          <w:smallCaps w:val="false"/>
          <w:strike w:val="false"/>
          <w:dstrike w:val="false"/>
          <w:color w:val="222222"/>
          <w:spacing w:val="0"/>
          <w:sz w:val="24"/>
          <w:u w:val="none"/>
          <w:effect w:val="none"/>
        </w:rPr>
        <w:t>S</w:t>
      </w:r>
      <w:r>
        <w:rPr>
          <w:rFonts w:ascii="Helvetica Neue;Helvetica;Roboto;Arial;sans-serif" w:hAnsi="Helvetica Neue;Helvetica;Roboto;Arial;sans-serif"/>
          <w:b w:val="false"/>
          <w:i w:val="false"/>
          <w:caps w:val="false"/>
          <w:smallCaps w:val="false"/>
          <w:strike w:val="false"/>
          <w:dstrike w:val="false"/>
          <w:color w:val="222222"/>
          <w:spacing w:val="0"/>
          <w:sz w:val="24"/>
          <w:u w:val="none"/>
          <w:effect w:val="none"/>
        </w:rPr>
        <w:t>ANTOS JUNIOR, Jorge Guimarães dos. </w:t>
      </w:r>
      <w:r>
        <w:rPr>
          <w:rStyle w:val="Nfaseforte"/>
          <w:rFonts w:ascii="Helvetica Neue;Helvetica;Roboto;Arial;sans-serif" w:hAnsi="Helvetica Neue;Helvetica;Roboto;Arial;sans-serif"/>
          <w:b/>
          <w:bCs/>
          <w:i w:val="false"/>
          <w:caps w:val="false"/>
          <w:smallCaps w:val="false"/>
          <w:strike w:val="false"/>
          <w:dstrike w:val="false"/>
          <w:color w:val="222222"/>
          <w:spacing w:val="0"/>
          <w:sz w:val="24"/>
          <w:u w:val="none"/>
          <w:effect w:val="none"/>
        </w:rPr>
        <w:t>Da tradição ao mercado</w:t>
      </w:r>
      <w:r>
        <w:rPr>
          <w:rFonts w:ascii="Helvetica Neue;Helvetica;Roboto;Arial;sans-serif" w:hAnsi="Helvetica Neue;Helvetica;Roboto;Arial;sans-serif"/>
          <w:b/>
          <w:bCs/>
          <w:i w:val="false"/>
          <w:caps w:val="false"/>
          <w:smallCaps w:val="false"/>
          <w:strike w:val="false"/>
          <w:dstrike w:val="false"/>
          <w:color w:val="222222"/>
          <w:spacing w:val="0"/>
          <w:sz w:val="24"/>
          <w:u w:val="none"/>
          <w:effect w:val="none"/>
        </w:rPr>
        <w:t xml:space="preserve">: a informalidade na fabricação e comercialização do </w:t>
      </w:r>
      <w:r>
        <w:rPr>
          <w:rFonts w:ascii="Helvetica Neue;Helvetica;Roboto;Arial;sans-serif" w:hAnsi="Helvetica Neue;Helvetica;Roboto;Arial;sans-serif"/>
          <w:b/>
          <w:bCs/>
          <w:i w:val="false"/>
          <w:caps w:val="false"/>
          <w:smallCaps w:val="false"/>
          <w:strike w:val="false"/>
          <w:dstrike w:val="false"/>
          <w:color w:val="222222"/>
          <w:spacing w:val="0"/>
          <w:sz w:val="24"/>
          <w:u w:val="none"/>
          <w:effect w:val="none"/>
        </w:rPr>
        <w:t>Q</w:t>
      </w:r>
      <w:r>
        <w:rPr>
          <w:rFonts w:ascii="Helvetica Neue;Helvetica;Roboto;Arial;sans-serif" w:hAnsi="Helvetica Neue;Helvetica;Roboto;Arial;sans-serif"/>
          <w:b/>
          <w:bCs/>
          <w:i w:val="false"/>
          <w:caps w:val="false"/>
          <w:smallCaps w:val="false"/>
          <w:strike w:val="false"/>
          <w:dstrike w:val="false"/>
          <w:color w:val="222222"/>
          <w:spacing w:val="0"/>
          <w:sz w:val="24"/>
          <w:u w:val="none"/>
          <w:effect w:val="none"/>
        </w:rPr>
        <w:t xml:space="preserve">ueijo </w:t>
      </w:r>
      <w:r>
        <w:rPr>
          <w:rFonts w:ascii="Helvetica Neue;Helvetica;Roboto;Arial;sans-serif" w:hAnsi="Helvetica Neue;Helvetica;Roboto;Arial;sans-serif"/>
          <w:b/>
          <w:bCs/>
          <w:i w:val="false"/>
          <w:caps w:val="false"/>
          <w:smallCaps w:val="false"/>
          <w:strike w:val="false"/>
          <w:dstrike w:val="false"/>
          <w:color w:val="222222"/>
          <w:spacing w:val="0"/>
          <w:sz w:val="24"/>
          <w:u w:val="none"/>
          <w:effect w:val="none"/>
        </w:rPr>
        <w:t>A</w:t>
      </w:r>
      <w:r>
        <w:rPr>
          <w:rFonts w:ascii="Helvetica Neue;Helvetica;Roboto;Arial;sans-serif" w:hAnsi="Helvetica Neue;Helvetica;Roboto;Arial;sans-serif"/>
          <w:b/>
          <w:bCs/>
          <w:i w:val="false"/>
          <w:caps w:val="false"/>
          <w:smallCaps w:val="false"/>
          <w:strike w:val="false"/>
          <w:dstrike w:val="false"/>
          <w:color w:val="222222"/>
          <w:spacing w:val="0"/>
          <w:sz w:val="24"/>
          <w:u w:val="none"/>
          <w:effect w:val="none"/>
        </w:rPr>
        <w:t xml:space="preserve">rtesanal </w:t>
      </w:r>
      <w:r>
        <w:rPr>
          <w:rFonts w:ascii="Helvetica Neue;Helvetica;Roboto;Arial;sans-serif" w:hAnsi="Helvetica Neue;Helvetica;Roboto;Arial;sans-serif"/>
          <w:b/>
          <w:bCs/>
          <w:i w:val="false"/>
          <w:caps w:val="false"/>
          <w:smallCaps w:val="false"/>
          <w:strike w:val="false"/>
          <w:dstrike w:val="false"/>
          <w:color w:val="222222"/>
          <w:spacing w:val="0"/>
          <w:sz w:val="24"/>
          <w:u w:val="none"/>
          <w:effect w:val="none"/>
        </w:rPr>
        <w:t>S</w:t>
      </w:r>
      <w:r>
        <w:rPr>
          <w:rFonts w:ascii="Helvetica Neue;Helvetica;Roboto;Arial;sans-serif" w:hAnsi="Helvetica Neue;Helvetica;Roboto;Arial;sans-serif"/>
          <w:b/>
          <w:bCs/>
          <w:i w:val="false"/>
          <w:caps w:val="false"/>
          <w:smallCaps w:val="false"/>
          <w:strike w:val="false"/>
          <w:dstrike w:val="false"/>
          <w:color w:val="222222"/>
          <w:spacing w:val="0"/>
          <w:sz w:val="24"/>
          <w:u w:val="none"/>
          <w:effect w:val="none"/>
        </w:rPr>
        <w:t>errano em santa catarina</w:t>
      </w:r>
      <w:r>
        <w:rPr>
          <w:rFonts w:ascii="Helvetica Neue;Helvetica;Roboto;Arial;sans-serif" w:hAnsi="Helvetica Neue;Helvetica;Roboto;Arial;sans-serif"/>
          <w:b w:val="false"/>
          <w:i w:val="false"/>
          <w:caps w:val="false"/>
          <w:smallCaps w:val="false"/>
          <w:strike w:val="false"/>
          <w:dstrike w:val="false"/>
          <w:color w:val="222222"/>
          <w:spacing w:val="0"/>
          <w:sz w:val="24"/>
          <w:u w:val="none"/>
          <w:effect w:val="none"/>
        </w:rPr>
        <w:t xml:space="preserve">. 2025. 185 f. </w:t>
      </w:r>
      <w:r>
        <w:rPr>
          <w:rFonts w:ascii="Helvetica Neue;Helvetica;Roboto;Arial;sans-serif" w:hAnsi="Helvetica Neue;Helvetica;Roboto;Arial;sans-serif"/>
          <w:b w:val="false"/>
          <w:i w:val="false"/>
          <w:caps w:val="false"/>
          <w:smallCaps w:val="false"/>
          <w:strike w:val="false"/>
          <w:dstrike w:val="false"/>
          <w:color w:val="222222"/>
          <w:spacing w:val="0"/>
          <w:sz w:val="24"/>
          <w:u w:val="none"/>
          <w:effect w:val="none"/>
        </w:rPr>
        <w:t xml:space="preserve">Dissertação (Mestrado) </w:t>
      </w:r>
      <w:r>
        <w:rPr>
          <w:rFonts w:ascii="Helvetica Neue;Helvetica;Roboto;Arial;sans-serif" w:hAnsi="Helvetica Neue;Helvetica;Roboto;Arial;sans-serif"/>
          <w:b w:val="false"/>
          <w:i w:val="false"/>
          <w:caps w:val="false"/>
          <w:smallCaps w:val="false"/>
          <w:strike w:val="false"/>
          <w:dstrike w:val="false"/>
          <w:color w:val="222222"/>
          <w:spacing w:val="0"/>
          <w:sz w:val="24"/>
          <w:u w:val="none"/>
          <w:effect w:val="none"/>
        </w:rPr>
        <w:t>- Curso de Agroecossistemas, Centro de Ciências Agrárias, Universidade Federal de Santa Catarina2025, Florianópolis, 2025.</w:t>
      </w:r>
      <w:r>
        <w:rPr>
          <w:rFonts w:ascii="Trebuchet MS;sans-serif" w:hAnsi="Trebuchet MS;sans-serif"/>
          <w:b w:val="false"/>
          <w:i w:val="false"/>
          <w:caps w:val="false"/>
          <w:smallCaps w:val="false"/>
          <w:strike w:val="false"/>
          <w:dstrike w:val="false"/>
          <w:color w:val="000000"/>
          <w:sz w:val="24"/>
          <w:u w:val="none"/>
          <w:effect w:val="none"/>
        </w:rPr>
        <w:t xml:space="preserve"> </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CRUZ, Fabiana Thomé da; MENASCHE, Renata. O debate em torno de queijos feitos de leite cru: entre aspectos normativos e a valorização da produção tradicional. </w:t>
      </w:r>
      <w:r>
        <w:rPr>
          <w:rFonts w:ascii="Trebuchet MS;sans-serif" w:hAnsi="Trebuchet MS;sans-serif"/>
          <w:b/>
          <w:i w:val="false"/>
          <w:caps w:val="false"/>
          <w:smallCaps w:val="false"/>
          <w:strike w:val="false"/>
          <w:dstrike w:val="false"/>
          <w:color w:val="000000"/>
          <w:sz w:val="24"/>
          <w:u w:val="none"/>
          <w:effect w:val="none"/>
        </w:rPr>
        <w:t>Vigilância Sanitária em Debate</w:t>
      </w:r>
      <w:r>
        <w:rPr>
          <w:rFonts w:ascii="Trebuchet MS;sans-serif" w:hAnsi="Trebuchet MS;sans-serif"/>
          <w:b w:val="false"/>
          <w:i w:val="false"/>
          <w:caps w:val="false"/>
          <w:smallCaps w:val="false"/>
          <w:strike w:val="false"/>
          <w:dstrike w:val="false"/>
          <w:color w:val="000000"/>
          <w:sz w:val="24"/>
          <w:u w:val="none"/>
          <w:effect w:val="none"/>
        </w:rPr>
        <w:t>, [S.L.], v. 2, n. 4, p. 34-42, 25 nov.  2014. http://dx.doi.org/10.3395/vd.v2i4.408. </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EPAGRI. Empresa de Pesquisa Agropecuária e Extensão Rural de Santa  Catarina. </w:t>
      </w:r>
      <w:r>
        <w:rPr>
          <w:rFonts w:ascii="Trebuchet MS;sans-serif" w:hAnsi="Trebuchet MS;sans-serif"/>
          <w:b/>
          <w:i w:val="false"/>
          <w:caps w:val="false"/>
          <w:smallCaps w:val="false"/>
          <w:strike w:val="false"/>
          <w:dstrike w:val="false"/>
          <w:color w:val="000000"/>
          <w:sz w:val="24"/>
          <w:u w:val="none"/>
          <w:effect w:val="none"/>
        </w:rPr>
        <w:t>Queijo Artesanal Serrano recebe IG Campos de Cima da Serra</w:t>
      </w:r>
      <w:r>
        <w:rPr>
          <w:rFonts w:ascii="Trebuchet MS;sans-serif" w:hAnsi="Trebuchet MS;sans-serif"/>
          <w:b w:val="false"/>
          <w:i w:val="false"/>
          <w:caps w:val="false"/>
          <w:smallCaps w:val="false"/>
          <w:strike w:val="false"/>
          <w:dstrike w:val="false"/>
          <w:color w:val="000000"/>
          <w:sz w:val="24"/>
          <w:u w:val="none"/>
          <w:effect w:val="none"/>
        </w:rPr>
        <w:t>. 2020. Disponível em: https://www.epagri.sc.gov.br/index.php/2020/03/06/queijoartesanal-serrano-recebe-ig-campos-de-cima-da-serra/. Acesso em: 15 mar.  2023. </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FAO. </w:t>
      </w:r>
      <w:r>
        <w:rPr>
          <w:rFonts w:ascii="Trebuchet MS;sans-serif" w:hAnsi="Trebuchet MS;sans-serif"/>
          <w:b/>
          <w:i w:val="false"/>
          <w:caps w:val="false"/>
          <w:smallCaps w:val="false"/>
          <w:strike w:val="false"/>
          <w:dstrike w:val="false"/>
          <w:color w:val="000000"/>
          <w:sz w:val="24"/>
          <w:u w:val="none"/>
          <w:effect w:val="none"/>
        </w:rPr>
        <w:t>Tool for Agroecology Performance Evaluation – Process of development and guidelines for application</w:t>
      </w:r>
      <w:r>
        <w:rPr>
          <w:rFonts w:ascii="Trebuchet MS;sans-serif" w:hAnsi="Trebuchet MS;sans-serif"/>
          <w:b w:val="false"/>
          <w:i w:val="false"/>
          <w:caps w:val="false"/>
          <w:smallCaps w:val="false"/>
          <w:strike w:val="false"/>
          <w:dstrike w:val="false"/>
          <w:color w:val="000000"/>
          <w:sz w:val="24"/>
          <w:u w:val="none"/>
          <w:effect w:val="none"/>
        </w:rPr>
        <w:t>. Test version. Rome, 2019.</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FAASC. Federação da Associação de Apicultores e Meliponicultores do Estado de Santa Catarina. Registro: BR412020000011-2: </w:t>
      </w:r>
      <w:r>
        <w:rPr>
          <w:rFonts w:ascii="Trebuchet MS;sans-serif" w:hAnsi="Trebuchet MS;sans-serif"/>
          <w:b/>
          <w:i w:val="false"/>
          <w:caps w:val="false"/>
          <w:smallCaps w:val="false"/>
          <w:strike w:val="false"/>
          <w:dstrike w:val="false"/>
          <w:color w:val="000000"/>
          <w:sz w:val="24"/>
          <w:u w:val="none"/>
          <w:effect w:val="none"/>
        </w:rPr>
        <w:t>Caderno de Especificações Técnicas da Denominação de Origem "Mel de Melato da Bracatinga do Planalto Sul Brasileiro"</w:t>
      </w:r>
      <w:r>
        <w:rPr>
          <w:rFonts w:ascii="Trebuchet MS;sans-serif" w:hAnsi="Trebuchet MS;sans-serif"/>
          <w:b w:val="false"/>
          <w:i w:val="false"/>
          <w:caps w:val="false"/>
          <w:smallCaps w:val="false"/>
          <w:strike w:val="false"/>
          <w:dstrike w:val="false"/>
          <w:color w:val="000000"/>
          <w:sz w:val="24"/>
          <w:u w:val="none"/>
          <w:effect w:val="none"/>
        </w:rPr>
        <w:t>. Florianópolis: Inpi, 2021. 28 p.</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FECAM. Federação Catarinense de Municípios (org.). </w:t>
      </w:r>
      <w:r>
        <w:rPr>
          <w:rFonts w:ascii="Trebuchet MS;sans-serif" w:hAnsi="Trebuchet MS;sans-serif"/>
          <w:b/>
          <w:i w:val="false"/>
          <w:caps w:val="false"/>
          <w:smallCaps w:val="false"/>
          <w:strike w:val="false"/>
          <w:dstrike w:val="false"/>
          <w:color w:val="000000"/>
          <w:sz w:val="24"/>
          <w:u w:val="none"/>
          <w:effect w:val="none"/>
        </w:rPr>
        <w:t>Sistema de Indicadores  de Desenvolvimento Municipal Sustentável</w:t>
      </w:r>
      <w:r>
        <w:rPr>
          <w:rFonts w:ascii="Trebuchet MS;sans-serif" w:hAnsi="Trebuchet MS;sans-serif"/>
          <w:b w:val="false"/>
          <w:i w:val="false"/>
          <w:caps w:val="false"/>
          <w:smallCaps w:val="false"/>
          <w:strike w:val="false"/>
          <w:dstrike w:val="false"/>
          <w:color w:val="000000"/>
          <w:sz w:val="24"/>
          <w:u w:val="none"/>
          <w:effect w:val="none"/>
        </w:rPr>
        <w:t>. 2020. Disponível em:  https://indicadores.fecam.org.br/indice/associacao/ano/2021/codAssociacao/1.  Acesso em: 28 jul. 2024. </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GUZZATTI, Thaise Costa; GELBCKE, Daniele Lima; CAZELLA, Ademir Antônio. Interfaces do agroturismo com o enfoque da cesta de bens e serviços territoriais. </w:t>
      </w:r>
      <w:r>
        <w:rPr>
          <w:rFonts w:ascii="Trebuchet MS;sans-serif" w:hAnsi="Trebuchet MS;sans-serif"/>
          <w:b/>
          <w:i w:val="false"/>
          <w:caps w:val="false"/>
          <w:smallCaps w:val="false"/>
          <w:strike w:val="false"/>
          <w:dstrike w:val="false"/>
          <w:color w:val="000000"/>
          <w:sz w:val="24"/>
          <w:u w:val="none"/>
          <w:effect w:val="none"/>
        </w:rPr>
        <w:t>Desenvolvimento em Questão</w:t>
      </w:r>
      <w:r>
        <w:rPr>
          <w:rFonts w:ascii="Trebuchet MS;sans-serif" w:hAnsi="Trebuchet MS;sans-serif"/>
          <w:b w:val="false"/>
          <w:i w:val="false"/>
          <w:caps w:val="false"/>
          <w:smallCaps w:val="false"/>
          <w:strike w:val="false"/>
          <w:dstrike w:val="false"/>
          <w:color w:val="000000"/>
          <w:sz w:val="24"/>
          <w:u w:val="none"/>
          <w:effect w:val="none"/>
        </w:rPr>
        <w:t>, [S.L.], v. 22, n. 61, p. 1-20, 11 nov. 2024. Editora Unijui. http://dx.doi.org/10.21527/2237-6453.2024.61.16031.</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IBGE. Microrregião: IBGE, </w:t>
      </w:r>
      <w:r>
        <w:rPr>
          <w:rFonts w:ascii="Trebuchet MS;sans-serif" w:hAnsi="Trebuchet MS;sans-serif"/>
          <w:b/>
          <w:i w:val="false"/>
          <w:caps w:val="false"/>
          <w:smallCaps w:val="false"/>
          <w:strike w:val="false"/>
          <w:dstrike w:val="false"/>
          <w:color w:val="000000"/>
          <w:sz w:val="24"/>
          <w:u w:val="none"/>
          <w:effect w:val="none"/>
        </w:rPr>
        <w:t>Divisão Territorial Brasileira (DTB)</w:t>
      </w:r>
      <w:r>
        <w:rPr>
          <w:rFonts w:ascii="Trebuchet MS;sans-serif" w:hAnsi="Trebuchet MS;sans-serif"/>
          <w:b w:val="false"/>
          <w:i w:val="false"/>
          <w:caps w:val="false"/>
          <w:smallCaps w:val="false"/>
          <w:strike w:val="false"/>
          <w:dstrike w:val="false"/>
          <w:color w:val="000000"/>
          <w:sz w:val="24"/>
          <w:u w:val="none"/>
          <w:effect w:val="none"/>
        </w:rPr>
        <w:t>, 2021. IBGE. Pesquisa Nacional por Amostra de Domicílios Contínua. 2023 </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INPI. </w:t>
      </w:r>
      <w:r>
        <w:rPr>
          <w:rFonts w:ascii="Trebuchet MS;sans-serif" w:hAnsi="Trebuchet MS;sans-serif"/>
          <w:b/>
          <w:i w:val="false"/>
          <w:caps w:val="false"/>
          <w:smallCaps w:val="false"/>
          <w:strike w:val="false"/>
          <w:dstrike w:val="false"/>
          <w:color w:val="000000"/>
          <w:sz w:val="24"/>
          <w:u w:val="none"/>
          <w:effect w:val="none"/>
        </w:rPr>
        <w:t>Manual de Marcas: diretoria de marcas, desenhos industriais e indicações geográficas.</w:t>
      </w:r>
      <w:r>
        <w:rPr>
          <w:b w:val="false"/>
          <w:caps w:val="false"/>
          <w:smallCaps w:val="false"/>
          <w:strike w:val="false"/>
          <w:dstrike w:val="false"/>
          <w:color w:val="000000"/>
          <w:u w:val="none"/>
          <w:effect w:val="none"/>
        </w:rPr>
        <w:t xml:space="preserve"> </w:t>
      </w:r>
      <w:r>
        <w:rPr>
          <w:rFonts w:ascii="Trebuchet MS;sans-serif" w:hAnsi="Trebuchet MS;sans-serif"/>
          <w:b w:val="false"/>
          <w:i w:val="false"/>
          <w:caps w:val="false"/>
          <w:smallCaps w:val="false"/>
          <w:strike w:val="false"/>
          <w:dstrike w:val="false"/>
          <w:color w:val="000000"/>
          <w:sz w:val="24"/>
          <w:u w:val="none"/>
          <w:effect w:val="none"/>
        </w:rPr>
        <w:t>3. ed. S/l:INPI, 2023. 434 p.</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KRONE, Evander Eloí. </w:t>
      </w:r>
      <w:r>
        <w:rPr>
          <w:rFonts w:ascii="Trebuchet MS;sans-serif" w:hAnsi="Trebuchet MS;sans-serif"/>
          <w:b/>
          <w:i w:val="false"/>
          <w:caps w:val="false"/>
          <w:smallCaps w:val="false"/>
          <w:strike w:val="false"/>
          <w:dstrike w:val="false"/>
          <w:color w:val="000000"/>
          <w:sz w:val="24"/>
          <w:u w:val="none"/>
          <w:effect w:val="none"/>
        </w:rPr>
        <w:t>Identidade e cultura nos Campos de Cima da Serra (RS): práticas, saberes e modos de vida de pecuaristas familiares produtores do queijo 100 serrano.</w:t>
      </w:r>
      <w:r>
        <w:rPr>
          <w:b w:val="false"/>
          <w:caps w:val="false"/>
          <w:smallCaps w:val="false"/>
          <w:strike w:val="false"/>
          <w:dstrike w:val="false"/>
          <w:color w:val="000000"/>
          <w:u w:val="none"/>
          <w:effect w:val="none"/>
        </w:rPr>
        <w:t xml:space="preserve"> </w:t>
      </w:r>
      <w:r>
        <w:rPr>
          <w:rFonts w:ascii="Trebuchet MS;sans-serif" w:hAnsi="Trebuchet MS;sans-serif"/>
          <w:b w:val="false"/>
          <w:i w:val="false"/>
          <w:caps w:val="false"/>
          <w:smallCaps w:val="false"/>
          <w:strike w:val="false"/>
          <w:dstrike w:val="false"/>
          <w:color w:val="000000"/>
          <w:sz w:val="24"/>
          <w:u w:val="none"/>
          <w:effect w:val="none"/>
        </w:rPr>
        <w:t>2009. 147 f. Dissertação (Mestrado) - Curso de Programa de Pós- Graduação em Desenvolvimento Rural, Ciências Econômicas, Universidade Federal do Rio Grande do Sul, Porto Alegre, 2009.</w:t>
      </w:r>
    </w:p>
    <w:p>
      <w:pPr>
        <w:pStyle w:val="Corpodotexto"/>
        <w:spacing w:lineRule="auto" w:line="240"/>
        <w:rPr/>
      </w:pPr>
      <w:r>
        <w:rPr/>
      </w:r>
    </w:p>
    <w:p>
      <w:pPr>
        <w:pStyle w:val="Corpodotexto"/>
        <w:bidi w:val="0"/>
        <w:spacing w:lineRule="auto" w:line="240" w:before="0" w:after="0"/>
        <w:ind w:left="0" w:right="0" w:hanging="2"/>
        <w:jc w:val="both"/>
        <w:rPr/>
      </w:pPr>
      <w:r>
        <w:rPr>
          <w:rFonts w:ascii="Trebuchet MS;sans-serif" w:hAnsi="Trebuchet MS;sans-serif"/>
          <w:b w:val="false"/>
          <w:i w:val="false"/>
          <w:caps w:val="false"/>
          <w:smallCaps w:val="false"/>
          <w:strike w:val="false"/>
          <w:dstrike w:val="false"/>
          <w:color w:val="000000"/>
          <w:sz w:val="24"/>
          <w:u w:val="none"/>
          <w:effect w:val="none"/>
        </w:rPr>
        <w:t xml:space="preserve">MALUF, Renato Sérgio; FLEXOR, Georges (org). </w:t>
      </w:r>
      <w:r>
        <w:rPr>
          <w:rFonts w:ascii="Trebuchet MS;sans-serif" w:hAnsi="Trebuchet MS;sans-serif"/>
          <w:b/>
          <w:i w:val="false"/>
          <w:caps w:val="false"/>
          <w:smallCaps w:val="false"/>
          <w:strike w:val="false"/>
          <w:dstrike w:val="false"/>
          <w:color w:val="000000"/>
          <w:sz w:val="24"/>
          <w:u w:val="none"/>
          <w:effect w:val="none"/>
        </w:rPr>
        <w:t>Questões agrárias, agrícolas  e rurais: conjunturas e políticas públicas</w:t>
      </w:r>
      <w:r>
        <w:rPr>
          <w:rFonts w:ascii="Trebuchet MS;sans-serif" w:hAnsi="Trebuchet MS;sans-serif"/>
          <w:b w:val="false"/>
          <w:i w:val="false"/>
          <w:caps w:val="false"/>
          <w:smallCaps w:val="false"/>
          <w:strike w:val="false"/>
          <w:dstrike w:val="false"/>
          <w:color w:val="000000"/>
          <w:sz w:val="24"/>
          <w:u w:val="none"/>
          <w:effect w:val="none"/>
        </w:rPr>
        <w:t>. 1 ed. Rio de Janeiro: E-Papers, 2017. </w:t>
      </w:r>
    </w:p>
    <w:p>
      <w:pPr>
        <w:pStyle w:val="Corpodotexto"/>
        <w:bidi w:val="0"/>
        <w:spacing w:lineRule="auto" w:line="240" w:before="0" w:after="0"/>
        <w:ind w:left="0" w:right="0" w:hanging="2"/>
        <w:jc w:val="both"/>
        <w:rPr>
          <w:rFonts w:ascii="Trebuchet MS;sans-serif" w:hAnsi="Trebuchet MS;sans-serif"/>
          <w:b w:val="false"/>
          <w:b w:val="false"/>
          <w:i w:val="false"/>
          <w:i w:val="false"/>
          <w:caps w:val="false"/>
          <w:smallCaps w:val="false"/>
          <w:strike w:val="false"/>
          <w:dstrike w:val="false"/>
          <w:color w:val="000000"/>
          <w:sz w:val="24"/>
          <w:u w:val="none"/>
          <w:effect w:val="none"/>
        </w:rPr>
      </w:pPr>
      <w:r>
        <w:rPr>
          <w:rFonts w:ascii="Trebuchet MS;sans-serif" w:hAnsi="Trebuchet MS;sans-serif"/>
          <w:b w:val="false"/>
          <w:i w:val="false"/>
          <w:caps w:val="false"/>
          <w:smallCaps w:val="false"/>
          <w:strike w:val="false"/>
          <w:dstrike w:val="false"/>
          <w:color w:val="000000"/>
          <w:sz w:val="24"/>
          <w:u w:val="none"/>
          <w:effect w:val="none"/>
        </w:rPr>
        <w:t>marcom, 2010</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POLLAN, Michael. </w:t>
      </w:r>
      <w:r>
        <w:rPr>
          <w:rFonts w:ascii="Trebuchet MS;sans-serif" w:hAnsi="Trebuchet MS;sans-serif"/>
          <w:b/>
          <w:i w:val="false"/>
          <w:caps w:val="false"/>
          <w:smallCaps w:val="false"/>
          <w:strike w:val="false"/>
          <w:dstrike w:val="false"/>
          <w:color w:val="000000"/>
          <w:sz w:val="24"/>
          <w:u w:val="none"/>
          <w:effect w:val="none"/>
        </w:rPr>
        <w:t>O Dilema do Onívoro: uma história natural de quatro refeições</w:t>
      </w:r>
      <w:r>
        <w:rPr>
          <w:rFonts w:ascii="Trebuchet MS;sans-serif" w:hAnsi="Trebuchet MS;sans-serif"/>
          <w:b w:val="false"/>
          <w:i w:val="false"/>
          <w:caps w:val="false"/>
          <w:smallCaps w:val="false"/>
          <w:strike w:val="false"/>
          <w:dstrike w:val="false"/>
          <w:color w:val="000000"/>
          <w:sz w:val="24"/>
          <w:u w:val="none"/>
          <w:effect w:val="none"/>
        </w:rPr>
        <w:t>. Rio de Janeiro: Intríseca, 2006. 329 p.</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PRADO, Fernando Henrique et al. O processo de construção social de Indicação Geográfica: Desenvolvimento Territorial sustentável no Planalto Norte Catarinense. </w:t>
      </w:r>
      <w:r>
        <w:rPr>
          <w:rFonts w:ascii="Trebuchet MS;sans-serif" w:hAnsi="Trebuchet MS;sans-serif"/>
          <w:b/>
          <w:i w:val="false"/>
          <w:caps w:val="false"/>
          <w:smallCaps w:val="false"/>
          <w:strike w:val="false"/>
          <w:dstrike w:val="false"/>
          <w:color w:val="000000"/>
          <w:sz w:val="24"/>
          <w:u w:val="none"/>
          <w:effect w:val="none"/>
        </w:rPr>
        <w:t>Desenvolvimento e Meio Ambiente</w:t>
      </w:r>
      <w:r>
        <w:rPr>
          <w:rFonts w:ascii="Trebuchet MS;sans-serif" w:hAnsi="Trebuchet MS;sans-serif"/>
          <w:b w:val="false"/>
          <w:i w:val="false"/>
          <w:caps w:val="false"/>
          <w:smallCaps w:val="false"/>
          <w:strike w:val="false"/>
          <w:dstrike w:val="false"/>
          <w:color w:val="000000"/>
          <w:sz w:val="24"/>
          <w:u w:val="none"/>
          <w:effect w:val="none"/>
        </w:rPr>
        <w:t>, [S. l.], v. 59, n. jan./jul., p. 110–133, 2022. DOI: http://dx.doi.org/10.5380/dma.v59i0.76293.</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PREZOTTO, Leomar Luiz. </w:t>
      </w:r>
      <w:r>
        <w:rPr>
          <w:rFonts w:ascii="Trebuchet MS;sans-serif" w:hAnsi="Trebuchet MS;sans-serif"/>
          <w:b/>
          <w:i w:val="false"/>
          <w:caps w:val="false"/>
          <w:smallCaps w:val="false"/>
          <w:strike w:val="false"/>
          <w:dstrike w:val="false"/>
          <w:color w:val="000000"/>
          <w:sz w:val="24"/>
          <w:u w:val="none"/>
          <w:effect w:val="none"/>
        </w:rPr>
        <w:t>Manual de orientações sobre constituição de Serviço de Inspeção Municipal (SIM)</w:t>
      </w:r>
      <w:r>
        <w:rPr>
          <w:rFonts w:ascii="Trebuchet MS;sans-serif" w:hAnsi="Trebuchet MS;sans-serif"/>
          <w:b w:val="false"/>
          <w:i w:val="false"/>
          <w:caps w:val="false"/>
          <w:smallCaps w:val="false"/>
          <w:strike w:val="false"/>
          <w:dstrike w:val="false"/>
          <w:color w:val="000000"/>
          <w:sz w:val="24"/>
          <w:u w:val="none"/>
          <w:effect w:val="none"/>
        </w:rPr>
        <w:t>. Ministério da Agricultura, Pecuária e Abastecimento - MAPA. Brasília, 2013</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Rede PENSSAN. II Inquérito Nacional sobre Insegurança Alimentar no Contexto  da Pandemia da COVID-19 no Brasil [livro eletrônico]: II VIGISAN : relatório  final/Rede Brasileira de Pesquisa em Soberania e Segurança Alimentar – PENSSAN. -- São Paulo, SP: </w:t>
      </w:r>
      <w:r>
        <w:rPr>
          <w:rFonts w:ascii="Trebuchet MS;sans-serif" w:hAnsi="Trebuchet MS;sans-serif"/>
          <w:b/>
          <w:i w:val="false"/>
          <w:caps w:val="false"/>
          <w:smallCaps w:val="false"/>
          <w:strike w:val="false"/>
          <w:dstrike w:val="false"/>
          <w:color w:val="000000"/>
          <w:sz w:val="24"/>
          <w:u w:val="none"/>
          <w:effect w:val="none"/>
        </w:rPr>
        <w:t>Fundação Friedrich Ebert: Rede PENSSAN</w:t>
      </w:r>
      <w:r>
        <w:rPr>
          <w:rFonts w:ascii="Trebuchet MS;sans-serif" w:hAnsi="Trebuchet MS;sans-serif"/>
          <w:b w:val="false"/>
          <w:i w:val="false"/>
          <w:caps w:val="false"/>
          <w:smallCaps w:val="false"/>
          <w:strike w:val="false"/>
          <w:dstrike w:val="false"/>
          <w:color w:val="000000"/>
          <w:sz w:val="24"/>
          <w:u w:val="none"/>
          <w:effect w:val="none"/>
        </w:rPr>
        <w:t>,  2022. </w:t>
      </w:r>
    </w:p>
    <w:p>
      <w:pPr>
        <w:pStyle w:val="Corpodotexto"/>
        <w:bidi w:val="0"/>
        <w:spacing w:lineRule="auto" w:line="240" w:before="0" w:after="0"/>
        <w:ind w:left="0" w:right="0" w:hanging="2"/>
        <w:jc w:val="both"/>
        <w:rPr>
          <w:caps w:val="false"/>
          <w:smallCaps w:val="false"/>
          <w:strike w:val="false"/>
          <w:dstrike w:val="false"/>
          <w:color w:val="000000"/>
          <w:u w:val="none"/>
          <w:effect w:val="none"/>
        </w:rPr>
      </w:pPr>
      <w:r>
        <w:rPr>
          <w:caps w:val="false"/>
          <w:smallCaps w:val="false"/>
          <w:strike w:val="false"/>
          <w:dstrike w:val="false"/>
          <w:color w:val="000000"/>
          <w:u w:val="none"/>
          <w:effect w:val="none"/>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SOUZA, Leonardo Moura de </w:t>
      </w:r>
      <w:r>
        <w:rPr>
          <w:rFonts w:ascii="Trebuchet MS;sans-serif" w:hAnsi="Trebuchet MS;sans-serif"/>
          <w:b w:val="false"/>
          <w:i/>
          <w:caps w:val="false"/>
          <w:smallCaps w:val="false"/>
          <w:strike w:val="false"/>
          <w:dstrike w:val="false"/>
          <w:color w:val="000000"/>
          <w:sz w:val="24"/>
          <w:u w:val="none"/>
          <w:effect w:val="none"/>
        </w:rPr>
        <w:t>et al</w:t>
      </w:r>
      <w:r>
        <w:rPr>
          <w:rFonts w:ascii="Trebuchet MS;sans-serif" w:hAnsi="Trebuchet MS;sans-serif"/>
          <w:b w:val="false"/>
          <w:i w:val="false"/>
          <w:caps w:val="false"/>
          <w:smallCaps w:val="false"/>
          <w:strike w:val="false"/>
          <w:dstrike w:val="false"/>
          <w:color w:val="000000"/>
          <w:sz w:val="24"/>
          <w:u w:val="none"/>
          <w:effect w:val="none"/>
        </w:rPr>
        <w:t xml:space="preserve">. A marca territorial Sabor Serrano e a agroindústria familiar de base agroecológica na Serra Catarinense (Brasil). In: Congresso Latino americano, 8., 2022, [S.L.]. </w:t>
      </w:r>
      <w:r>
        <w:rPr>
          <w:rFonts w:ascii="Trebuchet MS;sans-serif" w:hAnsi="Trebuchet MS;sans-serif"/>
          <w:b/>
          <w:i w:val="false"/>
          <w:caps w:val="false"/>
          <w:smallCaps w:val="false"/>
          <w:strike w:val="false"/>
          <w:dstrike w:val="false"/>
          <w:color w:val="000000"/>
          <w:sz w:val="24"/>
          <w:u w:val="none"/>
          <w:effect w:val="none"/>
        </w:rPr>
        <w:t>Agrociencia Uruguay</w:t>
      </w:r>
      <w:r>
        <w:rPr>
          <w:rFonts w:ascii="Trebuchet MS;sans-serif" w:hAnsi="Trebuchet MS;sans-serif"/>
          <w:b w:val="false"/>
          <w:i w:val="false"/>
          <w:caps w:val="false"/>
          <w:smallCaps w:val="false"/>
          <w:strike w:val="false"/>
          <w:dstrike w:val="false"/>
          <w:color w:val="000000"/>
          <w:sz w:val="24"/>
          <w:u w:val="none"/>
          <w:effect w:val="none"/>
        </w:rPr>
        <w:t>. [S.L.], 2022. v. 26, p. 1-8. </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VIEIRA, Valci Francisco; DORTZBACH, Denilson. </w:t>
      </w:r>
      <w:r>
        <w:rPr>
          <w:rFonts w:ascii="Trebuchet MS;sans-serif" w:hAnsi="Trebuchet MS;sans-serif"/>
          <w:b/>
          <w:i w:val="false"/>
          <w:caps w:val="false"/>
          <w:smallCaps w:val="false"/>
          <w:strike w:val="false"/>
          <w:dstrike w:val="false"/>
          <w:color w:val="000000"/>
          <w:sz w:val="24"/>
          <w:u w:val="none"/>
          <w:effect w:val="none"/>
        </w:rPr>
        <w:t>Caracterização ambiental e delimitação geográfica dos Campos de Cima da Serra</w:t>
      </w:r>
      <w:r>
        <w:rPr>
          <w:rFonts w:ascii="Trebuchet MS;sans-serif" w:hAnsi="Trebuchet MS;sans-serif"/>
          <w:b w:val="false"/>
          <w:i w:val="false"/>
          <w:caps w:val="false"/>
          <w:smallCaps w:val="false"/>
          <w:strike w:val="false"/>
          <w:dstrike w:val="false"/>
          <w:color w:val="000000"/>
          <w:sz w:val="24"/>
          <w:u w:val="none"/>
          <w:effect w:val="none"/>
        </w:rPr>
        <w:t>. Florianópolis, SC:  EPAGRI, 2017. </w:t>
      </w:r>
    </w:p>
    <w:p>
      <w:pPr>
        <w:pStyle w:val="Corpodotexto"/>
        <w:spacing w:lineRule="auto" w:line="240"/>
        <w:rPr/>
      </w:pPr>
      <w:r>
        <w:rPr/>
      </w:r>
    </w:p>
    <w:p>
      <w:pPr>
        <w:pStyle w:val="Corpodotexto"/>
        <w:bidi w:val="0"/>
        <w:spacing w:lineRule="auto" w:line="240" w:before="0" w:after="0"/>
        <w:ind w:left="0" w:right="0" w:hanging="2"/>
        <w:jc w:val="both"/>
        <w:rPr>
          <w:b w:val="false"/>
          <w:b w:val="false"/>
        </w:rPr>
      </w:pPr>
      <w:r>
        <w:rPr>
          <w:rFonts w:ascii="Trebuchet MS;sans-serif" w:hAnsi="Trebuchet MS;sans-serif"/>
          <w:b w:val="false"/>
          <w:i w:val="false"/>
          <w:caps w:val="false"/>
          <w:smallCaps w:val="false"/>
          <w:strike w:val="false"/>
          <w:dstrike w:val="false"/>
          <w:color w:val="000000"/>
          <w:sz w:val="24"/>
          <w:u w:val="none"/>
          <w:effect w:val="none"/>
        </w:rPr>
        <w:t xml:space="preserve">ZAOUAL, Hassan. Nova economia das iniciativas locais: uma introdução ao  pensamento pós-global. Tradução de Michel Thiollent. Rio de Janeiro: </w:t>
      </w:r>
      <w:r>
        <w:rPr>
          <w:rFonts w:ascii="Trebuchet MS;sans-serif" w:hAnsi="Trebuchet MS;sans-serif"/>
          <w:b/>
          <w:i w:val="false"/>
          <w:caps w:val="false"/>
          <w:smallCaps w:val="false"/>
          <w:strike w:val="false"/>
          <w:dstrike w:val="false"/>
          <w:color w:val="000000"/>
          <w:sz w:val="24"/>
          <w:u w:val="none"/>
          <w:effect w:val="none"/>
        </w:rPr>
        <w:t>DP&amp;A</w:t>
      </w:r>
      <w:r>
        <w:rPr>
          <w:rFonts w:ascii="Trebuchet MS;sans-serif" w:hAnsi="Trebuchet MS;sans-serif"/>
          <w:b w:val="false"/>
          <w:i w:val="false"/>
          <w:caps w:val="false"/>
          <w:smallCaps w:val="false"/>
          <w:strike w:val="false"/>
          <w:dstrike w:val="false"/>
          <w:color w:val="000000"/>
          <w:sz w:val="24"/>
          <w:u w:val="none"/>
          <w:effect w:val="none"/>
        </w:rPr>
        <w:t>:  Consulado Geral da França/COOPE/UFRJ, 2006. (Tradução de Nouvelle  économie des initiatives locales). </w:t>
      </w:r>
    </w:p>
    <w:p>
      <w:pPr>
        <w:pStyle w:val="Corpodotexto"/>
        <w:spacing w:lineRule="auto" w:line="240"/>
        <w:rPr/>
      </w:pPr>
      <w:r>
        <w:rPr/>
      </w:r>
    </w:p>
    <w:p>
      <w:pPr>
        <w:pStyle w:val="Corpodotexto"/>
        <w:bidi w:val="0"/>
        <w:spacing w:lineRule="auto" w:line="240" w:before="0" w:after="0"/>
        <w:ind w:left="0" w:right="0" w:hanging="2"/>
        <w:jc w:val="both"/>
        <w:rPr/>
      </w:pPr>
      <w:r>
        <w:rPr>
          <w:rFonts w:ascii="Trebuchet MS;sans-serif" w:hAnsi="Trebuchet MS;sans-serif"/>
          <w:b w:val="false"/>
          <w:i w:val="false"/>
          <w:caps w:val="false"/>
          <w:smallCaps w:val="false"/>
          <w:strike w:val="false"/>
          <w:dstrike w:val="false"/>
          <w:color w:val="000000"/>
          <w:sz w:val="24"/>
          <w:u w:val="none"/>
          <w:effect w:val="none"/>
        </w:rPr>
        <w:t xml:space="preserve">ZAOUAL, Hassan. O homo situs e suas perspectivas paradigmáticas. </w:t>
      </w:r>
      <w:r>
        <w:rPr>
          <w:rFonts w:ascii="Trebuchet MS;sans-serif" w:hAnsi="Trebuchet MS;sans-serif"/>
          <w:b/>
          <w:i w:val="false"/>
          <w:caps w:val="false"/>
          <w:smallCaps w:val="false"/>
          <w:strike w:val="false"/>
          <w:dstrike w:val="false"/>
          <w:color w:val="000000"/>
          <w:sz w:val="24"/>
          <w:u w:val="none"/>
          <w:effect w:val="none"/>
        </w:rPr>
        <w:t>Oikos</w:t>
      </w:r>
      <w:r>
        <w:rPr>
          <w:rFonts w:ascii="Trebuchet MS;sans-serif" w:hAnsi="Trebuchet MS;sans-serif"/>
          <w:b w:val="false"/>
          <w:i w:val="false"/>
          <w:caps w:val="false"/>
          <w:smallCaps w:val="false"/>
          <w:strike w:val="false"/>
          <w:dstrike w:val="false"/>
          <w:color w:val="000000"/>
          <w:sz w:val="24"/>
          <w:u w:val="none"/>
          <w:effect w:val="none"/>
        </w:rPr>
        <w:t>, Rio  de Janeiro, v. 9, n. 1, p. 13-39, 2010. Disponível em:  &lt;http://www.revistaoikos.org/seer/index.php/oikos/article/view/196/126&gt;</w:t>
      </w:r>
    </w:p>
    <w:sectPr>
      <w:footnotePr>
        <w:numFmt w:val="decimal"/>
      </w:footnotePr>
      <w:type w:val="nextPage"/>
      <w:pgSz w:w="11906" w:h="16838"/>
      <w:pgMar w:left="1701" w:right="1701" w:header="0" w:top="1417" w:footer="0" w:bottom="1417" w:gutter="0"/>
      <w:pgNumType w:start="0"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rebuchet MS">
    <w:charset w:val="01"/>
    <w:family w:val="roman"/>
    <w:pitch w:val="variable"/>
  </w:font>
  <w:font w:name="Garamond">
    <w:charset w:val="01"/>
    <w:family w:val="roman"/>
    <w:pitch w:val="variable"/>
  </w:font>
  <w:font w:name="Times New Roman">
    <w:charset w:val="01"/>
    <w:family w:val="roman"/>
    <w:pitch w:val="variable"/>
  </w:font>
  <w:font w:name="Liberation Sans">
    <w:altName w:val="Arial"/>
    <w:charset w:val="01"/>
    <w:family w:val="roman"/>
    <w:pitch w:val="variable"/>
  </w:font>
  <w:font w:name="Antonio">
    <w:charset w:val="01"/>
    <w:family w:val="roman"/>
    <w:pitch w:val="variable"/>
  </w:font>
  <w:font w:name="Avenir Book">
    <w:charset w:val="01"/>
    <w:family w:val="roman"/>
    <w:pitch w:val="variable"/>
  </w:font>
  <w:font w:name="Trebuchet MS">
    <w:altName w:val="sans-serif"/>
    <w:charset w:val="01"/>
    <w:family w:val="roman"/>
    <w:pitch w:val="variable"/>
  </w:font>
  <w:font w:name="Trebuchet MS">
    <w:altName w:val="sans-serif"/>
    <w:charset w:val="01"/>
    <w:family w:val="auto"/>
    <w:pitch w:val="default"/>
  </w:font>
  <w:font w:name="Helvetica Neue">
    <w:altName w:val="Helvetica"/>
    <w:charset w:val="01"/>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taderodap"/>
        <w:jc w:val="both"/>
        <w:rPr>
          <w:rFonts w:ascii="Trebuchet MS;sans-serif" w:hAnsi="Trebuchet MS;sans-serif" w:eastAsia="Times New Roman" w:cs="Times New Roman"/>
          <w:b w:val="false"/>
          <w:b w:val="false"/>
          <w:i w:val="false"/>
          <w:i w:val="false"/>
          <w:caps w:val="false"/>
          <w:smallCaps w:val="false"/>
          <w:strike w:val="false"/>
          <w:dstrike w:val="false"/>
          <w:color w:val="000000"/>
          <w:kern w:val="0"/>
          <w:sz w:val="20"/>
          <w:szCs w:val="20"/>
          <w:u w:val="none"/>
          <w:effect w:val="none"/>
          <w:lang w:val="pt-PT" w:eastAsia="pt-BR" w:bidi="ar-SA"/>
          <w14:ligatures w14:val="none"/>
        </w:rPr>
      </w:pPr>
      <w:r>
        <w:rPr>
          <w:rStyle w:val="Caracteresdenotaderodap"/>
        </w:rPr>
        <w:footnoteRef/>
      </w:r>
      <w:r>
        <w:rPr/>
        <w:t xml:space="preserve"> </w:t>
      </w:r>
      <w:r>
        <w:rPr>
          <w:rFonts w:eastAsia="Times New Roman" w:cs="Times New Roman" w:ascii="Trebuchet MS;sans-serif" w:hAnsi="Trebuchet MS;sans-serif"/>
          <w:b w:val="false"/>
          <w:i w:val="false"/>
          <w:caps w:val="false"/>
          <w:smallCaps w:val="false"/>
          <w:strike w:val="false"/>
          <w:dstrike w:val="false"/>
          <w:color w:val="000000"/>
          <w:kern w:val="0"/>
          <w:sz w:val="20"/>
          <w:szCs w:val="20"/>
          <w:u w:val="none"/>
          <w:effect w:val="none"/>
          <w:lang w:val="pt-PT" w:eastAsia="pt-BR" w:bidi="ar-SA"/>
          <w14:ligatures w14:val="none"/>
        </w:rPr>
        <w:t xml:space="preserve">Agradecimentos: </w:t>
      </w:r>
      <w:r>
        <w:rPr>
          <w:rFonts w:eastAsia="Times New Roman" w:cs="Times New Roman" w:ascii="Trebuchet MS;sans-serif" w:hAnsi="Trebuchet MS;sans-serif"/>
          <w:b w:val="false"/>
          <w:i w:val="false"/>
          <w:caps w:val="false"/>
          <w:smallCaps w:val="false"/>
          <w:strike w:val="false"/>
          <w:dstrike w:val="false"/>
          <w:color w:val="000000"/>
          <w:kern w:val="0"/>
          <w:sz w:val="20"/>
          <w:szCs w:val="20"/>
          <w:u w:val="none"/>
          <w:effect w:val="none"/>
          <w:lang w:val="pt-PT" w:eastAsia="pt-BR" w:bidi="ar-SA"/>
          <w14:ligatures w14:val="none"/>
        </w:rPr>
        <w:t>Este trabalhomcontou com o apoio dos seguintes projetos: i) “Reforçar o Desenvolvimento Sustentável dos Territórios através das Indicações Geográficas (IG)”, financiado pelo</w:t>
      </w:r>
      <w:r>
        <w:rPr>
          <w:rFonts w:eastAsia="Times New Roman" w:cs="Times New Roman" w:ascii="Trebuchet MS;sans-serif" w:hAnsi="Trebuchet MS;sans-serif"/>
          <w:b w:val="false"/>
          <w:i w:val="false"/>
          <w:caps w:val="false"/>
          <w:smallCaps w:val="false"/>
          <w:strike w:val="false"/>
          <w:dstrike w:val="false"/>
          <w:color w:val="000000"/>
          <w:kern w:val="0"/>
          <w:sz w:val="20"/>
          <w:szCs w:val="20"/>
          <w:u w:val="none"/>
          <w:effect w:val="none"/>
          <w:lang w:val="pt-PT" w:eastAsia="pt-BR" w:bidi="ar-SA"/>
          <w14:ligatures w14:val="none"/>
        </w:rPr>
        <w:t xml:space="preserve"> Centro Brasileiro de Análise e Planejamento (Cebrap); </w:t>
      </w:r>
      <w:r>
        <w:rPr>
          <w:rFonts w:eastAsia="Times New Roman" w:cs="Times New Roman" w:ascii="Trebuchet MS;sans-serif" w:hAnsi="Trebuchet MS;sans-serif"/>
          <w:b w:val="false"/>
          <w:i w:val="false"/>
          <w:caps w:val="false"/>
          <w:smallCaps w:val="false"/>
          <w:strike w:val="false"/>
          <w:dstrike w:val="false"/>
          <w:color w:val="000000"/>
          <w:kern w:val="0"/>
          <w:sz w:val="20"/>
          <w:szCs w:val="20"/>
          <w:u w:val="none"/>
          <w:effect w:val="none"/>
          <w:lang w:val="pt-PT" w:eastAsia="pt-BR" w:bidi="ar-SA"/>
          <w14:ligatures w14:val="none"/>
        </w:rPr>
        <w:t xml:space="preserve">ii) “Inovação e transição sustentável: Cesta de bens e serviços em territórios amazônicos”, financiado pela </w:t>
      </w:r>
      <w:r>
        <w:rPr>
          <w:rFonts w:eastAsia="Times New Roman" w:cs="Times New Roman" w:ascii="Trebuchet MS;sans-serif" w:hAnsi="Trebuchet MS;sans-serif"/>
          <w:b w:val="false"/>
          <w:i w:val="false"/>
          <w:caps w:val="false"/>
          <w:smallCaps w:val="false"/>
          <w:strike w:val="false"/>
          <w:dstrike w:val="false"/>
          <w:color w:val="000000"/>
          <w:kern w:val="0"/>
          <w:sz w:val="20"/>
          <w:szCs w:val="20"/>
          <w:u w:val="none"/>
          <w:effect w:val="none"/>
          <w:lang w:val="pt-PT" w:eastAsia="pt-BR" w:bidi="ar-SA"/>
          <w14:ligatures w14:val="none"/>
        </w:rPr>
        <w:t>Fundação de Amparo à Pesquisa e Inovação de Santa Catarina (Fapesc).</w:t>
      </w:r>
    </w:p>
  </w:footnote>
  <w:footnote w:id="3">
    <w:p>
      <w:pPr>
        <w:pStyle w:val="Notaderodap"/>
        <w:rPr/>
      </w:pPr>
      <w:r>
        <w:rPr>
          <w:rStyle w:val="Caracteresdenotaderodap"/>
        </w:rPr>
        <w:footnoteRef/>
      </w:r>
      <w:r>
        <w:rPr>
          <w:rFonts w:eastAsia="Times New Roman" w:cs="Times New Roman" w:ascii="Trebuchet MS;sans-serif" w:hAnsi="Trebuchet MS;sans-serif"/>
          <w:b w:val="false"/>
          <w:i w:val="false"/>
          <w:caps w:val="false"/>
          <w:smallCaps w:val="false"/>
          <w:strike w:val="false"/>
          <w:dstrike w:val="false"/>
          <w:color w:val="000000"/>
          <w:kern w:val="0"/>
          <w:sz w:val="20"/>
          <w:szCs w:val="20"/>
          <w:u w:val="none"/>
          <w:effect w:val="none"/>
          <w:lang w:val="pt-PT" w:eastAsia="pt-BR" w:bidi="ar-SA"/>
          <w14:ligatures w14:val="none"/>
        </w:rPr>
        <w:t xml:space="preserve"> </w:t>
      </w:r>
      <w:hyperlink r:id="rId1">
        <w:r>
          <w:rPr>
            <w:rFonts w:eastAsia="Times New Roman" w:cs="Times New Roman" w:ascii="Trebuchet MS;sans-serif" w:hAnsi="Trebuchet MS;sans-serif"/>
            <w:b w:val="false"/>
            <w:i w:val="false"/>
            <w:caps w:val="false"/>
            <w:smallCaps w:val="false"/>
            <w:strike w:val="false"/>
            <w:dstrike w:val="false"/>
            <w:color w:val="000000"/>
            <w:kern w:val="0"/>
            <w:sz w:val="20"/>
            <w:szCs w:val="20"/>
            <w:u w:val="none"/>
            <w:effect w:val="none"/>
            <w:lang w:val="pt-PT" w:eastAsia="pt-BR" w:bidi="ar-SA"/>
            <w14:ligatures w14:val="none"/>
          </w:rPr>
          <w:t>U</w:t>
        </w:r>
      </w:hyperlink>
      <w:r>
        <w:rPr>
          <w:rFonts w:eastAsia="Times New Roman" w:cs="Times New Roman" w:ascii="Trebuchet MS;sans-serif" w:hAnsi="Trebuchet MS;sans-serif"/>
          <w:b w:val="false"/>
          <w:i w:val="false"/>
          <w:caps w:val="false"/>
          <w:smallCaps w:val="false"/>
          <w:strike w:val="false"/>
          <w:dstrike w:val="false"/>
          <w:color w:val="000000"/>
          <w:kern w:val="0"/>
          <w:sz w:val="20"/>
          <w:szCs w:val="20"/>
          <w:u w:val="none"/>
          <w:effect w:val="none"/>
          <w:lang w:val="pt-PT" w:eastAsia="pt-BR" w:bidi="ar-SA"/>
          <w14:ligatures w14:val="none"/>
        </w:rPr>
        <w:t>niversidade Federal Rural do Rio de Janeiro, jorge.guimaraes@ufrrj.br</w:t>
      </w:r>
    </w:p>
  </w:footnote>
  <w:footnote w:id="4">
    <w:p>
      <w:pPr>
        <w:pStyle w:val="Notaderodap"/>
        <w:rPr>
          <w:rFonts w:ascii="Avenir Book" w:hAnsi="Avenir Book"/>
          <w:lang w:val="pt-BR"/>
        </w:rPr>
      </w:pPr>
      <w:r>
        <w:rPr>
          <w:rStyle w:val="Caracteresdenotaderodap"/>
        </w:rPr>
        <w:footnoteRef/>
      </w:r>
      <w:r>
        <w:rPr>
          <w:rFonts w:ascii="Avenir Book" w:hAnsi="Avenir Book"/>
        </w:rPr>
        <w:t xml:space="preserve"> </w:t>
      </w:r>
      <w:r>
        <w:rPr>
          <w:rFonts w:eastAsia="Times New Roman" w:cs="Times New Roman" w:ascii="Trebuchet MS;sans-serif" w:hAnsi="Trebuchet MS;sans-serif"/>
          <w:b w:val="false"/>
          <w:i w:val="false"/>
          <w:caps w:val="false"/>
          <w:smallCaps w:val="false"/>
          <w:strike w:val="false"/>
          <w:dstrike w:val="false"/>
          <w:color w:val="000000"/>
          <w:kern w:val="0"/>
          <w:sz w:val="20"/>
          <w:szCs w:val="20"/>
          <w:u w:val="none"/>
          <w:effect w:val="none"/>
          <w:lang w:val="pt-PT" w:eastAsia="pt-BR" w:bidi="ar-SA"/>
          <w14:ligatures w14:val="none"/>
        </w:rPr>
        <w:t>Instituto Federal Catarinense, marjamilano@gmail.com</w:t>
      </w:r>
    </w:p>
  </w:footnote>
  <w:footnote w:id="5">
    <w:p>
      <w:pPr>
        <w:pStyle w:val="Notaderodap"/>
        <w:rPr/>
      </w:pPr>
      <w:r>
        <w:rPr>
          <w:rStyle w:val="Caracteresdenotaderodap"/>
        </w:rPr>
        <w:footnoteRef/>
      </w:r>
      <w:r>
        <w:rPr/>
        <w:t xml:space="preserve"> </w:t>
      </w:r>
      <w:r>
        <w:rPr>
          <w:rFonts w:eastAsia="Times New Roman" w:cs="Times New Roman" w:ascii="Trebuchet MS;sans-serif" w:hAnsi="Trebuchet MS;sans-serif"/>
          <w:b w:val="false"/>
          <w:i w:val="false"/>
          <w:caps w:val="false"/>
          <w:smallCaps w:val="false"/>
          <w:strike w:val="false"/>
          <w:dstrike w:val="false"/>
          <w:color w:val="000000"/>
          <w:kern w:val="0"/>
          <w:sz w:val="20"/>
          <w:szCs w:val="20"/>
          <w:u w:val="none"/>
          <w:effect w:val="none"/>
          <w:lang w:val="pt-PT" w:eastAsia="pt-BR" w:bidi="ar-SA"/>
          <w14:ligatures w14:val="none"/>
        </w:rPr>
        <w:t>Universidade Federal de Santa Catarina, aacazella@gmail.com</w:t>
      </w:r>
    </w:p>
  </w:footnote>
  <w:footnote w:id="6">
    <w:p>
      <w:pPr>
        <w:pStyle w:val="Notaderodap"/>
        <w:jc w:val="both"/>
        <w:rPr/>
      </w:pPr>
      <w:r>
        <w:rPr>
          <w:rStyle w:val="Caracteresdenotaderodap"/>
        </w:rPr>
        <w:footnoteRef/>
      </w:r>
      <w:r>
        <w:rPr/>
        <w:t xml:space="preserve"> </w:t>
      </w:r>
      <w:bookmarkStart w:id="3" w:name="docs-internal-guid-62eb87e5-7fff-373a-6e"/>
      <w:bookmarkEnd w:id="3"/>
      <w:r>
        <w:rPr>
          <w:rFonts w:eastAsia="Trebuchet MS" w:cs="" w:ascii="Trebuchet MS;sans-serif" w:hAnsi="Trebuchet MS;sans-serif" w:cstheme="minorBidi" w:eastAsiaTheme="minorHAnsi"/>
          <w:b w:val="false"/>
          <w:i w:val="false"/>
          <w:caps w:val="false"/>
          <w:smallCaps w:val="false"/>
          <w:strike w:val="false"/>
          <w:dstrike w:val="false"/>
          <w:color w:val="000000"/>
          <w:kern w:val="2"/>
          <w:sz w:val="20"/>
          <w:szCs w:val="20"/>
          <w:u w:val="none"/>
          <w:effect w:val="none"/>
          <w:lang w:val="pt-BR" w:eastAsia="en-US" w:bidi="ar-SA"/>
          <w14:ligatures w14:val="standardContextual"/>
        </w:rPr>
        <w:t>Termo utilizado por Benko e Pecqueur (2001) para definir o potencial de uso e exploração (recurso e ativo) e a natureza (genérico e específico) de bens e serviços ofertados no território</w:t>
      </w:r>
      <w:r>
        <w:rPr>
          <w:rFonts w:ascii="Trebuchet MS;sans-serif" w:hAnsi="Trebuchet MS;sans-serif"/>
          <w:b w:val="false"/>
          <w:i w:val="false"/>
          <w:caps w:val="false"/>
          <w:smallCaps w:val="false"/>
          <w:strike w:val="false"/>
          <w:dstrike w:val="false"/>
          <w:color w:val="000000"/>
          <w:sz w:val="20"/>
          <w:u w:val="none"/>
          <w:effect w:val="none"/>
        </w:rPr>
        <w:t>.</w:t>
      </w:r>
    </w:p>
  </w:footnote>
  <w:footnote w:id="7">
    <w:p>
      <w:pPr>
        <w:pStyle w:val="Notaderodap"/>
        <w:jc w:val="both"/>
        <w:rPr/>
      </w:pPr>
      <w:r>
        <w:rPr>
          <w:rStyle w:val="Caracteresdenotaderodap"/>
        </w:rPr>
        <w:footnoteRef/>
      </w:r>
      <w:r>
        <w:rPr/>
        <w:t xml:space="preserve"> </w:t>
      </w:r>
      <w:bookmarkStart w:id="4" w:name="docs-internal-guid-6b3d0621-7fff-0b80-b0"/>
      <w:bookmarkEnd w:id="4"/>
      <w:r>
        <w:rPr>
          <w:rFonts w:ascii="Trebuchet MS;sans-serif" w:hAnsi="Trebuchet MS;sans-serif"/>
          <w:b w:val="false"/>
          <w:i w:val="false"/>
          <w:caps w:val="false"/>
          <w:smallCaps w:val="false"/>
          <w:strike w:val="false"/>
          <w:dstrike w:val="false"/>
          <w:color w:val="000000"/>
          <w:sz w:val="20"/>
          <w:u w:val="none"/>
          <w:effect w:val="none"/>
        </w:rPr>
        <w:t xml:space="preserve">Essa dissertação foi defendida no dia 28/02/2025 pelo mesmo autor deste trabalho, no Programa de Pós-Graduação em Agroecossistemas da Universidade Federal de Santa Catarina. </w:t>
      </w:r>
      <w:r>
        <w:rPr>
          <w:rFonts w:ascii="Trebuchet MS;sans-serif" w:hAnsi="Trebuchet MS;sans-serif"/>
          <w:b w:val="false"/>
          <w:i w:val="false"/>
          <w:caps w:val="false"/>
          <w:smallCaps w:val="false"/>
          <w:strike w:val="false"/>
          <w:dstrike w:val="false"/>
          <w:color w:val="000000"/>
          <w:sz w:val="20"/>
          <w:u w:val="none"/>
          <w:effect w:val="none"/>
        </w:rPr>
        <w:t>O prazo máximo de publicação no repertório da universidade são 90 dias após a defesa.</w:t>
      </w:r>
    </w:p>
  </w:footnote>
  <w:footnote w:id="8">
    <w:p>
      <w:pPr>
        <w:pStyle w:val="Notaderodap"/>
        <w:jc w:val="both"/>
        <w:rPr/>
      </w:pPr>
      <w:r>
        <w:rPr>
          <w:rStyle w:val="Caracteresdenotaderodap"/>
        </w:rPr>
        <w:footnoteRef/>
      </w:r>
      <w:r>
        <w:rPr/>
        <w:t xml:space="preserve"> </w:t>
      </w:r>
      <w:r>
        <w:rPr>
          <w:rFonts w:eastAsia="Times New Roman" w:cs="Times New Roman" w:ascii="Trebuchet MS;sans-serif" w:hAnsi="Trebuchet MS;sans-serif"/>
          <w:b w:val="false"/>
          <w:i w:val="false"/>
          <w:caps w:val="false"/>
          <w:smallCaps w:val="false"/>
          <w:strike w:val="false"/>
          <w:dstrike w:val="false"/>
          <w:color w:val="000000"/>
          <w:kern w:val="0"/>
          <w:sz w:val="20"/>
          <w:szCs w:val="20"/>
          <w:u w:val="none"/>
          <w:effect w:val="none"/>
          <w:lang w:val="pt-PT" w:eastAsia="pt-BR" w:bidi="ar-SA"/>
          <w14:ligatures w14:val="none"/>
        </w:rPr>
        <w:t>A Ferramenta de Avaliação de Desempenho Agroecológico - Tool for Agroecology Performance Evaluation (TAPE) foi desenvolvida pela Organização das Nações Unidas para Alimentação e Agricultura (FAO). Entre suas contribuições, se destaca como a agroecologia atua na promoção de sistemas agrícolas e alimentares sustentáveis (FAO, 2019).</w:t>
      </w:r>
    </w:p>
  </w:footnote>
  <w:footnote w:id="9">
    <w:p>
      <w:pPr>
        <w:pStyle w:val="Notaderodap"/>
        <w:jc w:val="both"/>
        <w:rPr/>
      </w:pPr>
      <w:r>
        <w:rPr>
          <w:rStyle w:val="Caracteresdenotaderodap"/>
        </w:rPr>
        <w:footnoteRef/>
      </w:r>
      <w:r>
        <w:rPr/>
        <w:t xml:space="preserve"> </w:t>
      </w:r>
      <w:bookmarkStart w:id="5" w:name="docs-internal-guid-06f73a4d-7fff-f560-af"/>
      <w:bookmarkEnd w:id="5"/>
      <w:r>
        <w:rPr>
          <w:rFonts w:eastAsia="Times New Roman" w:cs="Times New Roman" w:ascii="Trebuchet MS;sans-serif" w:hAnsi="Trebuchet MS;sans-serif"/>
          <w:b w:val="false"/>
          <w:i w:val="false"/>
          <w:caps w:val="false"/>
          <w:smallCaps w:val="false"/>
          <w:strike w:val="false"/>
          <w:dstrike w:val="false"/>
          <w:color w:val="000000"/>
          <w:kern w:val="0"/>
          <w:sz w:val="20"/>
          <w:szCs w:val="20"/>
          <w:u w:val="none"/>
          <w:effect w:val="none"/>
          <w:lang w:val="pt-PT" w:eastAsia="pt-BR" w:bidi="ar-SA"/>
          <w14:ligatures w14:val="none"/>
        </w:rPr>
        <w:t xml:space="preserve">O Selo Arte atesta a fabricação artesanal, bem como a receita e os processos tradicionais durante as etapas da fabricação de produtos. </w:t>
      </w:r>
    </w:p>
  </w:footnote>
  <w:footnote w:id="10">
    <w:p>
      <w:pPr>
        <w:pStyle w:val="Notaderodap"/>
        <w:jc w:val="both"/>
        <w:rPr/>
      </w:pPr>
      <w:r>
        <w:rPr>
          <w:rStyle w:val="Caracteresdenotaderodap"/>
        </w:rPr>
        <w:footnoteRef/>
      </w:r>
      <w:r>
        <w:rPr/>
        <w:t xml:space="preserve"> </w:t>
      </w:r>
      <w:bookmarkStart w:id="6" w:name="docs-internal-guid-bf840506-7fff-4e53-70"/>
      <w:bookmarkEnd w:id="6"/>
      <w:r>
        <w:rPr>
          <w:rFonts w:eastAsia="Times New Roman" w:cs="Times New Roman" w:ascii="Trebuchet MS;sans-serif" w:hAnsi="Trebuchet MS;sans-serif"/>
          <w:b w:val="false"/>
          <w:i w:val="false"/>
          <w:caps w:val="false"/>
          <w:smallCaps w:val="false"/>
          <w:strike w:val="false"/>
          <w:dstrike w:val="false"/>
          <w:color w:val="000000"/>
          <w:kern w:val="0"/>
          <w:sz w:val="20"/>
          <w:szCs w:val="20"/>
          <w:u w:val="none"/>
          <w:effect w:val="none"/>
          <w:lang w:val="pt-PT" w:eastAsia="pt-BR" w:bidi="ar-SA"/>
          <w14:ligatures w14:val="none"/>
        </w:rPr>
        <w:t>Os critérios para o direito de uso da IG estão descritos em seus respectivos Caderno de Especificações Técnicas (CET). Entre as principais contribuições para as práticas sustentáveis na fabricação do QAS estão o manejo zootécnico tradicional, a pequena escala produtiva e a preservação de forragens e floresta nativas para a alimentação e abrigo dos animais.</w:t>
      </w:r>
    </w:p>
  </w:footnote>
</w:footnotes>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rebuchet MS" w:hAnsi="Trebuchet MS" w:eastAsia="Trebuchet MS" w:cs="" w:asciiTheme="minorHAnsi" w:cstheme="minorBidi" w:eastAsiaTheme="minorHAnsi" w:hAnsiTheme="minorHAnsi"/>
        <w:kern w:val="2"/>
        <w:szCs w:val="24"/>
        <w:lang w:val="pt-B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46408"/>
    <w:pPr>
      <w:widowControl/>
      <w:suppressAutoHyphens w:val="true"/>
      <w:bidi w:val="0"/>
      <w:spacing w:before="0" w:after="0"/>
      <w:jc w:val="left"/>
    </w:pPr>
    <w:rPr>
      <w:rFonts w:ascii="Trebuchet MS" w:hAnsi="Trebuchet MS" w:eastAsia="Trebuchet MS" w:cs="" w:asciiTheme="minorHAnsi" w:cstheme="minorBidi" w:eastAsiaTheme="minorHAnsi" w:hAnsiTheme="minorHAnsi"/>
      <w:color w:val="auto"/>
      <w:kern w:val="2"/>
      <w:sz w:val="24"/>
      <w:szCs w:val="24"/>
      <w:lang w:val="pt-BR" w:eastAsia="en-US" w:bidi="ar-SA"/>
      <w14:ligatures w14:val="standardContextual"/>
    </w:rPr>
  </w:style>
  <w:style w:type="paragraph" w:styleId="Ttulo1">
    <w:name w:val="Heading 1"/>
    <w:basedOn w:val="Normal"/>
    <w:next w:val="Normal"/>
    <w:link w:val="Ttulo1Char"/>
    <w:uiPriority w:val="9"/>
    <w:qFormat/>
    <w:rsid w:val="00733afb"/>
    <w:pPr>
      <w:keepNext w:val="true"/>
      <w:keepLines/>
      <w:spacing w:before="360" w:after="80"/>
      <w:outlineLvl w:val="0"/>
    </w:pPr>
    <w:rPr>
      <w:rFonts w:ascii="Garamond" w:hAnsi="Garamond" w:eastAsia="" w:cs="" w:asciiTheme="majorHAnsi" w:cstheme="majorBidi" w:eastAsiaTheme="majorEastAsia" w:hAnsiTheme="majorHAnsi"/>
      <w:color w:val="0F4761" w:themeColor="accent1" w:themeShade="bf"/>
      <w:sz w:val="40"/>
      <w:szCs w:val="40"/>
    </w:rPr>
  </w:style>
  <w:style w:type="paragraph" w:styleId="Ttulo2">
    <w:name w:val="Heading 2"/>
    <w:basedOn w:val="Normal"/>
    <w:link w:val="Ttulo2Char"/>
    <w:uiPriority w:val="9"/>
    <w:qFormat/>
    <w:rsid w:val="00d46408"/>
    <w:pPr>
      <w:spacing w:beforeAutospacing="1" w:afterAutospacing="1"/>
      <w:outlineLvl w:val="1"/>
    </w:pPr>
    <w:rPr>
      <w:rFonts w:ascii="Times New Roman" w:hAnsi="Times New Roman" w:eastAsia="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val="true"/>
      <w:keepLines/>
      <w:spacing w:before="160" w:after="80"/>
      <w:outlineLvl w:val="2"/>
    </w:pPr>
    <w:rPr>
      <w:rFonts w:eastAsia="" w:cs="" w:cstheme="majorBidi" w:eastAsiaTheme="majorEastAsia"/>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val="true"/>
      <w:keepLines/>
      <w:spacing w:before="80" w:after="40"/>
      <w:outlineLvl w:val="3"/>
    </w:pPr>
    <w:rPr>
      <w:rFonts w:eastAsia="" w:cs="" w:cstheme="majorBidi" w:eastAsiaTheme="majorEastAsia"/>
      <w:i/>
      <w:iCs/>
      <w:color w:val="0F4761" w:themeColor="accent1" w:themeShade="bf"/>
    </w:rPr>
  </w:style>
  <w:style w:type="paragraph" w:styleId="Ttulo5">
    <w:name w:val="Heading 5"/>
    <w:basedOn w:val="Normal"/>
    <w:next w:val="Normal"/>
    <w:link w:val="Ttulo5Char"/>
    <w:uiPriority w:val="9"/>
    <w:semiHidden/>
    <w:unhideWhenUsed/>
    <w:qFormat/>
    <w:rsid w:val="00733afb"/>
    <w:pPr>
      <w:keepNext w:val="true"/>
      <w:keepLines/>
      <w:spacing w:before="80" w:after="40"/>
      <w:outlineLvl w:val="4"/>
    </w:pPr>
    <w:rPr>
      <w:rFonts w:eastAsia="" w:cs="" w:cstheme="majorBidi" w:eastAsiaTheme="majorEastAsia"/>
      <w:color w:val="0F4761" w:themeColor="accent1" w:themeShade="bf"/>
    </w:rPr>
  </w:style>
  <w:style w:type="paragraph" w:styleId="Ttulo6">
    <w:name w:val="Heading 6"/>
    <w:basedOn w:val="Normal"/>
    <w:next w:val="Normal"/>
    <w:link w:val="Ttulo6Char"/>
    <w:uiPriority w:val="9"/>
    <w:semiHidden/>
    <w:unhideWhenUsed/>
    <w:qFormat/>
    <w:rsid w:val="00733afb"/>
    <w:pPr>
      <w:keepNext w:val="true"/>
      <w:keepLines/>
      <w:spacing w:before="40" w:after="0"/>
      <w:outlineLvl w:val="5"/>
    </w:pPr>
    <w:rPr>
      <w:rFonts w:eastAsia="" w:cs="" w:cstheme="majorBidi" w:eastAsiaTheme="majorEastAsia"/>
      <w:i/>
      <w:iCs/>
      <w:color w:val="595959" w:themeColor="text1" w:themeTint="a6"/>
    </w:rPr>
  </w:style>
  <w:style w:type="paragraph" w:styleId="Ttulo7">
    <w:name w:val="Heading 7"/>
    <w:basedOn w:val="Normal"/>
    <w:next w:val="Normal"/>
    <w:link w:val="Ttulo7Char"/>
    <w:uiPriority w:val="9"/>
    <w:semiHidden/>
    <w:unhideWhenUsed/>
    <w:qFormat/>
    <w:rsid w:val="00733afb"/>
    <w:pPr>
      <w:keepNext w:val="true"/>
      <w:keepLines/>
      <w:spacing w:before="40" w:after="0"/>
      <w:outlineLvl w:val="6"/>
    </w:pPr>
    <w:rPr>
      <w:rFonts w:eastAsia="" w:cs="" w:cstheme="majorBidi" w:eastAsiaTheme="majorEastAsia"/>
      <w:color w:val="595959" w:themeColor="text1" w:themeTint="a6"/>
    </w:rPr>
  </w:style>
  <w:style w:type="paragraph" w:styleId="Ttulo8">
    <w:name w:val="Heading 8"/>
    <w:basedOn w:val="Normal"/>
    <w:next w:val="Normal"/>
    <w:link w:val="Ttulo8Char"/>
    <w:uiPriority w:val="9"/>
    <w:semiHidden/>
    <w:unhideWhenUsed/>
    <w:qFormat/>
    <w:rsid w:val="00733afb"/>
    <w:pPr>
      <w:keepNext w:val="true"/>
      <w:keepLines/>
      <w:outlineLvl w:val="7"/>
    </w:pPr>
    <w:rPr>
      <w:rFonts w:eastAsia="" w:cs="" w:cstheme="majorBidi" w:eastAsiaTheme="majorEastAsia"/>
      <w:i/>
      <w:iCs/>
      <w:color w:val="272727" w:themeColor="text1" w:themeTint="d8"/>
    </w:rPr>
  </w:style>
  <w:style w:type="paragraph" w:styleId="Ttulo9">
    <w:name w:val="Heading 9"/>
    <w:basedOn w:val="Normal"/>
    <w:next w:val="Normal"/>
    <w:link w:val="Ttulo9Char"/>
    <w:uiPriority w:val="9"/>
    <w:semiHidden/>
    <w:unhideWhenUsed/>
    <w:qFormat/>
    <w:rsid w:val="00733afb"/>
    <w:pPr>
      <w:keepNext w:val="true"/>
      <w:keepLines/>
      <w:outlineLvl w:val="8"/>
    </w:pPr>
    <w:rPr>
      <w:rFonts w:eastAsia="" w:cs="" w:cstheme="majorBidi" w:eastAsiaTheme="majorEastAsia"/>
      <w:color w:val="272727" w:themeColor="text1" w:themeTint="d8"/>
    </w:rPr>
  </w:style>
  <w:style w:type="character" w:styleId="DefaultParagraphFont" w:default="1">
    <w:name w:val="Default Paragraph Font"/>
    <w:uiPriority w:val="1"/>
    <w:unhideWhenUsed/>
    <w:qFormat/>
    <w:rPr/>
  </w:style>
  <w:style w:type="character" w:styleId="Ttulo2Char" w:customStyle="1">
    <w:name w:val="Título 2 Char"/>
    <w:basedOn w:val="DefaultParagraphFont"/>
    <w:link w:val="Ttulo2"/>
    <w:uiPriority w:val="9"/>
    <w:qFormat/>
    <w:rsid w:val="00d46408"/>
    <w:rPr>
      <w:rFonts w:ascii="Times New Roman" w:hAnsi="Times New Roman" w:eastAsia="Times New Roman" w:cs="Times New Roman"/>
      <w:b/>
      <w:bCs/>
      <w:kern w:val="0"/>
      <w:sz w:val="36"/>
      <w:szCs w:val="36"/>
      <w:lang w:eastAsia="pt-BR"/>
      <w14:ligatures w14:val="none"/>
    </w:rPr>
  </w:style>
  <w:style w:type="character" w:styleId="Strong">
    <w:name w:val="Strong"/>
    <w:basedOn w:val="DefaultParagraphFont"/>
    <w:uiPriority w:val="22"/>
    <w:qFormat/>
    <w:rsid w:val="00d46408"/>
    <w:rPr>
      <w:b/>
      <w:bCs/>
    </w:rPr>
  </w:style>
  <w:style w:type="character" w:styleId="Ttulo1Char" w:customStyle="1">
    <w:name w:val="Título 1 Char"/>
    <w:basedOn w:val="DefaultParagraphFont"/>
    <w:link w:val="Ttulo1"/>
    <w:uiPriority w:val="9"/>
    <w:qFormat/>
    <w:rsid w:val="00733afb"/>
    <w:rPr>
      <w:rFonts w:ascii="Garamond" w:hAnsi="Garamond" w:eastAsia="" w:cs="" w:asciiTheme="majorHAnsi" w:cstheme="majorBidi" w:eastAsiaTheme="majorEastAsia" w:hAnsiTheme="majorHAnsi"/>
      <w:color w:val="0F4761" w:themeColor="accent1" w:themeShade="bf"/>
      <w:sz w:val="40"/>
      <w:szCs w:val="40"/>
    </w:rPr>
  </w:style>
  <w:style w:type="character" w:styleId="Ttulo3Char" w:customStyle="1">
    <w:name w:val="Título 3 Char"/>
    <w:basedOn w:val="DefaultParagraphFont"/>
    <w:link w:val="Ttulo3"/>
    <w:uiPriority w:val="9"/>
    <w:semiHidden/>
    <w:qFormat/>
    <w:rsid w:val="00733afb"/>
    <w:rPr>
      <w:rFonts w:eastAsia="" w:cs="" w:cstheme="majorBidi" w:eastAsiaTheme="majorEastAsia"/>
      <w:color w:val="0F4761" w:themeColor="accent1" w:themeShade="bf"/>
      <w:sz w:val="28"/>
      <w:szCs w:val="28"/>
    </w:rPr>
  </w:style>
  <w:style w:type="character" w:styleId="Ttulo4Char" w:customStyle="1">
    <w:name w:val="Título 4 Char"/>
    <w:basedOn w:val="DefaultParagraphFont"/>
    <w:link w:val="Ttulo4"/>
    <w:uiPriority w:val="9"/>
    <w:semiHidden/>
    <w:qFormat/>
    <w:rsid w:val="00733afb"/>
    <w:rPr>
      <w:rFonts w:eastAsia="" w:cs="" w:cstheme="majorBidi" w:eastAsiaTheme="majorEastAsia"/>
      <w:i/>
      <w:iCs/>
      <w:color w:val="0F4761" w:themeColor="accent1" w:themeShade="bf"/>
    </w:rPr>
  </w:style>
  <w:style w:type="character" w:styleId="Ttulo5Char" w:customStyle="1">
    <w:name w:val="Título 5 Char"/>
    <w:basedOn w:val="DefaultParagraphFont"/>
    <w:link w:val="Ttulo5"/>
    <w:uiPriority w:val="9"/>
    <w:semiHidden/>
    <w:qFormat/>
    <w:rsid w:val="00733afb"/>
    <w:rPr>
      <w:rFonts w:eastAsia="" w:cs="" w:cstheme="majorBidi" w:eastAsiaTheme="majorEastAsia"/>
      <w:color w:val="0F4761" w:themeColor="accent1" w:themeShade="bf"/>
    </w:rPr>
  </w:style>
  <w:style w:type="character" w:styleId="Ttulo6Char" w:customStyle="1">
    <w:name w:val="Título 6 Char"/>
    <w:basedOn w:val="DefaultParagraphFont"/>
    <w:link w:val="Ttulo6"/>
    <w:uiPriority w:val="9"/>
    <w:semiHidden/>
    <w:qFormat/>
    <w:rsid w:val="00733afb"/>
    <w:rPr>
      <w:rFonts w:eastAsia="" w:cs="" w:cstheme="majorBidi" w:eastAsiaTheme="majorEastAsia"/>
      <w:i/>
      <w:iCs/>
      <w:color w:val="595959" w:themeColor="text1" w:themeTint="a6"/>
    </w:rPr>
  </w:style>
  <w:style w:type="character" w:styleId="Ttulo7Char" w:customStyle="1">
    <w:name w:val="Título 7 Char"/>
    <w:basedOn w:val="DefaultParagraphFont"/>
    <w:link w:val="Ttulo7"/>
    <w:uiPriority w:val="9"/>
    <w:semiHidden/>
    <w:qFormat/>
    <w:rsid w:val="00733afb"/>
    <w:rPr>
      <w:rFonts w:eastAsia="" w:cs="" w:cstheme="majorBidi" w:eastAsiaTheme="majorEastAsia"/>
      <w:color w:val="595959" w:themeColor="text1" w:themeTint="a6"/>
    </w:rPr>
  </w:style>
  <w:style w:type="character" w:styleId="Ttulo8Char" w:customStyle="1">
    <w:name w:val="Título 8 Char"/>
    <w:basedOn w:val="DefaultParagraphFont"/>
    <w:link w:val="Ttulo8"/>
    <w:uiPriority w:val="9"/>
    <w:semiHidden/>
    <w:qFormat/>
    <w:rsid w:val="00733afb"/>
    <w:rPr>
      <w:rFonts w:eastAsia="" w:cs="" w:cstheme="majorBidi" w:eastAsiaTheme="majorEastAsia"/>
      <w:i/>
      <w:iCs/>
      <w:color w:val="272727" w:themeColor="text1" w:themeTint="d8"/>
    </w:rPr>
  </w:style>
  <w:style w:type="character" w:styleId="Ttulo9Char" w:customStyle="1">
    <w:name w:val="Título 9 Char"/>
    <w:basedOn w:val="DefaultParagraphFont"/>
    <w:link w:val="Ttulo9"/>
    <w:uiPriority w:val="9"/>
    <w:semiHidden/>
    <w:qFormat/>
    <w:rsid w:val="00733afb"/>
    <w:rPr>
      <w:rFonts w:eastAsia="" w:cs="" w:cstheme="majorBidi" w:eastAsiaTheme="majorEastAsia"/>
      <w:color w:val="272727" w:themeColor="text1" w:themeTint="d8"/>
    </w:rPr>
  </w:style>
  <w:style w:type="character" w:styleId="TtuloChar" w:customStyle="1">
    <w:name w:val="Título Char"/>
    <w:basedOn w:val="DefaultParagraphFont"/>
    <w:link w:val="Ttulo"/>
    <w:uiPriority w:val="10"/>
    <w:qFormat/>
    <w:rsid w:val="00733afb"/>
    <w:rPr>
      <w:rFonts w:ascii="Garamond" w:hAnsi="Garamond" w:eastAsia="" w:cs="" w:asciiTheme="majorHAnsi" w:cstheme="majorBidi" w:eastAsiaTheme="majorEastAsia" w:hAnsiTheme="majorHAnsi"/>
      <w:spacing w:val="-10"/>
      <w:kern w:val="2"/>
      <w:sz w:val="56"/>
      <w:szCs w:val="56"/>
    </w:rPr>
  </w:style>
  <w:style w:type="character" w:styleId="SubttuloChar" w:customStyle="1">
    <w:name w:val="Subtítulo Char"/>
    <w:basedOn w:val="DefaultParagraphFont"/>
    <w:link w:val="Subttulo"/>
    <w:uiPriority w:val="11"/>
    <w:qFormat/>
    <w:rsid w:val="00733afb"/>
    <w:rPr>
      <w:rFonts w:eastAsia="" w:cs="" w:cstheme="majorBidi" w:eastAsiaTheme="majorEastAsia"/>
      <w:color w:val="595959" w:themeColor="text1" w:themeTint="a6"/>
      <w:spacing w:val="15"/>
      <w:sz w:val="28"/>
      <w:szCs w:val="28"/>
    </w:rPr>
  </w:style>
  <w:style w:type="character" w:styleId="CitaoChar" w:customStyle="1">
    <w:name w:val="Citação Char"/>
    <w:basedOn w:val="DefaultParagraphFont"/>
    <w:link w:val="Citao"/>
    <w:uiPriority w:val="29"/>
    <w:qFormat/>
    <w:rsid w:val="00733afb"/>
    <w:rPr>
      <w:i/>
      <w:iCs/>
      <w:color w:val="404040" w:themeColor="text1" w:themeTint="bf"/>
    </w:rPr>
  </w:style>
  <w:style w:type="character" w:styleId="IntenseEmphasis">
    <w:name w:val="Intense Emphasis"/>
    <w:basedOn w:val="DefaultParagraphFont"/>
    <w:uiPriority w:val="21"/>
    <w:qFormat/>
    <w:rsid w:val="00733afb"/>
    <w:rPr>
      <w:i/>
      <w:iCs/>
      <w:color w:val="0F4761" w:themeColor="accent1" w:themeShade="bf"/>
    </w:rPr>
  </w:style>
  <w:style w:type="character" w:styleId="CitaoIntensaChar" w:customStyle="1">
    <w:name w:val="Citação Intensa Char"/>
    <w:basedOn w:val="DefaultParagraphFont"/>
    <w:link w:val="CitaoIntensa"/>
    <w:uiPriority w:val="30"/>
    <w:qFormat/>
    <w:rsid w:val="00733afb"/>
    <w:rPr>
      <w:i/>
      <w:iCs/>
      <w:color w:val="0F4761" w:themeColor="accent1" w:themeShade="bf"/>
    </w:rPr>
  </w:style>
  <w:style w:type="character" w:styleId="IntenseReference">
    <w:name w:val="Intense Reference"/>
    <w:basedOn w:val="DefaultParagraphFont"/>
    <w:uiPriority w:val="32"/>
    <w:qFormat/>
    <w:rsid w:val="00733afb"/>
    <w:rPr>
      <w:b/>
      <w:bCs/>
      <w:smallCaps/>
      <w:color w:val="0F4761" w:themeColor="accent1" w:themeShade="bf"/>
      <w:spacing w:val="5"/>
    </w:rPr>
  </w:style>
  <w:style w:type="character" w:styleId="SemEspaamentoChar" w:customStyle="1">
    <w:name w:val="Sem Espaçamento Char"/>
    <w:basedOn w:val="DefaultParagraphFont"/>
    <w:link w:val="SemEspaamento"/>
    <w:uiPriority w:val="1"/>
    <w:qFormat/>
    <w:rsid w:val="0053021a"/>
    <w:rPr>
      <w:rFonts w:eastAsia="" w:eastAsiaTheme="minorEastAsia"/>
      <w:kern w:val="0"/>
      <w:sz w:val="22"/>
      <w:szCs w:val="22"/>
      <w:lang w:val="en-US" w:eastAsia="zh-CN"/>
      <w14:ligatures w14:val="none"/>
    </w:rPr>
  </w:style>
  <w:style w:type="character" w:styleId="CabealhoChar" w:customStyle="1">
    <w:name w:val="Cabeçalho Char"/>
    <w:basedOn w:val="DefaultParagraphFont"/>
    <w:link w:val="Cabealho"/>
    <w:uiPriority w:val="99"/>
    <w:qFormat/>
    <w:rsid w:val="0027518c"/>
    <w:rPr/>
  </w:style>
  <w:style w:type="character" w:styleId="RodapChar" w:customStyle="1">
    <w:name w:val="Rodapé Char"/>
    <w:basedOn w:val="DefaultParagraphFont"/>
    <w:link w:val="Rodap"/>
    <w:uiPriority w:val="99"/>
    <w:qFormat/>
    <w:rsid w:val="0027518c"/>
    <w:rPr/>
  </w:style>
  <w:style w:type="character" w:styleId="TextodenotaderodapChar" w:customStyle="1">
    <w:name w:val="Texto de nota de rodapé Char"/>
    <w:basedOn w:val="DefaultParagraphFont"/>
    <w:link w:val="Textodenotaderodap"/>
    <w:uiPriority w:val="99"/>
    <w:semiHidden/>
    <w:qFormat/>
    <w:rsid w:val="00216eff"/>
    <w:rPr>
      <w:rFonts w:ascii="Times New Roman" w:hAnsi="Times New Roman" w:eastAsia="Times New Roman" w:cs="Times New Roman"/>
      <w:kern w:val="0"/>
      <w:sz w:val="20"/>
      <w:szCs w:val="20"/>
      <w:lang w:val="pt-PT" w:eastAsia="pt-BR"/>
      <w14:ligatures w14:val="none"/>
    </w:rPr>
  </w:style>
  <w:style w:type="character" w:styleId="Ncoradanotaderodap">
    <w:name w:val="Âncora da nota de rodapé"/>
    <w:rPr>
      <w:vertAlign w:val="superscript"/>
    </w:rPr>
  </w:style>
  <w:style w:type="character" w:styleId="FootnoteCharacters">
    <w:name w:val="Footnote Characters"/>
    <w:basedOn w:val="DefaultParagraphFont"/>
    <w:uiPriority w:val="99"/>
    <w:semiHidden/>
    <w:unhideWhenUsed/>
    <w:qFormat/>
    <w:rsid w:val="00216eff"/>
    <w:rPr>
      <w:vertAlign w:val="superscript"/>
    </w:rPr>
  </w:style>
  <w:style w:type="character" w:styleId="LinkdaInternet">
    <w:name w:val="Link da Internet"/>
    <w:rPr>
      <w:color w:val="000080"/>
      <w:u w:val="single"/>
      <w:lang w:val="zxx" w:eastAsia="zxx" w:bidi="zxx"/>
    </w:rPr>
  </w:style>
  <w:style w:type="character" w:styleId="Caracteresdenotaderodap">
    <w:name w:val="Caracteres de nota de rodapé"/>
    <w:qFormat/>
    <w:rPr/>
  </w:style>
  <w:style w:type="character" w:styleId="Ncoradanotadefim">
    <w:name w:val="Âncora da nota de fim"/>
    <w:rPr>
      <w:vertAlign w:val="superscript"/>
    </w:rPr>
  </w:style>
  <w:style w:type="character" w:styleId="Caracteresdenotadefim">
    <w:name w:val="Caracteres de nota de fim"/>
    <w:qFormat/>
    <w:rPr/>
  </w:style>
  <w:style w:type="character" w:styleId="Nfaseforte">
    <w:name w:val="Ênfase forte"/>
    <w:qFormat/>
    <w:rPr>
      <w:b/>
      <w:bCs/>
    </w:rPr>
  </w:style>
  <w:style w:type="paragraph" w:styleId="Ttulo">
    <w:name w:val="Título"/>
    <w:basedOn w:val="Normal"/>
    <w:next w:val="Corpodotexto"/>
    <w:qFormat/>
    <w:pPr>
      <w:keepNext w:val="true"/>
      <w:spacing w:before="240" w:after="120"/>
    </w:pPr>
    <w:rPr>
      <w:rFonts w:ascii="Liberation Sans" w:hAnsi="Liberation Sans" w:eastAsia="Noto Sans CJK SC" w:cs="Lohit Devanagari"/>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Ttulododocumento">
    <w:name w:val="Title"/>
    <w:basedOn w:val="Normal"/>
    <w:next w:val="Normal"/>
    <w:link w:val="TtuloChar"/>
    <w:uiPriority w:val="10"/>
    <w:qFormat/>
    <w:rsid w:val="00733afb"/>
    <w:pPr>
      <w:spacing w:before="0" w:after="80"/>
      <w:contextualSpacing/>
    </w:pPr>
    <w:rPr>
      <w:rFonts w:ascii="Garamond" w:hAnsi="Garamond" w:eastAsia="" w:cs="" w:asciiTheme="majorHAnsi" w:cstheme="majorBidi" w:eastAsiaTheme="majorEastAsia" w:hAnsiTheme="majorHAnsi"/>
      <w:spacing w:val="-10"/>
      <w:kern w:val="2"/>
      <w:sz w:val="56"/>
      <w:szCs w:val="56"/>
    </w:rPr>
  </w:style>
  <w:style w:type="paragraph" w:styleId="Subttulo">
    <w:name w:val="Subtitle"/>
    <w:basedOn w:val="Normal"/>
    <w:next w:val="Normal"/>
    <w:link w:val="SubttuloChar"/>
    <w:uiPriority w:val="11"/>
    <w:qFormat/>
    <w:rsid w:val="00733afb"/>
    <w:pPr>
      <w:spacing w:before="0" w:after="160"/>
    </w:pPr>
    <w:rPr>
      <w:rFonts w:eastAsia="" w:cs="" w:cstheme="majorBidi" w:eastAsiaTheme="majorEastAsia"/>
      <w:color w:val="595959" w:themeColor="text1" w:themeTint="a6"/>
      <w:spacing w:val="15"/>
      <w:sz w:val="28"/>
      <w:szCs w:val="28"/>
    </w:rPr>
  </w:style>
  <w:style w:type="paragraph" w:styleId="Quote">
    <w:name w:val="Quote"/>
    <w:basedOn w:val="Normal"/>
    <w:next w:val="Normal"/>
    <w:link w:val="CitaoChar"/>
    <w:uiPriority w:val="29"/>
    <w:qFormat/>
    <w:rsid w:val="00733afb"/>
    <w:pPr>
      <w:spacing w:before="160" w:after="160"/>
      <w:jc w:val="center"/>
    </w:pPr>
    <w:rPr>
      <w:i/>
      <w:iCs/>
      <w:color w:val="404040" w:themeColor="text1" w:themeTint="bf"/>
    </w:rPr>
  </w:style>
  <w:style w:type="paragraph" w:styleId="ListParagraph">
    <w:name w:val="List Paragraph"/>
    <w:basedOn w:val="Normal"/>
    <w:uiPriority w:val="34"/>
    <w:qFormat/>
    <w:rsid w:val="00733afb"/>
    <w:pPr>
      <w:spacing w:before="0" w:after="0"/>
      <w:ind w:left="720" w:hanging="0"/>
      <w:contextualSpacing/>
    </w:pPr>
    <w:rPr/>
  </w:style>
  <w:style w:type="paragraph" w:styleId="IntenseQuote">
    <w:name w:val="Intense Quote"/>
    <w:basedOn w:val="Normal"/>
    <w:next w:val="Normal"/>
    <w:link w:val="CitaoIntensaChar"/>
    <w:uiPriority w:val="30"/>
    <w:qFormat/>
    <w:rsid w:val="00733afb"/>
    <w:pPr>
      <w:pBdr>
        <w:top w:val="single" w:sz="4" w:space="10" w:color="0F4761"/>
        <w:bottom w:val="single" w:sz="4" w:space="10" w:color="0F4761"/>
      </w:pBdr>
      <w:spacing w:before="360" w:after="360"/>
      <w:ind w:left="864" w:right="864" w:hanging="0"/>
      <w:jc w:val="center"/>
    </w:pPr>
    <w:rPr>
      <w:i/>
      <w:iCs/>
      <w:color w:val="0F4761" w:themeColor="accent1" w:themeShade="bf"/>
    </w:rPr>
  </w:style>
  <w:style w:type="paragraph" w:styleId="Revision">
    <w:name w:val="Revision"/>
    <w:uiPriority w:val="99"/>
    <w:semiHidden/>
    <w:qFormat/>
    <w:rsid w:val="00733afb"/>
    <w:pPr>
      <w:widowControl/>
      <w:suppressAutoHyphens w:val="true"/>
      <w:bidi w:val="0"/>
      <w:spacing w:before="0" w:after="0"/>
      <w:jc w:val="left"/>
    </w:pPr>
    <w:rPr>
      <w:rFonts w:ascii="Trebuchet MS" w:hAnsi="Trebuchet MS" w:eastAsia="Trebuchet MS" w:cs="" w:asciiTheme="minorHAnsi" w:cstheme="minorBidi" w:eastAsiaTheme="minorHAnsi" w:hAnsiTheme="minorHAnsi"/>
      <w:color w:val="auto"/>
      <w:kern w:val="2"/>
      <w:sz w:val="24"/>
      <w:szCs w:val="24"/>
      <w:lang w:val="pt-BR" w:eastAsia="en-US" w:bidi="ar-SA"/>
      <w14:ligatures w14:val="standardContextual"/>
    </w:rPr>
  </w:style>
  <w:style w:type="paragraph" w:styleId="NoSpacing">
    <w:name w:val="No Spacing"/>
    <w:link w:val="SemEspaamentoChar"/>
    <w:uiPriority w:val="1"/>
    <w:qFormat/>
    <w:rsid w:val="0053021a"/>
    <w:pPr>
      <w:widowControl/>
      <w:suppressAutoHyphens w:val="true"/>
      <w:bidi w:val="0"/>
      <w:spacing w:before="0" w:after="0"/>
      <w:jc w:val="left"/>
    </w:pPr>
    <w:rPr>
      <w:rFonts w:ascii="Trebuchet MS" w:hAnsi="Trebuchet MS" w:eastAsia="" w:cs="" w:eastAsiaTheme="minorEastAsia"/>
      <w:color w:val="auto"/>
      <w:kern w:val="0"/>
      <w:sz w:val="22"/>
      <w:szCs w:val="22"/>
      <w:lang w:val="en-US" w:eastAsia="zh-CN" w:bidi="ar-SA"/>
      <w14:ligatures w14:val="none"/>
    </w:rPr>
  </w:style>
  <w:style w:type="paragraph" w:styleId="CabealhoeRodap">
    <w:name w:val="Cabeçalho e Rodapé"/>
    <w:basedOn w:val="Normal"/>
    <w:qFormat/>
    <w:pPr/>
    <w:rPr/>
  </w:style>
  <w:style w:type="paragraph" w:styleId="Cabealho">
    <w:name w:val="Header"/>
    <w:basedOn w:val="Normal"/>
    <w:link w:val="CabealhoChar"/>
    <w:uiPriority w:val="99"/>
    <w:unhideWhenUsed/>
    <w:rsid w:val="0027518c"/>
    <w:pPr>
      <w:tabs>
        <w:tab w:val="clear" w:pos="708"/>
        <w:tab w:val="center" w:pos="4252" w:leader="none"/>
        <w:tab w:val="right" w:pos="8504" w:leader="none"/>
      </w:tabs>
    </w:pPr>
    <w:rPr/>
  </w:style>
  <w:style w:type="paragraph" w:styleId="Rodap">
    <w:name w:val="Footer"/>
    <w:basedOn w:val="Normal"/>
    <w:link w:val="RodapChar"/>
    <w:uiPriority w:val="99"/>
    <w:unhideWhenUsed/>
    <w:rsid w:val="0027518c"/>
    <w:pPr>
      <w:tabs>
        <w:tab w:val="clear" w:pos="708"/>
        <w:tab w:val="center" w:pos="4252" w:leader="none"/>
        <w:tab w:val="right" w:pos="8504" w:leader="none"/>
      </w:tabs>
    </w:pPr>
    <w:rPr/>
  </w:style>
  <w:style w:type="paragraph" w:styleId="Notaderodap">
    <w:name w:val="Footnote Text"/>
    <w:basedOn w:val="Normal"/>
    <w:link w:val="TextodenotaderodapChar"/>
    <w:uiPriority w:val="99"/>
    <w:semiHidden/>
    <w:unhideWhenUsed/>
    <w:rsid w:val="00216eff"/>
    <w:pPr>
      <w:widowControl w:val="false"/>
    </w:pPr>
    <w:rPr>
      <w:rFonts w:ascii="Times New Roman" w:hAnsi="Times New Roman" w:eastAsia="Times New Roman" w:cs="Times New Roman"/>
      <w:kern w:val="0"/>
      <w:sz w:val="20"/>
      <w:szCs w:val="20"/>
      <w:lang w:val="pt-PT" w:eastAsia="pt-BR"/>
      <w14:ligatures w14:val="none"/>
    </w:rPr>
  </w:style>
  <w:style w:type="paragraph" w:styleId="Contedodoquadro">
    <w:name w:val="Conteúdo do quadro"/>
    <w:basedOn w:val="Normal"/>
    <w:qFormat/>
    <w:pPr/>
    <w:rPr/>
  </w:style>
  <w:style w:type="paragraph" w:styleId="Notadefim">
    <w:name w:val="Endnote Text"/>
    <w:basedOn w:val="Normal"/>
    <w:pPr>
      <w:suppressLineNumbers/>
      <w:ind w:left="339" w:hanging="339"/>
    </w:pPr>
    <w:rPr>
      <w:sz w:val="20"/>
      <w:szCs w:val="20"/>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notes" Target="footnot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mailto:pesquisaxxx@mail.com" TargetMode="Externa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1260</TotalTime>
  <Application>LibreOffice/6.4.7.2$Linux_X86_64 LibreOffice_project/40$Build-2</Application>
  <Pages>17</Pages>
  <Words>4568</Words>
  <Characters>26726</Characters>
  <CharactersWithSpaces>31275</CharactersWithSpaces>
  <Paragraphs>92</Paragraphs>
  <Company>Estúdio Cori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2025-02-20T16:32:00Z</dcterms:created>
  <dc:creator>Monica Tomin</dc:creator>
  <dc:description/>
  <dc:language>pt-BR</dc:language>
  <cp:lastModifiedBy/>
  <dcterms:modified xsi:type="dcterms:W3CDTF">2025-05-12T21:36:31Z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Estúdio Cori</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