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981C" w14:textId="13D06C07" w:rsidR="00C637C2" w:rsidRPr="00BA57A2" w:rsidRDefault="003C2E11" w:rsidP="00C62F55">
      <w:pPr>
        <w:keepNext/>
        <w:keepLines/>
        <w:pBdr>
          <w:top w:val="nil"/>
          <w:left w:val="nil"/>
          <w:bottom w:val="nil"/>
          <w:right w:val="nil"/>
          <w:between w:val="nil"/>
        </w:pBdr>
        <w:spacing w:line="276" w:lineRule="auto"/>
        <w:ind w:leftChars="0" w:left="0" w:firstLineChars="0" w:firstLine="0"/>
        <w:rPr>
          <w:b/>
          <w:color w:val="000000"/>
          <w:sz w:val="32"/>
          <w:szCs w:val="32"/>
        </w:rPr>
      </w:pPr>
      <w:r w:rsidRPr="003C2E11">
        <w:rPr>
          <w:b/>
          <w:color w:val="000000"/>
          <w:sz w:val="32"/>
          <w:szCs w:val="32"/>
        </w:rPr>
        <w:t>TUTORÍA ACADÉMICA: FORTALECER LA COMPETENCIA DE LECTO-ESCRITURA UNIVERSITARIA COMO UN APORTE A</w:t>
      </w:r>
      <w:r>
        <w:rPr>
          <w:b/>
          <w:color w:val="000000"/>
          <w:sz w:val="32"/>
          <w:szCs w:val="32"/>
        </w:rPr>
        <w:t xml:space="preserve"> </w:t>
      </w:r>
      <w:r w:rsidRPr="003C2E11">
        <w:rPr>
          <w:b/>
          <w:color w:val="000000"/>
          <w:sz w:val="32"/>
          <w:szCs w:val="32"/>
        </w:rPr>
        <w:t>LA PERMANENCIA DE ESTUDIANTES DE PRIMER AÑO DE LA</w:t>
      </w:r>
      <w:r>
        <w:rPr>
          <w:b/>
          <w:color w:val="000000"/>
          <w:sz w:val="32"/>
          <w:szCs w:val="32"/>
        </w:rPr>
        <w:t xml:space="preserve"> </w:t>
      </w:r>
      <w:r w:rsidRPr="003C2E11">
        <w:rPr>
          <w:b/>
          <w:color w:val="000000"/>
          <w:sz w:val="32"/>
          <w:szCs w:val="32"/>
        </w:rPr>
        <w:t>FACULTAD DE EDUCACIÓN</w:t>
      </w:r>
    </w:p>
    <w:p w14:paraId="06575611" w14:textId="343A11EA" w:rsidR="003C2E11" w:rsidRDefault="00177CB2" w:rsidP="00C62F55">
      <w:pPr>
        <w:tabs>
          <w:tab w:val="left" w:pos="7078"/>
          <w:tab w:val="left" w:pos="9638"/>
        </w:tabs>
        <w:ind w:leftChars="0" w:left="2" w:hanging="2"/>
        <w:rPr>
          <w:sz w:val="24"/>
          <w:szCs w:val="24"/>
        </w:rPr>
      </w:pPr>
      <w:r>
        <w:rPr>
          <w:b/>
          <w:sz w:val="24"/>
          <w:szCs w:val="24"/>
        </w:rPr>
        <w:t>Línea Temática</w:t>
      </w:r>
      <w:r>
        <w:rPr>
          <w:sz w:val="24"/>
          <w:szCs w:val="24"/>
        </w:rPr>
        <w:t xml:space="preserve">: </w:t>
      </w:r>
      <w:r w:rsidR="00E35257">
        <w:rPr>
          <w:sz w:val="24"/>
          <w:szCs w:val="24"/>
        </w:rPr>
        <w:t xml:space="preserve">Línea 4. </w:t>
      </w:r>
      <w:r w:rsidR="003C2E11" w:rsidRPr="003C2E11">
        <w:rPr>
          <w:sz w:val="24"/>
          <w:szCs w:val="24"/>
        </w:rPr>
        <w:t>Prácticas de integración universitaria para la reducción del abandono</w:t>
      </w:r>
    </w:p>
    <w:p w14:paraId="4C757581" w14:textId="4AC2AD77" w:rsidR="00C637C2" w:rsidRPr="00EF610E" w:rsidRDefault="00EE1CCD" w:rsidP="00C62F55">
      <w:pPr>
        <w:tabs>
          <w:tab w:val="left" w:pos="9638"/>
        </w:tabs>
        <w:ind w:leftChars="0" w:left="2" w:hanging="2"/>
        <w:jc w:val="right"/>
        <w:rPr>
          <w:i/>
          <w:iCs/>
          <w:color w:val="000000"/>
          <w:sz w:val="24"/>
          <w:szCs w:val="24"/>
        </w:rPr>
      </w:pPr>
      <w:r>
        <w:rPr>
          <w:i/>
          <w:iCs/>
          <w:color w:val="000000"/>
          <w:sz w:val="24"/>
          <w:szCs w:val="24"/>
        </w:rPr>
        <w:t>María Inés Cuevas Morales, Universidad Católica de Temuco</w:t>
      </w:r>
      <w:r w:rsidR="00EF610E" w:rsidRPr="00172A5C">
        <w:rPr>
          <w:i/>
          <w:iCs/>
          <w:color w:val="000000"/>
          <w:sz w:val="24"/>
          <w:szCs w:val="24"/>
        </w:rPr>
        <w:t xml:space="preserve">, </w:t>
      </w:r>
      <w:r>
        <w:rPr>
          <w:i/>
          <w:iCs/>
          <w:color w:val="000000"/>
          <w:sz w:val="24"/>
          <w:szCs w:val="24"/>
        </w:rPr>
        <w:t>mcuevas</w:t>
      </w:r>
      <w:r w:rsidRPr="00EE1CCD">
        <w:rPr>
          <w:i/>
          <w:iCs/>
          <w:color w:val="000000"/>
          <w:sz w:val="24"/>
          <w:szCs w:val="24"/>
        </w:rPr>
        <w:t>@</w:t>
      </w:r>
      <w:r>
        <w:rPr>
          <w:i/>
          <w:iCs/>
          <w:color w:val="000000"/>
          <w:sz w:val="24"/>
          <w:szCs w:val="24"/>
        </w:rPr>
        <w:t>uct.cl</w:t>
      </w:r>
      <w:r w:rsidR="00EF610E" w:rsidRPr="00172A5C">
        <w:rPr>
          <w:i/>
          <w:iCs/>
          <w:color w:val="000000"/>
          <w:sz w:val="24"/>
          <w:szCs w:val="24"/>
        </w:rPr>
        <w:t xml:space="preserve"> </w:t>
      </w:r>
      <w:r w:rsidR="00EF610E">
        <w:rPr>
          <w:i/>
          <w:iCs/>
          <w:color w:val="000000"/>
          <w:sz w:val="24"/>
          <w:szCs w:val="24"/>
        </w:rPr>
        <w:br/>
      </w:r>
      <w:r>
        <w:rPr>
          <w:i/>
          <w:iCs/>
          <w:color w:val="000000"/>
          <w:sz w:val="24"/>
          <w:szCs w:val="24"/>
        </w:rPr>
        <w:t>Eduardo Alberto Arteaga Viveros</w:t>
      </w:r>
      <w:r w:rsidR="00EF610E" w:rsidRPr="00172A5C">
        <w:rPr>
          <w:i/>
          <w:iCs/>
          <w:color w:val="000000"/>
          <w:sz w:val="24"/>
          <w:szCs w:val="24"/>
        </w:rPr>
        <w:t xml:space="preserve">, </w:t>
      </w:r>
      <w:r w:rsidR="000636E4">
        <w:rPr>
          <w:i/>
          <w:iCs/>
          <w:color w:val="000000"/>
          <w:sz w:val="24"/>
          <w:szCs w:val="24"/>
        </w:rPr>
        <w:t>Universidad de Barcelona</w:t>
      </w:r>
      <w:r w:rsidR="00EF610E" w:rsidRPr="00172A5C">
        <w:rPr>
          <w:i/>
          <w:iCs/>
          <w:color w:val="000000"/>
          <w:sz w:val="24"/>
          <w:szCs w:val="24"/>
        </w:rPr>
        <w:t xml:space="preserve">, </w:t>
      </w:r>
      <w:r w:rsidR="006F09DF">
        <w:rPr>
          <w:i/>
          <w:iCs/>
          <w:color w:val="000000"/>
          <w:sz w:val="24"/>
          <w:szCs w:val="24"/>
        </w:rPr>
        <w:t>earteaga@uct.cl;</w:t>
      </w:r>
      <w:r w:rsidR="00ED32F6">
        <w:rPr>
          <w:i/>
          <w:iCs/>
          <w:color w:val="000000"/>
          <w:sz w:val="24"/>
          <w:szCs w:val="24"/>
        </w:rPr>
        <w:t xml:space="preserve"> earteavi21@alumnes.ub.edu</w:t>
      </w:r>
    </w:p>
    <w:p w14:paraId="1B71A06F" w14:textId="066C64F9" w:rsidR="007673E7" w:rsidRDefault="00177CB2" w:rsidP="007673E7">
      <w:pPr>
        <w:pBdr>
          <w:top w:val="nil"/>
          <w:left w:val="nil"/>
          <w:bottom w:val="nil"/>
          <w:right w:val="nil"/>
          <w:between w:val="nil"/>
        </w:pBdr>
        <w:tabs>
          <w:tab w:val="center" w:pos="4419"/>
          <w:tab w:val="right" w:pos="8838"/>
        </w:tabs>
        <w:ind w:left="0" w:hanging="2"/>
        <w:rPr>
          <w:sz w:val="24"/>
          <w:szCs w:val="24"/>
        </w:rPr>
      </w:pPr>
      <w:r>
        <w:rPr>
          <w:b/>
          <w:sz w:val="24"/>
          <w:szCs w:val="24"/>
        </w:rPr>
        <w:t>Resumen</w:t>
      </w:r>
      <w:r>
        <w:rPr>
          <w:sz w:val="24"/>
          <w:szCs w:val="24"/>
        </w:rPr>
        <w:t xml:space="preserve">. </w:t>
      </w:r>
    </w:p>
    <w:p w14:paraId="52D5CE9A" w14:textId="6FC5CF39" w:rsidR="0062698F" w:rsidRDefault="008D5379" w:rsidP="00CC3E54">
      <w:pPr>
        <w:pBdr>
          <w:top w:val="nil"/>
          <w:left w:val="nil"/>
          <w:bottom w:val="nil"/>
          <w:right w:val="nil"/>
          <w:between w:val="nil"/>
        </w:pBdr>
        <w:tabs>
          <w:tab w:val="center" w:pos="4419"/>
          <w:tab w:val="right" w:pos="8838"/>
        </w:tabs>
        <w:spacing w:line="240" w:lineRule="auto"/>
        <w:ind w:left="0" w:hanging="2"/>
        <w:rPr>
          <w:sz w:val="24"/>
          <w:szCs w:val="24"/>
        </w:rPr>
      </w:pPr>
      <w:r>
        <w:rPr>
          <w:sz w:val="24"/>
          <w:szCs w:val="24"/>
        </w:rPr>
        <w:t xml:space="preserve">La adaptación y transición a la </w:t>
      </w:r>
      <w:r w:rsidR="000636E4">
        <w:rPr>
          <w:sz w:val="24"/>
          <w:szCs w:val="24"/>
        </w:rPr>
        <w:t>E</w:t>
      </w:r>
      <w:r>
        <w:rPr>
          <w:sz w:val="24"/>
          <w:szCs w:val="24"/>
        </w:rPr>
        <w:t xml:space="preserve">ducación </w:t>
      </w:r>
      <w:r w:rsidR="000636E4">
        <w:rPr>
          <w:sz w:val="24"/>
          <w:szCs w:val="24"/>
        </w:rPr>
        <w:t>S</w:t>
      </w:r>
      <w:r>
        <w:rPr>
          <w:sz w:val="24"/>
          <w:szCs w:val="24"/>
        </w:rPr>
        <w:t xml:space="preserve">uperior conlleva grandes desafíos para </w:t>
      </w:r>
      <w:r w:rsidR="000636E4">
        <w:rPr>
          <w:sz w:val="24"/>
          <w:szCs w:val="24"/>
        </w:rPr>
        <w:t>el estudiante</w:t>
      </w:r>
      <w:r>
        <w:rPr>
          <w:sz w:val="24"/>
          <w:szCs w:val="24"/>
        </w:rPr>
        <w:t xml:space="preserve"> de primer año, puesto que </w:t>
      </w:r>
      <w:r w:rsidR="000636E4">
        <w:rPr>
          <w:sz w:val="24"/>
          <w:szCs w:val="24"/>
        </w:rPr>
        <w:t>se incorpora a un nue</w:t>
      </w:r>
      <w:r w:rsidR="00F32770">
        <w:rPr>
          <w:sz w:val="24"/>
          <w:szCs w:val="24"/>
        </w:rPr>
        <w:t xml:space="preserve">vo contexto de aprendizaje con </w:t>
      </w:r>
      <w:r w:rsidR="000636E4">
        <w:rPr>
          <w:sz w:val="24"/>
          <w:szCs w:val="24"/>
        </w:rPr>
        <w:t>un lenguaje</w:t>
      </w:r>
      <w:r w:rsidR="00F32770">
        <w:rPr>
          <w:sz w:val="24"/>
          <w:szCs w:val="24"/>
        </w:rPr>
        <w:t xml:space="preserve"> especializado y</w:t>
      </w:r>
      <w:r w:rsidR="000636E4">
        <w:rPr>
          <w:sz w:val="24"/>
          <w:szCs w:val="24"/>
        </w:rPr>
        <w:t xml:space="preserve"> técnico, </w:t>
      </w:r>
      <w:r w:rsidR="00F32770">
        <w:rPr>
          <w:sz w:val="24"/>
          <w:szCs w:val="24"/>
        </w:rPr>
        <w:t>además de</w:t>
      </w:r>
      <w:r w:rsidR="000636E4">
        <w:rPr>
          <w:sz w:val="24"/>
          <w:szCs w:val="24"/>
        </w:rPr>
        <w:t xml:space="preserve"> una cultura académica diferente</w:t>
      </w:r>
      <w:r w:rsidR="00F32770">
        <w:rPr>
          <w:sz w:val="24"/>
          <w:szCs w:val="24"/>
        </w:rPr>
        <w:t xml:space="preserve"> y este escenario trastoca su autoconcepto académico</w:t>
      </w:r>
      <w:r w:rsidR="00A529A0">
        <w:rPr>
          <w:sz w:val="24"/>
          <w:szCs w:val="24"/>
        </w:rPr>
        <w:t>,</w:t>
      </w:r>
      <w:r w:rsidR="00F32770">
        <w:rPr>
          <w:sz w:val="24"/>
          <w:szCs w:val="24"/>
        </w:rPr>
        <w:t xml:space="preserve"> puesto que percibe que el contexto universitario exige habilidades y competencia que están en</w:t>
      </w:r>
      <w:r w:rsidR="00EA3E19">
        <w:rPr>
          <w:sz w:val="24"/>
          <w:szCs w:val="24"/>
        </w:rPr>
        <w:t xml:space="preserve"> proceso de</w:t>
      </w:r>
      <w:r w:rsidR="00F32770">
        <w:rPr>
          <w:sz w:val="24"/>
          <w:szCs w:val="24"/>
        </w:rPr>
        <w:t xml:space="preserve"> desarrollo. </w:t>
      </w:r>
      <w:r w:rsidR="00CC3E54">
        <w:rPr>
          <w:sz w:val="24"/>
          <w:szCs w:val="24"/>
        </w:rPr>
        <w:t xml:space="preserve">Es así que las </w:t>
      </w:r>
      <w:r w:rsidR="00A3629A">
        <w:rPr>
          <w:sz w:val="24"/>
          <w:szCs w:val="24"/>
        </w:rPr>
        <w:t>I</w:t>
      </w:r>
      <w:r w:rsidR="007673E7">
        <w:rPr>
          <w:sz w:val="24"/>
          <w:szCs w:val="24"/>
        </w:rPr>
        <w:t>nst</w:t>
      </w:r>
      <w:r w:rsidR="00CC3E54">
        <w:rPr>
          <w:sz w:val="24"/>
          <w:szCs w:val="24"/>
        </w:rPr>
        <w:t xml:space="preserve">ituciones de Educación Superior se han visto interesadas en </w:t>
      </w:r>
      <w:r w:rsidR="007673E7">
        <w:rPr>
          <w:sz w:val="24"/>
          <w:szCs w:val="24"/>
        </w:rPr>
        <w:t xml:space="preserve">diseñar e implementar estrategias académicas </w:t>
      </w:r>
      <w:r w:rsidR="00FA40C0">
        <w:rPr>
          <w:sz w:val="24"/>
          <w:szCs w:val="24"/>
        </w:rPr>
        <w:t>que permitan la</w:t>
      </w:r>
      <w:r w:rsidR="007673E7">
        <w:rPr>
          <w:sz w:val="24"/>
          <w:szCs w:val="24"/>
        </w:rPr>
        <w:t xml:space="preserve"> adaptación a la vida universitaria </w:t>
      </w:r>
      <w:r w:rsidR="00FA40C0">
        <w:rPr>
          <w:sz w:val="24"/>
          <w:szCs w:val="24"/>
        </w:rPr>
        <w:t>de</w:t>
      </w:r>
      <w:r w:rsidR="007673E7">
        <w:rPr>
          <w:sz w:val="24"/>
          <w:szCs w:val="24"/>
        </w:rPr>
        <w:t xml:space="preserve"> los estudiantes de ingreso</w:t>
      </w:r>
      <w:r w:rsidR="00FA40C0">
        <w:rPr>
          <w:sz w:val="24"/>
          <w:szCs w:val="24"/>
        </w:rPr>
        <w:t xml:space="preserve">, potenciando </w:t>
      </w:r>
      <w:r w:rsidR="007673E7">
        <w:rPr>
          <w:sz w:val="24"/>
          <w:szCs w:val="24"/>
        </w:rPr>
        <w:t>el rendimiento académico y dismin</w:t>
      </w:r>
      <w:r w:rsidR="00FA40C0">
        <w:rPr>
          <w:sz w:val="24"/>
          <w:szCs w:val="24"/>
        </w:rPr>
        <w:t xml:space="preserve">uyendo </w:t>
      </w:r>
      <w:r w:rsidR="007673E7">
        <w:rPr>
          <w:sz w:val="24"/>
          <w:szCs w:val="24"/>
        </w:rPr>
        <w:t>las tasas de deserción. En relación a esto, la Universidad Cat</w:t>
      </w:r>
      <w:r w:rsidR="00482AD4">
        <w:rPr>
          <w:sz w:val="24"/>
          <w:szCs w:val="24"/>
        </w:rPr>
        <w:t>ólica de Temuco- Chile aplica</w:t>
      </w:r>
      <w:r w:rsidR="00A3629A">
        <w:rPr>
          <w:sz w:val="24"/>
          <w:szCs w:val="24"/>
        </w:rPr>
        <w:t>,</w:t>
      </w:r>
      <w:r w:rsidR="00482AD4">
        <w:rPr>
          <w:sz w:val="24"/>
          <w:szCs w:val="24"/>
        </w:rPr>
        <w:t xml:space="preserve"> a los estudiantes de primer año</w:t>
      </w:r>
      <w:r w:rsidR="00A3629A">
        <w:rPr>
          <w:sz w:val="24"/>
          <w:szCs w:val="24"/>
        </w:rPr>
        <w:t>,</w:t>
      </w:r>
      <w:r w:rsidR="00482AD4">
        <w:rPr>
          <w:sz w:val="24"/>
          <w:szCs w:val="24"/>
        </w:rPr>
        <w:t xml:space="preserve"> evaluaciones de diagnóstico </w:t>
      </w:r>
      <w:r w:rsidR="00A3629A">
        <w:rPr>
          <w:sz w:val="24"/>
          <w:szCs w:val="24"/>
        </w:rPr>
        <w:t>de c</w:t>
      </w:r>
      <w:r w:rsidR="00482AD4">
        <w:rPr>
          <w:sz w:val="24"/>
          <w:szCs w:val="24"/>
        </w:rPr>
        <w:t xml:space="preserve">omprensión y </w:t>
      </w:r>
      <w:r w:rsidR="00A3629A">
        <w:rPr>
          <w:sz w:val="24"/>
          <w:szCs w:val="24"/>
        </w:rPr>
        <w:t>p</w:t>
      </w:r>
      <w:r w:rsidR="00482AD4">
        <w:rPr>
          <w:sz w:val="24"/>
          <w:szCs w:val="24"/>
        </w:rPr>
        <w:t xml:space="preserve">roducción de texto y en base a estos resultados, se planifican acciones para fortalecer aspectos de la competencia que son necesarios para que el estudiante </w:t>
      </w:r>
      <w:r w:rsidR="00CC3E54">
        <w:rPr>
          <w:sz w:val="24"/>
          <w:szCs w:val="24"/>
        </w:rPr>
        <w:t>se inserte y logre un proceso académico exitoso en</w:t>
      </w:r>
      <w:r w:rsidR="00482AD4">
        <w:rPr>
          <w:sz w:val="24"/>
          <w:szCs w:val="24"/>
        </w:rPr>
        <w:t xml:space="preserve"> un </w:t>
      </w:r>
      <w:r w:rsidR="0049721D">
        <w:rPr>
          <w:sz w:val="24"/>
          <w:szCs w:val="24"/>
        </w:rPr>
        <w:t xml:space="preserve">nuevo </w:t>
      </w:r>
      <w:r w:rsidR="00482AD4">
        <w:rPr>
          <w:sz w:val="24"/>
          <w:szCs w:val="24"/>
        </w:rPr>
        <w:t xml:space="preserve">mundo académico. </w:t>
      </w:r>
    </w:p>
    <w:p w14:paraId="41AAAAAE" w14:textId="5390B1E2" w:rsidR="00644F6E" w:rsidRDefault="00BC7AA2" w:rsidP="00644F6E">
      <w:pPr>
        <w:pBdr>
          <w:top w:val="nil"/>
          <w:left w:val="nil"/>
          <w:bottom w:val="nil"/>
          <w:right w:val="nil"/>
          <w:between w:val="nil"/>
        </w:pBdr>
        <w:tabs>
          <w:tab w:val="center" w:pos="4419"/>
          <w:tab w:val="right" w:pos="8838"/>
        </w:tabs>
        <w:ind w:left="0" w:hanging="2"/>
        <w:rPr>
          <w:sz w:val="24"/>
          <w:szCs w:val="24"/>
        </w:rPr>
      </w:pPr>
      <w:r>
        <w:rPr>
          <w:sz w:val="24"/>
          <w:szCs w:val="24"/>
        </w:rPr>
        <w:t xml:space="preserve">Por consiguiente, </w:t>
      </w:r>
      <w:r w:rsidR="00A529A0">
        <w:rPr>
          <w:sz w:val="24"/>
          <w:szCs w:val="24"/>
        </w:rPr>
        <w:t>la literacidad considera la</w:t>
      </w:r>
      <w:r w:rsidR="00267F9A">
        <w:rPr>
          <w:sz w:val="24"/>
          <w:szCs w:val="24"/>
        </w:rPr>
        <w:t xml:space="preserve"> competencia comunicativa en la lectura y producción de textos en un contexto social específico, </w:t>
      </w:r>
      <w:r w:rsidR="00A529A0">
        <w:rPr>
          <w:sz w:val="24"/>
          <w:szCs w:val="24"/>
        </w:rPr>
        <w:t xml:space="preserve">utilizándola </w:t>
      </w:r>
      <w:r w:rsidR="00267F9A">
        <w:rPr>
          <w:sz w:val="24"/>
          <w:szCs w:val="24"/>
        </w:rPr>
        <w:t>para construir aprendizaje significativo que impacten en su entorno</w:t>
      </w:r>
      <w:r w:rsidR="00E94DCB">
        <w:rPr>
          <w:sz w:val="24"/>
          <w:szCs w:val="24"/>
        </w:rPr>
        <w:t xml:space="preserve"> (Suarez et al.</w:t>
      </w:r>
      <w:r w:rsidR="00267F9A">
        <w:rPr>
          <w:sz w:val="24"/>
          <w:szCs w:val="24"/>
        </w:rPr>
        <w:t xml:space="preserve">, 2018). </w:t>
      </w:r>
      <w:r w:rsidR="00AF2C20">
        <w:rPr>
          <w:sz w:val="24"/>
          <w:szCs w:val="24"/>
        </w:rPr>
        <w:t xml:space="preserve"> En cuanto a la competencia comunicativa</w:t>
      </w:r>
      <w:r w:rsidR="00DA64B7">
        <w:rPr>
          <w:sz w:val="24"/>
          <w:szCs w:val="24"/>
        </w:rPr>
        <w:t>,</w:t>
      </w:r>
      <w:r w:rsidR="00AF2C20">
        <w:rPr>
          <w:sz w:val="24"/>
          <w:szCs w:val="24"/>
        </w:rPr>
        <w:t xml:space="preserve"> </w:t>
      </w:r>
      <w:r w:rsidR="00EE5B05">
        <w:rPr>
          <w:sz w:val="24"/>
          <w:szCs w:val="24"/>
        </w:rPr>
        <w:t>se contemplan</w:t>
      </w:r>
      <w:r w:rsidR="00AF2C20">
        <w:rPr>
          <w:sz w:val="24"/>
          <w:szCs w:val="24"/>
        </w:rPr>
        <w:t xml:space="preserve"> sus </w:t>
      </w:r>
      <w:r w:rsidR="009D3FC6">
        <w:rPr>
          <w:sz w:val="24"/>
          <w:szCs w:val="24"/>
        </w:rPr>
        <w:t>dos</w:t>
      </w:r>
      <w:r w:rsidR="00AF2C20">
        <w:rPr>
          <w:sz w:val="24"/>
          <w:szCs w:val="24"/>
        </w:rPr>
        <w:t xml:space="preserve"> dimensiones; comprensión lectora</w:t>
      </w:r>
      <w:r w:rsidR="009D3FC6">
        <w:rPr>
          <w:sz w:val="24"/>
          <w:szCs w:val="24"/>
        </w:rPr>
        <w:t xml:space="preserve"> y</w:t>
      </w:r>
      <w:r w:rsidR="00AF2C20">
        <w:rPr>
          <w:sz w:val="24"/>
          <w:szCs w:val="24"/>
        </w:rPr>
        <w:t xml:space="preserve"> producción de texto</w:t>
      </w:r>
      <w:r w:rsidR="00DA64B7">
        <w:rPr>
          <w:sz w:val="24"/>
          <w:szCs w:val="24"/>
        </w:rPr>
        <w:t>, siendo estas relevantes para</w:t>
      </w:r>
      <w:r w:rsidR="009D3FC6">
        <w:rPr>
          <w:sz w:val="24"/>
          <w:szCs w:val="24"/>
        </w:rPr>
        <w:t xml:space="preserve"> </w:t>
      </w:r>
      <w:r w:rsidR="009D3FC6" w:rsidRPr="009D3FC6">
        <w:rPr>
          <w:sz w:val="24"/>
          <w:szCs w:val="24"/>
        </w:rPr>
        <w:t>producir y transformar el conocimiento, mejorar la calidad del</w:t>
      </w:r>
      <w:r w:rsidR="009D3FC6">
        <w:rPr>
          <w:sz w:val="24"/>
          <w:szCs w:val="24"/>
        </w:rPr>
        <w:t xml:space="preserve"> </w:t>
      </w:r>
      <w:r w:rsidR="009D3FC6" w:rsidRPr="009D3FC6">
        <w:rPr>
          <w:sz w:val="24"/>
          <w:szCs w:val="24"/>
        </w:rPr>
        <w:t>aprendizaje y desarrolla el pensamiento crítico (Peña, 2008)</w:t>
      </w:r>
      <w:r w:rsidR="009D3FC6">
        <w:rPr>
          <w:sz w:val="24"/>
          <w:szCs w:val="24"/>
        </w:rPr>
        <w:t xml:space="preserve">. Es decir, </w:t>
      </w:r>
      <w:r w:rsidR="00A529A0">
        <w:rPr>
          <w:sz w:val="24"/>
          <w:szCs w:val="24"/>
        </w:rPr>
        <w:t>es relevante</w:t>
      </w:r>
      <w:r w:rsidR="00A3629A">
        <w:rPr>
          <w:sz w:val="24"/>
          <w:szCs w:val="24"/>
        </w:rPr>
        <w:t xml:space="preserve"> fortalecer la competencia comunicativa para el logro del aprendizaje en un </w:t>
      </w:r>
      <w:r w:rsidR="00DA64B7">
        <w:rPr>
          <w:sz w:val="24"/>
          <w:szCs w:val="24"/>
        </w:rPr>
        <w:t xml:space="preserve">nuevo </w:t>
      </w:r>
      <w:r w:rsidR="00A3629A">
        <w:rPr>
          <w:sz w:val="24"/>
          <w:szCs w:val="24"/>
        </w:rPr>
        <w:t>contexto social y académico</w:t>
      </w:r>
      <w:r w:rsidR="00FA40C0">
        <w:rPr>
          <w:sz w:val="24"/>
          <w:szCs w:val="24"/>
        </w:rPr>
        <w:t>, considerando los códigos, lenguajes y tipologías textuales propios de su campo disciplinar.</w:t>
      </w:r>
    </w:p>
    <w:p w14:paraId="2E35D498" w14:textId="5AA73142" w:rsidR="008D322A" w:rsidRDefault="00C33E5B" w:rsidP="008D322A">
      <w:pPr>
        <w:pBdr>
          <w:top w:val="nil"/>
          <w:left w:val="nil"/>
          <w:bottom w:val="nil"/>
          <w:right w:val="nil"/>
          <w:between w:val="nil"/>
        </w:pBdr>
        <w:tabs>
          <w:tab w:val="center" w:pos="4419"/>
          <w:tab w:val="right" w:pos="8838"/>
        </w:tabs>
        <w:ind w:left="0" w:hanging="2"/>
        <w:rPr>
          <w:sz w:val="24"/>
          <w:szCs w:val="24"/>
          <w:lang w:val="es-CL"/>
        </w:rPr>
      </w:pPr>
      <w:r>
        <w:rPr>
          <w:sz w:val="24"/>
          <w:szCs w:val="24"/>
        </w:rPr>
        <w:t xml:space="preserve">En base a esto, </w:t>
      </w:r>
      <w:r w:rsidR="00482AD4">
        <w:rPr>
          <w:sz w:val="24"/>
          <w:szCs w:val="24"/>
        </w:rPr>
        <w:t xml:space="preserve">la </w:t>
      </w:r>
      <w:r>
        <w:rPr>
          <w:sz w:val="24"/>
          <w:szCs w:val="24"/>
        </w:rPr>
        <w:t>t</w:t>
      </w:r>
      <w:r w:rsidR="00482AD4">
        <w:rPr>
          <w:sz w:val="24"/>
          <w:szCs w:val="24"/>
        </w:rPr>
        <w:t>utoría académica</w:t>
      </w:r>
      <w:r>
        <w:rPr>
          <w:sz w:val="24"/>
          <w:szCs w:val="24"/>
        </w:rPr>
        <w:t xml:space="preserve"> </w:t>
      </w:r>
      <w:r w:rsidR="00EE5B05">
        <w:rPr>
          <w:sz w:val="24"/>
          <w:szCs w:val="24"/>
        </w:rPr>
        <w:t xml:space="preserve">es </w:t>
      </w:r>
      <w:r>
        <w:rPr>
          <w:sz w:val="24"/>
          <w:szCs w:val="24"/>
        </w:rPr>
        <w:t xml:space="preserve">vista como una estrategia de enseñanza-aprendizaje para el fortalecimiento de la competencia comunicativa, </w:t>
      </w:r>
      <w:r w:rsidR="00EE5B05">
        <w:rPr>
          <w:sz w:val="24"/>
          <w:szCs w:val="24"/>
        </w:rPr>
        <w:t xml:space="preserve">dado que </w:t>
      </w:r>
      <w:r w:rsidR="00492730">
        <w:rPr>
          <w:sz w:val="24"/>
          <w:szCs w:val="24"/>
        </w:rPr>
        <w:t>se</w:t>
      </w:r>
      <w:r w:rsidR="00EE5B05">
        <w:rPr>
          <w:sz w:val="24"/>
          <w:szCs w:val="24"/>
        </w:rPr>
        <w:t xml:space="preserve"> planifican cada una de las sesiones siguiendo una progresión en los niveles de lectura y producción de texto</w:t>
      </w:r>
      <w:r w:rsidR="00CC3E54">
        <w:rPr>
          <w:sz w:val="24"/>
          <w:szCs w:val="24"/>
        </w:rPr>
        <w:t>. A</w:t>
      </w:r>
      <w:r w:rsidR="0060141F">
        <w:rPr>
          <w:sz w:val="24"/>
          <w:szCs w:val="24"/>
        </w:rPr>
        <w:t>demás, l</w:t>
      </w:r>
      <w:r w:rsidR="003E42B4">
        <w:rPr>
          <w:sz w:val="24"/>
          <w:szCs w:val="24"/>
        </w:rPr>
        <w:t>as actividades</w:t>
      </w:r>
      <w:r w:rsidR="0060141F">
        <w:rPr>
          <w:sz w:val="24"/>
          <w:szCs w:val="24"/>
        </w:rPr>
        <w:t xml:space="preserve"> están relacionadas con un curso de formación inicial y sus productos evaluativos</w:t>
      </w:r>
      <w:r w:rsidR="00EE5B05">
        <w:rPr>
          <w:sz w:val="24"/>
          <w:szCs w:val="24"/>
        </w:rPr>
        <w:t xml:space="preserve">. </w:t>
      </w:r>
      <w:r w:rsidR="00492730">
        <w:rPr>
          <w:sz w:val="24"/>
          <w:szCs w:val="24"/>
        </w:rPr>
        <w:t>Se real</w:t>
      </w:r>
      <w:r w:rsidR="00CC3E54">
        <w:rPr>
          <w:sz w:val="24"/>
          <w:szCs w:val="24"/>
        </w:rPr>
        <w:t xml:space="preserve">izaron un total de 6-8 sesiones, en modalidad </w:t>
      </w:r>
      <w:r w:rsidR="00492730">
        <w:rPr>
          <w:sz w:val="24"/>
          <w:szCs w:val="24"/>
        </w:rPr>
        <w:t>semanales</w:t>
      </w:r>
      <w:r w:rsidR="0060141F">
        <w:rPr>
          <w:sz w:val="24"/>
          <w:szCs w:val="24"/>
        </w:rPr>
        <w:t xml:space="preserve"> durante el primer semestre 2022</w:t>
      </w:r>
      <w:r w:rsidR="00492730">
        <w:rPr>
          <w:sz w:val="24"/>
          <w:szCs w:val="24"/>
        </w:rPr>
        <w:t>, con 26 estudiantes divididos en 3 grupos</w:t>
      </w:r>
      <w:r w:rsidR="0060141F">
        <w:rPr>
          <w:sz w:val="24"/>
          <w:szCs w:val="24"/>
        </w:rPr>
        <w:t xml:space="preserve">. </w:t>
      </w:r>
      <w:r w:rsidR="00165ABF">
        <w:rPr>
          <w:sz w:val="24"/>
          <w:szCs w:val="24"/>
        </w:rPr>
        <w:t xml:space="preserve">La investigación tiene </w:t>
      </w:r>
      <w:r w:rsidR="00165ABF">
        <w:rPr>
          <w:sz w:val="24"/>
          <w:szCs w:val="24"/>
          <w:lang w:val="es-CL"/>
        </w:rPr>
        <w:t>un enfoque cuantitativo y transversal, considerando como unidad de observación los estudiantes de primer año de la carrera de Pedagogía en Educación Diferencial de la Universidad Católica de Temuco. Para ello se ha trabajado con 6 variables: Resultados de diagnóstico de producción de text</w:t>
      </w:r>
      <w:r w:rsidR="008D322A">
        <w:rPr>
          <w:sz w:val="24"/>
          <w:szCs w:val="24"/>
          <w:lang w:val="es-CL"/>
        </w:rPr>
        <w:t>o y comprensión lectora (V</w:t>
      </w:r>
      <w:r w:rsidR="00165ABF">
        <w:rPr>
          <w:sz w:val="24"/>
          <w:szCs w:val="24"/>
          <w:lang w:val="es-CL"/>
        </w:rPr>
        <w:t xml:space="preserve">1 y 2); </w:t>
      </w:r>
      <w:r w:rsidR="008D322A">
        <w:rPr>
          <w:sz w:val="24"/>
          <w:szCs w:val="24"/>
          <w:lang w:val="es-CL"/>
        </w:rPr>
        <w:t>Inscripción tutoría académica (V3); Porcentaje de asistencia a tutorías académicas (V4); Situación final en el curso (V5) y media de rendimiento académico (V6).</w:t>
      </w:r>
    </w:p>
    <w:p w14:paraId="17A8DCD9" w14:textId="6719FABB" w:rsidR="0060141F" w:rsidRPr="008D322A" w:rsidRDefault="008D322A" w:rsidP="00705056">
      <w:pPr>
        <w:pBdr>
          <w:top w:val="nil"/>
          <w:left w:val="nil"/>
          <w:bottom w:val="nil"/>
          <w:right w:val="nil"/>
          <w:between w:val="nil"/>
        </w:pBdr>
        <w:tabs>
          <w:tab w:val="center" w:pos="4419"/>
          <w:tab w:val="right" w:pos="8838"/>
        </w:tabs>
        <w:ind w:leftChars="0" w:left="0" w:firstLineChars="0" w:firstLine="0"/>
        <w:rPr>
          <w:sz w:val="24"/>
          <w:szCs w:val="24"/>
          <w:lang w:val="es-CL"/>
        </w:rPr>
      </w:pPr>
      <w:r>
        <w:rPr>
          <w:sz w:val="24"/>
          <w:szCs w:val="24"/>
          <w:lang w:val="es-CL"/>
        </w:rPr>
        <w:lastRenderedPageBreak/>
        <w:t xml:space="preserve">A partir del análisis de los datos se observa una tendencia positiva en relación a la participación de las sesiones de tutorías académicas y el rendimiento académico. De igual manera, se evidencia una diferencia de tres décimas en el promedio de aprobación del curso, es decir, los estudiantes participantes de las tutorías obtuvieron mejores calificaciones. </w:t>
      </w:r>
      <w:r w:rsidR="00FB2413">
        <w:rPr>
          <w:sz w:val="24"/>
          <w:szCs w:val="24"/>
          <w:lang w:val="es-CL"/>
        </w:rPr>
        <w:t xml:space="preserve">En conclusión, </w:t>
      </w:r>
      <w:r>
        <w:rPr>
          <w:sz w:val="24"/>
          <w:szCs w:val="24"/>
          <w:lang w:val="es-CL"/>
        </w:rPr>
        <w:t>la tutoría académica</w:t>
      </w:r>
      <w:r w:rsidR="00FB2413">
        <w:rPr>
          <w:sz w:val="24"/>
          <w:szCs w:val="24"/>
          <w:lang w:val="es-CL"/>
        </w:rPr>
        <w:t xml:space="preserve"> como estrategia de apoyo y vinculada</w:t>
      </w:r>
      <w:r>
        <w:rPr>
          <w:sz w:val="24"/>
          <w:szCs w:val="24"/>
          <w:lang w:val="es-CL"/>
        </w:rPr>
        <w:t xml:space="preserve"> a un curso de formación inicial, potencia el fortalecimiento de la competencia comunicativa</w:t>
      </w:r>
      <w:r w:rsidR="00FB2413">
        <w:rPr>
          <w:sz w:val="24"/>
          <w:szCs w:val="24"/>
          <w:lang w:val="es-CL"/>
        </w:rPr>
        <w:t>,</w:t>
      </w:r>
      <w:r>
        <w:rPr>
          <w:sz w:val="24"/>
          <w:szCs w:val="24"/>
          <w:lang w:val="es-CL"/>
        </w:rPr>
        <w:t xml:space="preserve"> lo que se traduce en un mejor rendimiento académico y permanencia en la Educación superior. </w:t>
      </w:r>
    </w:p>
    <w:p w14:paraId="30E589BF" w14:textId="2F6BCDC8" w:rsidR="00676674" w:rsidRPr="006A65FD" w:rsidRDefault="00177CB2" w:rsidP="006A65FD">
      <w:pPr>
        <w:ind w:leftChars="0" w:left="0" w:firstLineChars="0" w:firstLine="0"/>
        <w:rPr>
          <w:sz w:val="24"/>
        </w:rPr>
      </w:pPr>
      <w:r w:rsidRPr="006A65FD">
        <w:rPr>
          <w:b/>
          <w:sz w:val="24"/>
        </w:rPr>
        <w:t>Descriptores o Palabras Clave:</w:t>
      </w:r>
      <w:r w:rsidRPr="006A65FD">
        <w:rPr>
          <w:sz w:val="24"/>
        </w:rPr>
        <w:t xml:space="preserve"> </w:t>
      </w:r>
      <w:r w:rsidR="00B3201C" w:rsidRPr="006A65FD">
        <w:rPr>
          <w:sz w:val="24"/>
        </w:rPr>
        <w:t>Tutoría Académica, Inserción, Acompañamiento, Competencia Comunicativa, Escritura académica</w:t>
      </w:r>
      <w:r w:rsidRPr="006A65FD">
        <w:rPr>
          <w:sz w:val="24"/>
        </w:rPr>
        <w:t xml:space="preserve">    </w:t>
      </w:r>
    </w:p>
    <w:p w14:paraId="3920E98E" w14:textId="435A0952" w:rsidR="00C637C2" w:rsidRPr="00EE1CCD" w:rsidRDefault="00177CB2" w:rsidP="00EE1CCD">
      <w:pPr>
        <w:pStyle w:val="Prrafodelista"/>
        <w:keepNext/>
        <w:keepLines/>
        <w:numPr>
          <w:ilvl w:val="0"/>
          <w:numId w:val="2"/>
        </w:numPr>
        <w:pBdr>
          <w:top w:val="nil"/>
          <w:left w:val="nil"/>
          <w:bottom w:val="nil"/>
          <w:right w:val="nil"/>
          <w:between w:val="nil"/>
        </w:pBdr>
        <w:tabs>
          <w:tab w:val="left" w:pos="9638"/>
        </w:tabs>
        <w:spacing w:line="240" w:lineRule="auto"/>
        <w:ind w:leftChars="0" w:firstLineChars="0"/>
        <w:rPr>
          <w:b/>
          <w:color w:val="000000"/>
          <w:sz w:val="24"/>
          <w:szCs w:val="24"/>
        </w:rPr>
      </w:pPr>
      <w:r w:rsidRPr="00EE1CCD">
        <w:rPr>
          <w:b/>
          <w:color w:val="000000"/>
          <w:sz w:val="24"/>
          <w:szCs w:val="24"/>
        </w:rPr>
        <w:t>Introducción</w:t>
      </w:r>
    </w:p>
    <w:p w14:paraId="70E242DE" w14:textId="1BEDC448" w:rsidR="00676674" w:rsidRDefault="00676674" w:rsidP="00676674">
      <w:pPr>
        <w:ind w:leftChars="0" w:left="-2" w:firstLineChars="0" w:firstLine="0"/>
        <w:rPr>
          <w:sz w:val="24"/>
          <w:szCs w:val="24"/>
        </w:rPr>
      </w:pPr>
      <w:r w:rsidRPr="00676674">
        <w:rPr>
          <w:sz w:val="24"/>
          <w:szCs w:val="24"/>
        </w:rPr>
        <w:t xml:space="preserve">La transición educativa desde la Enseñanza Media a la Educación Superior, requiere que el estudiante se familiarice con las características de los diversos géneros discursivos propios de la academia, ya que no solo requiere de conocimiento lingüístico y conocimiento de mundo construidos desde su propia comunidad de habla, sino que requiere de conocimientos disciplinares específicos de su comunidad discursiva (Ibáñez, 2015), lo cual representa un desafío para la inserción durante el primer semestre universitario. </w:t>
      </w:r>
    </w:p>
    <w:p w14:paraId="0B8FC352" w14:textId="2191CFBE" w:rsidR="0049721D" w:rsidRPr="00676674" w:rsidRDefault="00BA57A2" w:rsidP="00BA57A2">
      <w:pPr>
        <w:ind w:leftChars="0" w:firstLineChars="0" w:firstLine="0"/>
        <w:rPr>
          <w:sz w:val="24"/>
          <w:szCs w:val="24"/>
        </w:rPr>
      </w:pPr>
      <w:r>
        <w:rPr>
          <w:sz w:val="24"/>
          <w:szCs w:val="24"/>
        </w:rPr>
        <w:t>Por ende</w:t>
      </w:r>
      <w:r w:rsidRPr="00BA57A2">
        <w:rPr>
          <w:sz w:val="24"/>
          <w:szCs w:val="24"/>
        </w:rPr>
        <w:t>, los autores Lillis y Scott (2007)</w:t>
      </w:r>
      <w:r w:rsidR="00C24957">
        <w:rPr>
          <w:sz w:val="24"/>
          <w:szCs w:val="24"/>
        </w:rPr>
        <w:t xml:space="preserve">, </w:t>
      </w:r>
      <w:r w:rsidR="008D5379">
        <w:rPr>
          <w:sz w:val="24"/>
          <w:szCs w:val="24"/>
        </w:rPr>
        <w:t>desde la literacidad,</w:t>
      </w:r>
      <w:r w:rsidR="00C24957">
        <w:rPr>
          <w:sz w:val="24"/>
          <w:szCs w:val="24"/>
        </w:rPr>
        <w:t xml:space="preserve"> señalan que</w:t>
      </w:r>
      <w:r w:rsidR="008D5379">
        <w:rPr>
          <w:sz w:val="24"/>
          <w:szCs w:val="24"/>
        </w:rPr>
        <w:t xml:space="preserve"> </w:t>
      </w:r>
      <w:r w:rsidRPr="00BA57A2">
        <w:rPr>
          <w:sz w:val="24"/>
          <w:szCs w:val="24"/>
        </w:rPr>
        <w:t>el desarrollo de las</w:t>
      </w:r>
      <w:r>
        <w:rPr>
          <w:sz w:val="24"/>
          <w:szCs w:val="24"/>
        </w:rPr>
        <w:t xml:space="preserve"> </w:t>
      </w:r>
      <w:r w:rsidRPr="00BA57A2">
        <w:rPr>
          <w:sz w:val="24"/>
          <w:szCs w:val="24"/>
        </w:rPr>
        <w:t>competencias comunicativas está estrechamente relacionado con las disciplinas de las</w:t>
      </w:r>
      <w:r>
        <w:rPr>
          <w:sz w:val="24"/>
          <w:szCs w:val="24"/>
        </w:rPr>
        <w:t xml:space="preserve"> </w:t>
      </w:r>
      <w:r w:rsidRPr="00BA57A2">
        <w:rPr>
          <w:sz w:val="24"/>
          <w:szCs w:val="24"/>
        </w:rPr>
        <w:t xml:space="preserve">diferentes carreras y las etapas de formación universitaria. </w:t>
      </w:r>
      <w:r w:rsidR="007806BE">
        <w:rPr>
          <w:sz w:val="24"/>
          <w:szCs w:val="24"/>
        </w:rPr>
        <w:t>De esta manera</w:t>
      </w:r>
      <w:r w:rsidRPr="00BA57A2">
        <w:rPr>
          <w:sz w:val="24"/>
          <w:szCs w:val="24"/>
        </w:rPr>
        <w:t>, a medida que se</w:t>
      </w:r>
      <w:r>
        <w:rPr>
          <w:sz w:val="24"/>
          <w:szCs w:val="24"/>
        </w:rPr>
        <w:t xml:space="preserve"> </w:t>
      </w:r>
      <w:r w:rsidRPr="00BA57A2">
        <w:rPr>
          <w:sz w:val="24"/>
          <w:szCs w:val="24"/>
        </w:rPr>
        <w:t>avanza en el proceso formativo, aumenta el nivel de dominio de esta competencia, llegando</w:t>
      </w:r>
      <w:r>
        <w:rPr>
          <w:sz w:val="24"/>
          <w:szCs w:val="24"/>
        </w:rPr>
        <w:t xml:space="preserve"> </w:t>
      </w:r>
      <w:r w:rsidRPr="00BA57A2">
        <w:rPr>
          <w:sz w:val="24"/>
          <w:szCs w:val="24"/>
        </w:rPr>
        <w:t>a un nivel de práctica letrada</w:t>
      </w:r>
      <w:r w:rsidR="008D5379">
        <w:rPr>
          <w:sz w:val="24"/>
          <w:szCs w:val="24"/>
        </w:rPr>
        <w:t xml:space="preserve">, </w:t>
      </w:r>
      <w:r w:rsidRPr="00BA57A2">
        <w:rPr>
          <w:sz w:val="24"/>
          <w:szCs w:val="24"/>
        </w:rPr>
        <w:t>en donde el estudiante es un investigador y un escritor</w:t>
      </w:r>
      <w:r>
        <w:rPr>
          <w:sz w:val="24"/>
          <w:szCs w:val="24"/>
        </w:rPr>
        <w:t xml:space="preserve"> </w:t>
      </w:r>
      <w:r w:rsidRPr="00BA57A2">
        <w:rPr>
          <w:sz w:val="24"/>
          <w:szCs w:val="24"/>
        </w:rPr>
        <w:t>autónomo.</w:t>
      </w:r>
    </w:p>
    <w:p w14:paraId="4D9268D8" w14:textId="3E50C5EA" w:rsidR="008D5379" w:rsidRDefault="008D5379" w:rsidP="008D5379">
      <w:pPr>
        <w:ind w:leftChars="0" w:left="0" w:firstLineChars="0" w:hanging="2"/>
        <w:rPr>
          <w:sz w:val="24"/>
          <w:szCs w:val="24"/>
        </w:rPr>
      </w:pPr>
      <w:r w:rsidRPr="00676674">
        <w:rPr>
          <w:sz w:val="24"/>
          <w:szCs w:val="24"/>
        </w:rPr>
        <w:t xml:space="preserve">En otras palabras, se vuelve imprescindible el uso de estrategias de enseñanza-aprendizaje para el fortalecimiento de la competencia comunicativa, la cual debe considerar el vínculo del contexto disciplinar en un curso específico, porque el estudiante se enfrenta a textos que han sido escritos para una comunidad académica, y son diferentes a los textos que abordó en la Enseñanza Media, en donde predomina el género literario. Por </w:t>
      </w:r>
      <w:r w:rsidR="00A56ED2">
        <w:rPr>
          <w:sz w:val="24"/>
          <w:szCs w:val="24"/>
        </w:rPr>
        <w:t>consiguiente</w:t>
      </w:r>
      <w:r w:rsidRPr="00676674">
        <w:rPr>
          <w:sz w:val="24"/>
          <w:szCs w:val="24"/>
        </w:rPr>
        <w:t>, en este nuevo contexto académico se requiere de habilidades de lectura y escritura para lograr la inserción y comunicación en este nuevo contexto disciplinar (Cisneros et al., 2013)</w:t>
      </w:r>
      <w:r w:rsidR="0076373F">
        <w:rPr>
          <w:sz w:val="24"/>
          <w:szCs w:val="24"/>
        </w:rPr>
        <w:t>. Por consiguiente,</w:t>
      </w:r>
      <w:r w:rsidR="00813B2B">
        <w:rPr>
          <w:sz w:val="24"/>
          <w:szCs w:val="24"/>
        </w:rPr>
        <w:t xml:space="preserve"> para Zamora (2018),</w:t>
      </w:r>
      <w:r w:rsidR="0070236E">
        <w:rPr>
          <w:sz w:val="24"/>
          <w:szCs w:val="24"/>
        </w:rPr>
        <w:t xml:space="preserve"> </w:t>
      </w:r>
      <w:r w:rsidR="00C51650">
        <w:rPr>
          <w:sz w:val="24"/>
          <w:szCs w:val="24"/>
        </w:rPr>
        <w:t xml:space="preserve">se vuelve relevante la incorporación de la competencia en los itinerarios formativos procurando brindar una nivelación inicial y apoyo en el progreso del dominio durante su trayectoria académica, influyendo en la </w:t>
      </w:r>
      <w:r w:rsidR="00813B2B">
        <w:rPr>
          <w:sz w:val="24"/>
          <w:szCs w:val="24"/>
        </w:rPr>
        <w:t xml:space="preserve">permanencia de los estudiantes universitarios. </w:t>
      </w:r>
      <w:r w:rsidR="00C51650">
        <w:rPr>
          <w:sz w:val="24"/>
          <w:szCs w:val="24"/>
        </w:rPr>
        <w:t xml:space="preserve"> </w:t>
      </w:r>
    </w:p>
    <w:p w14:paraId="5A5758BF" w14:textId="16D2FB23" w:rsidR="00F501A2" w:rsidRDefault="00F9086B" w:rsidP="008D5379">
      <w:pPr>
        <w:ind w:leftChars="0" w:left="0" w:firstLineChars="0" w:hanging="2"/>
        <w:rPr>
          <w:sz w:val="24"/>
          <w:szCs w:val="24"/>
        </w:rPr>
      </w:pPr>
      <w:r>
        <w:rPr>
          <w:sz w:val="24"/>
          <w:szCs w:val="24"/>
        </w:rPr>
        <w:t xml:space="preserve">En cuanto a la permanencia en la Educación superior, es relevante </w:t>
      </w:r>
      <w:r w:rsidR="001F22B6">
        <w:rPr>
          <w:sz w:val="24"/>
          <w:szCs w:val="24"/>
        </w:rPr>
        <w:t xml:space="preserve">observar la diferencia entre el nivel </w:t>
      </w:r>
      <w:r w:rsidR="003839C9">
        <w:rPr>
          <w:sz w:val="24"/>
          <w:szCs w:val="24"/>
        </w:rPr>
        <w:t xml:space="preserve">de expectativas </w:t>
      </w:r>
      <w:r w:rsidR="00C24957">
        <w:rPr>
          <w:sz w:val="24"/>
          <w:szCs w:val="24"/>
        </w:rPr>
        <w:t xml:space="preserve">que </w:t>
      </w:r>
      <w:r>
        <w:rPr>
          <w:sz w:val="24"/>
          <w:szCs w:val="24"/>
        </w:rPr>
        <w:t>las instituciones universitarias</w:t>
      </w:r>
      <w:r w:rsidR="001F22B6">
        <w:rPr>
          <w:sz w:val="24"/>
          <w:szCs w:val="24"/>
        </w:rPr>
        <w:t xml:space="preserve"> </w:t>
      </w:r>
      <w:r w:rsidR="00C51650">
        <w:rPr>
          <w:sz w:val="24"/>
          <w:szCs w:val="24"/>
        </w:rPr>
        <w:t>tienen de</w:t>
      </w:r>
      <w:r w:rsidR="001F22B6">
        <w:rPr>
          <w:sz w:val="24"/>
          <w:szCs w:val="24"/>
        </w:rPr>
        <w:t xml:space="preserve"> los estudiantes</w:t>
      </w:r>
      <w:r>
        <w:rPr>
          <w:sz w:val="24"/>
          <w:szCs w:val="24"/>
        </w:rPr>
        <w:t xml:space="preserve"> y el nivel inici</w:t>
      </w:r>
      <w:r w:rsidR="001F22B6">
        <w:rPr>
          <w:sz w:val="24"/>
          <w:szCs w:val="24"/>
        </w:rPr>
        <w:t>al en el que se encuentra al ingresar a la universidad</w:t>
      </w:r>
      <w:r w:rsidR="00C24957">
        <w:rPr>
          <w:sz w:val="24"/>
          <w:szCs w:val="24"/>
        </w:rPr>
        <w:t xml:space="preserve">, </w:t>
      </w:r>
      <w:r w:rsidR="00C51650">
        <w:rPr>
          <w:sz w:val="24"/>
          <w:szCs w:val="24"/>
        </w:rPr>
        <w:t xml:space="preserve">esto </w:t>
      </w:r>
      <w:r w:rsidR="00C24957">
        <w:rPr>
          <w:sz w:val="24"/>
          <w:szCs w:val="24"/>
        </w:rPr>
        <w:t>en relación al desarrollo de la competencia comunicativa</w:t>
      </w:r>
      <w:r w:rsidR="001F22B6">
        <w:rPr>
          <w:sz w:val="24"/>
          <w:szCs w:val="24"/>
        </w:rPr>
        <w:t>. E</w:t>
      </w:r>
      <w:r>
        <w:rPr>
          <w:sz w:val="24"/>
          <w:szCs w:val="24"/>
        </w:rPr>
        <w:t>sta diferencia en la percepción de lo que debería ser y el estado real, produce en e</w:t>
      </w:r>
      <w:r w:rsidR="0078211C">
        <w:rPr>
          <w:sz w:val="24"/>
          <w:szCs w:val="24"/>
        </w:rPr>
        <w:t>l estudiante una presión social, como lo plantean Roland</w:t>
      </w:r>
      <w:r w:rsidR="00A64189">
        <w:rPr>
          <w:sz w:val="24"/>
          <w:szCs w:val="24"/>
        </w:rPr>
        <w:t xml:space="preserve"> et al.,</w:t>
      </w:r>
      <w:r w:rsidR="0078211C">
        <w:rPr>
          <w:sz w:val="24"/>
          <w:szCs w:val="24"/>
        </w:rPr>
        <w:t xml:space="preserve"> (2018) en donde </w:t>
      </w:r>
      <w:r w:rsidR="00333B0B">
        <w:rPr>
          <w:sz w:val="24"/>
          <w:szCs w:val="24"/>
        </w:rPr>
        <w:t xml:space="preserve">se </w:t>
      </w:r>
      <w:r w:rsidR="0078211C">
        <w:rPr>
          <w:sz w:val="24"/>
          <w:szCs w:val="24"/>
        </w:rPr>
        <w:t>señala que las normas imperativas</w:t>
      </w:r>
      <w:r w:rsidR="001F22B6">
        <w:rPr>
          <w:sz w:val="24"/>
          <w:szCs w:val="24"/>
        </w:rPr>
        <w:t xml:space="preserve"> que intervienen en este contexto social, las cuales </w:t>
      </w:r>
      <w:r w:rsidR="0078211C">
        <w:rPr>
          <w:sz w:val="24"/>
          <w:szCs w:val="24"/>
        </w:rPr>
        <w:t xml:space="preserve">se traducen como “lo que las </w:t>
      </w:r>
      <w:r w:rsidR="001F22B6">
        <w:rPr>
          <w:sz w:val="24"/>
          <w:szCs w:val="24"/>
        </w:rPr>
        <w:t>personas esperan y piensan de mí</w:t>
      </w:r>
      <w:r w:rsidR="0078211C">
        <w:rPr>
          <w:sz w:val="24"/>
          <w:szCs w:val="24"/>
        </w:rPr>
        <w:t>”</w:t>
      </w:r>
      <w:r w:rsidR="00C24957">
        <w:rPr>
          <w:sz w:val="24"/>
          <w:szCs w:val="24"/>
        </w:rPr>
        <w:t>,</w:t>
      </w:r>
      <w:r w:rsidR="0078211C">
        <w:rPr>
          <w:sz w:val="24"/>
          <w:szCs w:val="24"/>
        </w:rPr>
        <w:t xml:space="preserve"> tienen una influencia mayor a la hora de decidir si continuar con los estudios en la Educación Superior, a diferencia de las normas descriptivas que tiene relación con el comportamiento de mis pares en el mismo contexto. En otras palabras, el autoconcepto </w:t>
      </w:r>
      <w:r w:rsidR="001F22B6">
        <w:rPr>
          <w:sz w:val="24"/>
          <w:szCs w:val="24"/>
        </w:rPr>
        <w:t xml:space="preserve">y </w:t>
      </w:r>
      <w:r w:rsidR="0078211C">
        <w:rPr>
          <w:sz w:val="24"/>
          <w:szCs w:val="24"/>
        </w:rPr>
        <w:t>logro académico</w:t>
      </w:r>
      <w:r w:rsidR="001F22B6">
        <w:rPr>
          <w:sz w:val="24"/>
          <w:szCs w:val="24"/>
        </w:rPr>
        <w:t xml:space="preserve">, se ven influenciados y en algunos casos disminuidos, al comparar las exigencias del contexto de aprendizaje y el desarrollo de sus competencias. </w:t>
      </w:r>
    </w:p>
    <w:p w14:paraId="43BBDFA2" w14:textId="7CFB33E9" w:rsidR="00676674" w:rsidRDefault="00BF74B8" w:rsidP="00676674">
      <w:pPr>
        <w:ind w:leftChars="0" w:left="0" w:firstLineChars="0" w:hanging="2"/>
        <w:rPr>
          <w:sz w:val="24"/>
          <w:szCs w:val="24"/>
        </w:rPr>
      </w:pPr>
      <w:r>
        <w:rPr>
          <w:sz w:val="24"/>
          <w:szCs w:val="24"/>
        </w:rPr>
        <w:t xml:space="preserve">Ante esto, </w:t>
      </w:r>
      <w:r w:rsidR="00C24957">
        <w:rPr>
          <w:sz w:val="24"/>
          <w:szCs w:val="24"/>
        </w:rPr>
        <w:t>l</w:t>
      </w:r>
      <w:r w:rsidR="00676674" w:rsidRPr="00676674">
        <w:rPr>
          <w:sz w:val="24"/>
          <w:szCs w:val="24"/>
        </w:rPr>
        <w:t xml:space="preserve">a Universidad Católica de Temuco aplica evaluaciones de diagnóstico institucional para generar un perfil de ingreso, permitiendo conocer las características y contextos de los estudiantes para diseñar e implementar acciones que permitan la inserción efectiva de los estudiantes durante los primeros semestres de su carrera para evitar futuras deserciones. Algunas de las características de los 2490 estudiantes cohorte 2022, son que el 45,9% de los estudiantes proviene de establecimientos de </w:t>
      </w:r>
      <w:r w:rsidR="00676674" w:rsidRPr="00676674">
        <w:rPr>
          <w:sz w:val="24"/>
          <w:szCs w:val="24"/>
        </w:rPr>
        <w:lastRenderedPageBreak/>
        <w:t xml:space="preserve">educación pública y 9 % acceden a la Educación Superior por una vía inclusiva (DGIA, 2022), la cual busca acortar las brechas educativas permitiendo ingresar a estudiantes que tienen un rendimiento escolar sobresaliente y que pertenecen a los quintiles más vulnerables del país.  </w:t>
      </w:r>
    </w:p>
    <w:p w14:paraId="7BCD698B" w14:textId="5B60F268" w:rsidR="00E208B0" w:rsidRDefault="00676674" w:rsidP="00B76B3C">
      <w:pPr>
        <w:ind w:leftChars="0" w:left="0" w:firstLineChars="0" w:hanging="2"/>
        <w:rPr>
          <w:sz w:val="24"/>
          <w:szCs w:val="24"/>
        </w:rPr>
      </w:pPr>
      <w:r w:rsidRPr="00676674">
        <w:rPr>
          <w:sz w:val="24"/>
          <w:szCs w:val="24"/>
        </w:rPr>
        <w:t>Considerando la relevancia de potenciar el desarrollo de la lectura y escritura académica en los estudiantes de nuevo ingreso, se considera la tutoría académica como la estrategia que potencia el aprendizaje cooperativo y la valoración a la diversidad dentro del espacio de diálogo entre pares y tutor. El aprendizaje cooperativo y la inclusión parte del reconocer y celebrar las diferencias (Martínez, 2019), es decir, considera que la diversidad es una cualidad presente en nuestra sociedad y debe estar presente en el proceso de enseñanza- aprendizaje, por ende, deja de ser visto como un espacio homogéneo e incluye las individualidades, capital cultural y social, experiencias y aptitudes, potenciando y validando la participación de todos.</w:t>
      </w:r>
      <w:r w:rsidR="00034E1E">
        <w:rPr>
          <w:sz w:val="24"/>
          <w:szCs w:val="24"/>
        </w:rPr>
        <w:t xml:space="preserve"> </w:t>
      </w:r>
      <w:r w:rsidR="00CC3E54">
        <w:rPr>
          <w:sz w:val="24"/>
          <w:szCs w:val="24"/>
        </w:rPr>
        <w:t>De igual modo, este espacio de encuentro entre estudiantes junto a un profesor, potencia el desarrollo de la competencia y la construcción de aprendizaje</w:t>
      </w:r>
      <w:r w:rsidR="003648E8">
        <w:rPr>
          <w:sz w:val="24"/>
          <w:szCs w:val="24"/>
        </w:rPr>
        <w:t>,</w:t>
      </w:r>
      <w:r w:rsidR="00CC3E54">
        <w:rPr>
          <w:sz w:val="24"/>
          <w:szCs w:val="24"/>
        </w:rPr>
        <w:t xml:space="preserve"> mediante la retroalimentación y orientaciones para el crecimiento hacia la mejora </w:t>
      </w:r>
      <w:r w:rsidR="003648E8">
        <w:rPr>
          <w:sz w:val="24"/>
          <w:szCs w:val="24"/>
        </w:rPr>
        <w:t>de su rendimiento académico y desarrollo personal</w:t>
      </w:r>
      <w:r w:rsidR="00185BB3">
        <w:rPr>
          <w:sz w:val="24"/>
          <w:szCs w:val="24"/>
        </w:rPr>
        <w:t>, por ende, las tutorías académicas deben iniciar junto con el proceso formativo del estudiante</w:t>
      </w:r>
      <w:r w:rsidR="003648E8">
        <w:rPr>
          <w:sz w:val="24"/>
          <w:szCs w:val="24"/>
        </w:rPr>
        <w:t xml:space="preserve"> (Muñoz y Gairín, 2013). Es decir, estas instancias deben ser una constante </w:t>
      </w:r>
      <w:r w:rsidR="0097700B">
        <w:rPr>
          <w:sz w:val="24"/>
          <w:szCs w:val="24"/>
        </w:rPr>
        <w:t>durante su formación profesional</w:t>
      </w:r>
      <w:r w:rsidR="003648E8">
        <w:rPr>
          <w:sz w:val="24"/>
          <w:szCs w:val="24"/>
        </w:rPr>
        <w:t xml:space="preserve">, realizando un escalamiento en el acompañamiento </w:t>
      </w:r>
      <w:r w:rsidR="00034E1E">
        <w:rPr>
          <w:sz w:val="24"/>
          <w:szCs w:val="24"/>
        </w:rPr>
        <w:t xml:space="preserve">a medida que el estudiante </w:t>
      </w:r>
      <w:r w:rsidR="0097700B">
        <w:rPr>
          <w:sz w:val="24"/>
          <w:szCs w:val="24"/>
        </w:rPr>
        <w:t>avance</w:t>
      </w:r>
      <w:r w:rsidR="00034E1E">
        <w:rPr>
          <w:sz w:val="24"/>
          <w:szCs w:val="24"/>
        </w:rPr>
        <w:t xml:space="preserve"> a cursos superiores.</w:t>
      </w:r>
    </w:p>
    <w:p w14:paraId="24D38524" w14:textId="6E34B767" w:rsidR="00090411" w:rsidRDefault="00090411" w:rsidP="00E208B0">
      <w:pPr>
        <w:ind w:leftChars="0" w:left="2" w:firstLineChars="0" w:hanging="2"/>
        <w:rPr>
          <w:sz w:val="24"/>
          <w:szCs w:val="24"/>
        </w:rPr>
      </w:pPr>
      <w:r>
        <w:rPr>
          <w:sz w:val="24"/>
          <w:szCs w:val="24"/>
        </w:rPr>
        <w:t>Por consiguiente, e</w:t>
      </w:r>
      <w:r w:rsidR="00676674" w:rsidRPr="00676674">
        <w:rPr>
          <w:sz w:val="24"/>
          <w:szCs w:val="24"/>
        </w:rPr>
        <w:t>l propósito de est</w:t>
      </w:r>
      <w:r>
        <w:rPr>
          <w:sz w:val="24"/>
          <w:szCs w:val="24"/>
        </w:rPr>
        <w:t>e estudio</w:t>
      </w:r>
      <w:r w:rsidR="00672631">
        <w:rPr>
          <w:sz w:val="24"/>
          <w:szCs w:val="24"/>
        </w:rPr>
        <w:t xml:space="preserve"> es</w:t>
      </w:r>
      <w:r w:rsidR="00676674" w:rsidRPr="00676674">
        <w:rPr>
          <w:sz w:val="24"/>
          <w:szCs w:val="24"/>
        </w:rPr>
        <w:t xml:space="preserve"> </w:t>
      </w:r>
      <w:r w:rsidR="00672631">
        <w:rPr>
          <w:sz w:val="24"/>
          <w:szCs w:val="24"/>
        </w:rPr>
        <w:t xml:space="preserve">relacionar el impacto de la </w:t>
      </w:r>
      <w:r w:rsidR="00676674" w:rsidRPr="00676674">
        <w:rPr>
          <w:sz w:val="24"/>
          <w:szCs w:val="24"/>
        </w:rPr>
        <w:t xml:space="preserve">estrategia de tutoría académica </w:t>
      </w:r>
      <w:r w:rsidR="00672631">
        <w:rPr>
          <w:sz w:val="24"/>
          <w:szCs w:val="24"/>
        </w:rPr>
        <w:t>en</w:t>
      </w:r>
      <w:r w:rsidR="00676674" w:rsidRPr="00676674">
        <w:rPr>
          <w:sz w:val="24"/>
          <w:szCs w:val="24"/>
        </w:rPr>
        <w:t xml:space="preserve"> el fortalecimiento de la competencia comunicativa</w:t>
      </w:r>
      <w:r w:rsidR="0097700B">
        <w:rPr>
          <w:sz w:val="24"/>
          <w:szCs w:val="24"/>
        </w:rPr>
        <w:t xml:space="preserve"> y</w:t>
      </w:r>
      <w:r w:rsidR="00676674" w:rsidRPr="00676674">
        <w:rPr>
          <w:sz w:val="24"/>
          <w:szCs w:val="24"/>
        </w:rPr>
        <w:t xml:space="preserve"> </w:t>
      </w:r>
      <w:r w:rsidR="00672631">
        <w:rPr>
          <w:sz w:val="24"/>
          <w:szCs w:val="24"/>
        </w:rPr>
        <w:t>el rendimiento académico durante el primer semestre del año 2022,</w:t>
      </w:r>
      <w:r w:rsidR="00676674" w:rsidRPr="00676674">
        <w:rPr>
          <w:sz w:val="24"/>
          <w:szCs w:val="24"/>
        </w:rPr>
        <w:t xml:space="preserve"> </w:t>
      </w:r>
      <w:r w:rsidR="00672631">
        <w:rPr>
          <w:sz w:val="24"/>
          <w:szCs w:val="24"/>
        </w:rPr>
        <w:t xml:space="preserve">de los </w:t>
      </w:r>
      <w:r w:rsidR="00676674" w:rsidRPr="00676674">
        <w:rPr>
          <w:sz w:val="24"/>
          <w:szCs w:val="24"/>
        </w:rPr>
        <w:t>estudiantes de primer año</w:t>
      </w:r>
      <w:r w:rsidR="0097700B">
        <w:rPr>
          <w:sz w:val="24"/>
          <w:szCs w:val="24"/>
        </w:rPr>
        <w:t xml:space="preserve"> </w:t>
      </w:r>
      <w:r w:rsidR="0097700B" w:rsidRPr="00676674">
        <w:rPr>
          <w:sz w:val="24"/>
          <w:szCs w:val="24"/>
        </w:rPr>
        <w:t>de la carrera de Pedagogía en Educación Diferencial de la Universidad Católica de Temuco</w:t>
      </w:r>
      <w:r w:rsidR="00672631">
        <w:rPr>
          <w:sz w:val="24"/>
          <w:szCs w:val="24"/>
        </w:rPr>
        <w:t xml:space="preserve">, </w:t>
      </w:r>
      <w:r w:rsidR="0097700B">
        <w:rPr>
          <w:sz w:val="24"/>
          <w:szCs w:val="24"/>
        </w:rPr>
        <w:t xml:space="preserve">los cuales </w:t>
      </w:r>
      <w:r w:rsidR="00672631">
        <w:rPr>
          <w:sz w:val="24"/>
          <w:szCs w:val="24"/>
        </w:rPr>
        <w:t>participa</w:t>
      </w:r>
      <w:r w:rsidR="0097700B">
        <w:rPr>
          <w:sz w:val="24"/>
          <w:szCs w:val="24"/>
        </w:rPr>
        <w:t>ron</w:t>
      </w:r>
      <w:r w:rsidR="00672631">
        <w:rPr>
          <w:sz w:val="24"/>
          <w:szCs w:val="24"/>
        </w:rPr>
        <w:t xml:space="preserve"> </w:t>
      </w:r>
      <w:r w:rsidR="00A56ED2">
        <w:rPr>
          <w:sz w:val="24"/>
          <w:szCs w:val="24"/>
        </w:rPr>
        <w:t>en</w:t>
      </w:r>
      <w:r w:rsidR="00672631">
        <w:rPr>
          <w:sz w:val="24"/>
          <w:szCs w:val="24"/>
        </w:rPr>
        <w:t xml:space="preserve"> las sesiones de tutorías académicas</w:t>
      </w:r>
      <w:r w:rsidR="0097700B">
        <w:rPr>
          <w:sz w:val="24"/>
          <w:szCs w:val="24"/>
        </w:rPr>
        <w:t xml:space="preserve"> que se vinculan con</w:t>
      </w:r>
      <w:r w:rsidR="00676674" w:rsidRPr="00676674">
        <w:rPr>
          <w:sz w:val="24"/>
          <w:szCs w:val="24"/>
        </w:rPr>
        <w:t xml:space="preserve"> un curso de su formación inicial. </w:t>
      </w:r>
    </w:p>
    <w:p w14:paraId="4403C87D" w14:textId="572577AB" w:rsidR="00705056" w:rsidRPr="00676674" w:rsidRDefault="00676674" w:rsidP="00705056">
      <w:pPr>
        <w:ind w:leftChars="0" w:left="2" w:firstLineChars="0" w:hanging="2"/>
        <w:rPr>
          <w:sz w:val="24"/>
          <w:szCs w:val="24"/>
        </w:rPr>
      </w:pPr>
      <w:r w:rsidRPr="00676674">
        <w:rPr>
          <w:sz w:val="24"/>
          <w:szCs w:val="24"/>
        </w:rPr>
        <w:t>El diseño de esta estrategia se basa en 6</w:t>
      </w:r>
      <w:r w:rsidR="0097700B">
        <w:rPr>
          <w:sz w:val="24"/>
          <w:szCs w:val="24"/>
        </w:rPr>
        <w:t>-8</w:t>
      </w:r>
      <w:r w:rsidRPr="00676674">
        <w:rPr>
          <w:sz w:val="24"/>
          <w:szCs w:val="24"/>
        </w:rPr>
        <w:t xml:space="preserve"> sesiones consecutivas distribuidas por 1 encuentro por semana con una duración de 60 minutos, implementadas durante el primer semestre del año 2022. Las sesiones de tutoría académica se orientan a acompañar y guiar a los estudiantes </w:t>
      </w:r>
      <w:r w:rsidR="00090411">
        <w:rPr>
          <w:sz w:val="24"/>
          <w:szCs w:val="24"/>
        </w:rPr>
        <w:t xml:space="preserve">en </w:t>
      </w:r>
      <w:r w:rsidRPr="00676674">
        <w:rPr>
          <w:sz w:val="24"/>
          <w:szCs w:val="24"/>
        </w:rPr>
        <w:t>la construcción de un texto expositivo académico (informe), el cual contempla el análisis de textos científicos como artículos y capítulos de libros para la elaboración de una reflexión sobre su experiencia escolar y lo planteado por diversas teorías filosóficas. Por ende, se inicia con la lectura individual y colectiva de los textos siguiendo los niveles de comprensión lectora (literal, inferencial, crítico valorativo), continuando con la socialización de la estructura del informe, poniendo mayor énfasis en la construcción de párrafos a partir de la intención comunicativa. Durante todo el proceso de escritura se retroalimenta a los estudiantes de manera individual y dialógica, considerando la macro y microestructura del texto.</w:t>
      </w:r>
      <w:r w:rsidR="00090411">
        <w:rPr>
          <w:sz w:val="24"/>
          <w:szCs w:val="24"/>
        </w:rPr>
        <w:t xml:space="preserve"> Este proceso de producción y comprensión de texto</w:t>
      </w:r>
      <w:r w:rsidR="000733AE">
        <w:rPr>
          <w:sz w:val="24"/>
          <w:szCs w:val="24"/>
        </w:rPr>
        <w:t xml:space="preserve">, contempla las </w:t>
      </w:r>
      <w:r w:rsidR="00090411">
        <w:rPr>
          <w:sz w:val="24"/>
          <w:szCs w:val="24"/>
        </w:rPr>
        <w:t>tres evaluaciones y calificaciones durante el curso</w:t>
      </w:r>
      <w:r w:rsidR="000733AE">
        <w:rPr>
          <w:sz w:val="24"/>
          <w:szCs w:val="24"/>
        </w:rPr>
        <w:t xml:space="preserve"> (Sistematización de la lectura en una matriz, redacción de un relato de vida y redacción de un informe). </w:t>
      </w:r>
    </w:p>
    <w:p w14:paraId="0215DA02" w14:textId="3DA5D4EA" w:rsidR="006A65FD" w:rsidRPr="00E208B0" w:rsidRDefault="006A65FD" w:rsidP="00E208B0">
      <w:pPr>
        <w:pStyle w:val="Prrafodelista"/>
        <w:numPr>
          <w:ilvl w:val="0"/>
          <w:numId w:val="2"/>
        </w:numPr>
        <w:spacing w:line="240" w:lineRule="auto"/>
        <w:ind w:leftChars="0" w:firstLineChars="0"/>
        <w:rPr>
          <w:b/>
          <w:bCs/>
          <w:position w:val="0"/>
          <w:sz w:val="24"/>
          <w:szCs w:val="24"/>
          <w:lang w:val="es-CL" w:eastAsia="en-US"/>
        </w:rPr>
      </w:pPr>
      <w:r w:rsidRPr="006A65FD">
        <w:rPr>
          <w:b/>
          <w:bCs/>
          <w:sz w:val="24"/>
          <w:szCs w:val="24"/>
          <w:lang w:val="es-CL"/>
        </w:rPr>
        <w:t>Metodología</w:t>
      </w:r>
    </w:p>
    <w:p w14:paraId="4E079B39" w14:textId="6606D87F" w:rsidR="00086EC5" w:rsidRDefault="00086EC5" w:rsidP="00E208B0">
      <w:pPr>
        <w:spacing w:line="240" w:lineRule="auto"/>
        <w:ind w:leftChars="0" w:left="2" w:hanging="2"/>
        <w:rPr>
          <w:sz w:val="24"/>
          <w:szCs w:val="24"/>
          <w:lang w:val="es-CL"/>
        </w:rPr>
      </w:pPr>
      <w:r>
        <w:rPr>
          <w:sz w:val="24"/>
          <w:szCs w:val="24"/>
          <w:lang w:val="es-CL"/>
        </w:rPr>
        <w:t>La presente investigación se desarrolla desde un enfoque cuantitativo y transversal, considerando como unidad de observación los estudiantes de primer año de la carrera de Pedagogía en Educación Diferencial de la Universidad Católica de Temuco. Para ello se ha trabajado con las variables que a continuación se mencionan:</w:t>
      </w:r>
    </w:p>
    <w:p w14:paraId="14DAAF0E" w14:textId="77777777" w:rsidR="00086EC5" w:rsidRDefault="00086EC5" w:rsidP="001F22B6">
      <w:pPr>
        <w:pStyle w:val="Prrafodelista"/>
        <w:numPr>
          <w:ilvl w:val="0"/>
          <w:numId w:val="5"/>
        </w:numPr>
        <w:suppressAutoHyphens w:val="0"/>
        <w:spacing w:after="0" w:line="240" w:lineRule="auto"/>
        <w:ind w:leftChars="0" w:firstLineChars="0"/>
        <w:textDirection w:val="lrTb"/>
        <w:textAlignment w:val="auto"/>
        <w:outlineLvl w:val="9"/>
        <w:rPr>
          <w:sz w:val="24"/>
          <w:szCs w:val="24"/>
          <w:lang w:val="es-CL"/>
        </w:rPr>
      </w:pPr>
      <w:r>
        <w:rPr>
          <w:sz w:val="24"/>
          <w:szCs w:val="24"/>
          <w:lang w:val="es-CL"/>
        </w:rPr>
        <w:t>V1: Resultados en el Diagnóstico de Producción de Textos (categórica: Evidencia/ No evidencia y No se presenta).</w:t>
      </w:r>
    </w:p>
    <w:p w14:paraId="247A5B4B" w14:textId="77777777" w:rsidR="00086EC5" w:rsidRDefault="00086EC5" w:rsidP="001F22B6">
      <w:pPr>
        <w:pStyle w:val="Prrafodelista"/>
        <w:numPr>
          <w:ilvl w:val="0"/>
          <w:numId w:val="5"/>
        </w:numPr>
        <w:suppressAutoHyphens w:val="0"/>
        <w:spacing w:line="240" w:lineRule="auto"/>
        <w:ind w:leftChars="0" w:firstLineChars="0"/>
        <w:textDirection w:val="lrTb"/>
        <w:textAlignment w:val="auto"/>
        <w:outlineLvl w:val="9"/>
        <w:rPr>
          <w:sz w:val="24"/>
          <w:szCs w:val="24"/>
          <w:lang w:val="es-CL"/>
        </w:rPr>
      </w:pPr>
      <w:r>
        <w:rPr>
          <w:sz w:val="24"/>
          <w:szCs w:val="24"/>
          <w:lang w:val="es-CL"/>
        </w:rPr>
        <w:t>V2: Resultados en el Diagnóstico de Comprensión Lectora (categórica: Evidencia/ No evidencia y No se presenta).</w:t>
      </w:r>
    </w:p>
    <w:p w14:paraId="050D105C" w14:textId="77777777" w:rsidR="00086EC5" w:rsidRDefault="00086EC5" w:rsidP="001F22B6">
      <w:pPr>
        <w:pStyle w:val="Prrafodelista"/>
        <w:numPr>
          <w:ilvl w:val="0"/>
          <w:numId w:val="5"/>
        </w:numPr>
        <w:suppressAutoHyphens w:val="0"/>
        <w:spacing w:after="0" w:line="240" w:lineRule="auto"/>
        <w:ind w:leftChars="0" w:firstLineChars="0"/>
        <w:textDirection w:val="lrTb"/>
        <w:textAlignment w:val="auto"/>
        <w:outlineLvl w:val="9"/>
        <w:rPr>
          <w:sz w:val="24"/>
          <w:szCs w:val="24"/>
          <w:lang w:val="es-CL"/>
        </w:rPr>
      </w:pPr>
      <w:r>
        <w:rPr>
          <w:sz w:val="24"/>
          <w:szCs w:val="24"/>
          <w:lang w:val="es-CL"/>
        </w:rPr>
        <w:t>V3: Inscripción en tutoría académica (dicotómica categórica: Sí/No).</w:t>
      </w:r>
    </w:p>
    <w:p w14:paraId="6139512B" w14:textId="77777777" w:rsidR="00086EC5" w:rsidRDefault="00086EC5" w:rsidP="001F22B6">
      <w:pPr>
        <w:pStyle w:val="Prrafodelista"/>
        <w:numPr>
          <w:ilvl w:val="0"/>
          <w:numId w:val="5"/>
        </w:numPr>
        <w:suppressAutoHyphens w:val="0"/>
        <w:spacing w:after="0" w:line="240" w:lineRule="auto"/>
        <w:ind w:leftChars="0" w:firstLineChars="0"/>
        <w:textDirection w:val="lrTb"/>
        <w:textAlignment w:val="auto"/>
        <w:outlineLvl w:val="9"/>
        <w:rPr>
          <w:sz w:val="24"/>
          <w:szCs w:val="24"/>
          <w:lang w:val="es-CL"/>
        </w:rPr>
      </w:pPr>
      <w:r>
        <w:rPr>
          <w:sz w:val="24"/>
          <w:szCs w:val="24"/>
          <w:lang w:val="es-CL"/>
        </w:rPr>
        <w:t>V4: Porcentaje de asistencia a las tutorías académicas (numérica: razón).</w:t>
      </w:r>
    </w:p>
    <w:p w14:paraId="6EEBBDDA" w14:textId="77777777" w:rsidR="00086EC5" w:rsidRDefault="00086EC5" w:rsidP="001F22B6">
      <w:pPr>
        <w:pStyle w:val="Prrafodelista"/>
        <w:numPr>
          <w:ilvl w:val="0"/>
          <w:numId w:val="5"/>
        </w:numPr>
        <w:suppressAutoHyphens w:val="0"/>
        <w:spacing w:after="0" w:line="240" w:lineRule="auto"/>
        <w:ind w:leftChars="0" w:firstLineChars="0"/>
        <w:textDirection w:val="lrTb"/>
        <w:textAlignment w:val="auto"/>
        <w:outlineLvl w:val="9"/>
        <w:rPr>
          <w:sz w:val="24"/>
          <w:szCs w:val="24"/>
          <w:lang w:val="es-CL"/>
        </w:rPr>
      </w:pPr>
      <w:r>
        <w:rPr>
          <w:sz w:val="24"/>
          <w:szCs w:val="24"/>
          <w:lang w:val="es-CL"/>
        </w:rPr>
        <w:lastRenderedPageBreak/>
        <w:t>V5: Situación de Aprobación en el Curso “Pensamiento Pedagógico: Persona y Sociedad” (dicotómica categórica: Aprueba/No Aprueba)</w:t>
      </w:r>
    </w:p>
    <w:p w14:paraId="65EF47CC" w14:textId="2DB0A71A" w:rsidR="00086EC5" w:rsidRPr="00E208B0" w:rsidRDefault="00086EC5" w:rsidP="001F22B6">
      <w:pPr>
        <w:pStyle w:val="Prrafodelista"/>
        <w:numPr>
          <w:ilvl w:val="0"/>
          <w:numId w:val="5"/>
        </w:numPr>
        <w:suppressAutoHyphens w:val="0"/>
        <w:spacing w:line="240" w:lineRule="auto"/>
        <w:ind w:leftChars="0" w:firstLineChars="0"/>
        <w:textDirection w:val="lrTb"/>
        <w:textAlignment w:val="auto"/>
        <w:outlineLvl w:val="9"/>
        <w:rPr>
          <w:sz w:val="24"/>
          <w:szCs w:val="24"/>
          <w:lang w:val="es-CL"/>
        </w:rPr>
      </w:pPr>
      <w:r>
        <w:rPr>
          <w:sz w:val="24"/>
          <w:szCs w:val="24"/>
          <w:lang w:val="es-CL"/>
        </w:rPr>
        <w:t>V6: Media de rendimiento académico en el Curso “Pensamiento Pedagógico: Persona y Sociedad” (numérica: razón).</w:t>
      </w:r>
    </w:p>
    <w:p w14:paraId="1986C763" w14:textId="07762A8C" w:rsidR="00086EC5" w:rsidRDefault="00086EC5" w:rsidP="00E208B0">
      <w:pPr>
        <w:spacing w:line="240" w:lineRule="auto"/>
        <w:ind w:leftChars="0" w:left="2" w:hanging="2"/>
        <w:rPr>
          <w:sz w:val="24"/>
          <w:szCs w:val="24"/>
          <w:lang w:val="es-CL"/>
        </w:rPr>
      </w:pPr>
      <w:r>
        <w:rPr>
          <w:sz w:val="24"/>
          <w:szCs w:val="24"/>
          <w:lang w:val="es-CL"/>
        </w:rPr>
        <w:t>Como se puede observar, se ha trabajado con 6 variables. Además de ello, cabe señalar que el total de estudiantes incluidos en los análisis provenientes de la cohorte de ingreso de primer año de la carrera de Pedagogía en Educación Diferencial, son 65 alumnos. Por otro lado, para el análisis de la información se ha trabajado en las siguientes fases:</w:t>
      </w:r>
    </w:p>
    <w:p w14:paraId="629BD3EA" w14:textId="77777777" w:rsidR="00086EC5" w:rsidRDefault="00086EC5" w:rsidP="00E208B0">
      <w:pPr>
        <w:pStyle w:val="Prrafodelista"/>
        <w:numPr>
          <w:ilvl w:val="0"/>
          <w:numId w:val="4"/>
        </w:numPr>
        <w:suppressAutoHyphens w:val="0"/>
        <w:spacing w:after="0" w:line="240" w:lineRule="auto"/>
        <w:ind w:leftChars="0" w:left="2" w:firstLineChars="0" w:hanging="2"/>
        <w:textDirection w:val="lrTb"/>
        <w:textAlignment w:val="auto"/>
        <w:outlineLvl w:val="9"/>
        <w:rPr>
          <w:sz w:val="24"/>
          <w:szCs w:val="24"/>
          <w:lang w:val="es-CL"/>
        </w:rPr>
      </w:pPr>
      <w:r>
        <w:rPr>
          <w:sz w:val="24"/>
          <w:szCs w:val="24"/>
          <w:lang w:val="es-CL"/>
        </w:rPr>
        <w:t>Consolidación de las bases de datos diagnóstico, inscripción a tutorías académicas y rendimiento académico en el curso “Pensamiento Pedagógico: Persona y Sociedad”.</w:t>
      </w:r>
    </w:p>
    <w:p w14:paraId="0F1DA5A2" w14:textId="77777777" w:rsidR="00086EC5" w:rsidRDefault="00086EC5" w:rsidP="00086EC5">
      <w:pPr>
        <w:pStyle w:val="Prrafodelista"/>
        <w:numPr>
          <w:ilvl w:val="0"/>
          <w:numId w:val="4"/>
        </w:numPr>
        <w:suppressAutoHyphens w:val="0"/>
        <w:spacing w:after="0" w:line="240" w:lineRule="auto"/>
        <w:ind w:leftChars="0" w:left="0" w:firstLineChars="0" w:hanging="2"/>
        <w:textDirection w:val="lrTb"/>
        <w:textAlignment w:val="auto"/>
        <w:outlineLvl w:val="9"/>
        <w:rPr>
          <w:sz w:val="24"/>
          <w:szCs w:val="24"/>
          <w:lang w:val="es-CL"/>
        </w:rPr>
      </w:pPr>
      <w:r>
        <w:rPr>
          <w:sz w:val="24"/>
          <w:szCs w:val="24"/>
          <w:lang w:val="es-CL"/>
        </w:rPr>
        <w:t>Construcción de la Base de datos de análisis y Metadatos (etiqueta y descripción) para cada una de las variables mencionadas para el análisis.</w:t>
      </w:r>
    </w:p>
    <w:p w14:paraId="7F67E15C" w14:textId="77777777" w:rsidR="00086EC5" w:rsidRDefault="00086EC5" w:rsidP="00086EC5">
      <w:pPr>
        <w:pStyle w:val="Prrafodelista"/>
        <w:numPr>
          <w:ilvl w:val="0"/>
          <w:numId w:val="4"/>
        </w:numPr>
        <w:suppressAutoHyphens w:val="0"/>
        <w:spacing w:after="0" w:line="240" w:lineRule="auto"/>
        <w:ind w:leftChars="0" w:left="0" w:firstLineChars="0" w:hanging="2"/>
        <w:textDirection w:val="lrTb"/>
        <w:textAlignment w:val="auto"/>
        <w:outlineLvl w:val="9"/>
        <w:rPr>
          <w:sz w:val="24"/>
          <w:szCs w:val="24"/>
          <w:lang w:val="es-CL"/>
        </w:rPr>
      </w:pPr>
      <w:r>
        <w:rPr>
          <w:sz w:val="24"/>
          <w:szCs w:val="24"/>
          <w:lang w:val="es-CL"/>
        </w:rPr>
        <w:t>Obtención de tablas univariadas descriptivas con resultados (frecuencias y porcentajes).</w:t>
      </w:r>
    </w:p>
    <w:p w14:paraId="4F3D7863" w14:textId="77777777" w:rsidR="00086EC5" w:rsidRDefault="00086EC5" w:rsidP="00086EC5">
      <w:pPr>
        <w:pStyle w:val="Prrafodelista"/>
        <w:numPr>
          <w:ilvl w:val="0"/>
          <w:numId w:val="4"/>
        </w:numPr>
        <w:suppressAutoHyphens w:val="0"/>
        <w:spacing w:after="0" w:line="240" w:lineRule="auto"/>
        <w:ind w:leftChars="0" w:left="0" w:firstLineChars="0" w:hanging="2"/>
        <w:textDirection w:val="lrTb"/>
        <w:textAlignment w:val="auto"/>
        <w:outlineLvl w:val="9"/>
        <w:rPr>
          <w:sz w:val="24"/>
          <w:szCs w:val="24"/>
          <w:lang w:val="es-CL"/>
        </w:rPr>
      </w:pPr>
      <w:r>
        <w:rPr>
          <w:sz w:val="24"/>
          <w:szCs w:val="24"/>
          <w:lang w:val="es-CL"/>
        </w:rPr>
        <w:t>Obtención de tablas bivariadas descriptivas con resultados (tablas de contigencia, con frecuencia y porcentajes)</w:t>
      </w:r>
    </w:p>
    <w:p w14:paraId="04405273" w14:textId="77777777" w:rsidR="00086EC5" w:rsidRDefault="00086EC5" w:rsidP="00086EC5">
      <w:pPr>
        <w:pStyle w:val="Prrafodelista"/>
        <w:numPr>
          <w:ilvl w:val="0"/>
          <w:numId w:val="4"/>
        </w:numPr>
        <w:suppressAutoHyphens w:val="0"/>
        <w:spacing w:after="0" w:line="240" w:lineRule="auto"/>
        <w:ind w:leftChars="0" w:left="0" w:firstLineChars="0" w:hanging="2"/>
        <w:textDirection w:val="lrTb"/>
        <w:textAlignment w:val="auto"/>
        <w:outlineLvl w:val="9"/>
        <w:rPr>
          <w:sz w:val="24"/>
          <w:szCs w:val="24"/>
          <w:lang w:val="es-CL"/>
        </w:rPr>
      </w:pPr>
      <w:r>
        <w:rPr>
          <w:sz w:val="24"/>
          <w:szCs w:val="24"/>
          <w:lang w:val="es-CL"/>
        </w:rPr>
        <w:t>Cálculo de medias según grupos de inscripción a tutorías académicas en el semestre.</w:t>
      </w:r>
    </w:p>
    <w:p w14:paraId="32A7A925" w14:textId="77777777" w:rsidR="00086EC5" w:rsidRDefault="00086EC5" w:rsidP="00E208B0">
      <w:pPr>
        <w:pStyle w:val="Prrafodelista"/>
        <w:numPr>
          <w:ilvl w:val="0"/>
          <w:numId w:val="4"/>
        </w:numPr>
        <w:suppressAutoHyphens w:val="0"/>
        <w:spacing w:after="0" w:line="240" w:lineRule="auto"/>
        <w:ind w:leftChars="0" w:left="2" w:firstLineChars="0" w:hanging="2"/>
        <w:textDirection w:val="lrTb"/>
        <w:textAlignment w:val="auto"/>
        <w:outlineLvl w:val="9"/>
        <w:rPr>
          <w:sz w:val="24"/>
          <w:szCs w:val="24"/>
          <w:lang w:val="es-CL"/>
        </w:rPr>
      </w:pPr>
      <w:r>
        <w:rPr>
          <w:sz w:val="24"/>
          <w:szCs w:val="24"/>
          <w:lang w:val="es-CL"/>
        </w:rPr>
        <w:t>Correlaciones bivariadas paramétricas y no paramétricas entre el porcentaje de asistencia a las tutorías académicas y el rendimiento académico en el curso mencionado.</w:t>
      </w:r>
    </w:p>
    <w:p w14:paraId="6510C017" w14:textId="77777777" w:rsidR="00086EC5" w:rsidRDefault="00086EC5" w:rsidP="00086EC5">
      <w:pPr>
        <w:pStyle w:val="Prrafodelista"/>
        <w:numPr>
          <w:ilvl w:val="0"/>
          <w:numId w:val="4"/>
        </w:numPr>
        <w:suppressAutoHyphens w:val="0"/>
        <w:spacing w:after="0" w:line="240" w:lineRule="auto"/>
        <w:ind w:leftChars="0" w:left="0" w:firstLineChars="0" w:hanging="2"/>
        <w:textDirection w:val="lrTb"/>
        <w:textAlignment w:val="auto"/>
        <w:outlineLvl w:val="9"/>
        <w:rPr>
          <w:sz w:val="24"/>
          <w:szCs w:val="24"/>
          <w:lang w:val="es-CL"/>
        </w:rPr>
      </w:pPr>
      <w:r>
        <w:rPr>
          <w:sz w:val="24"/>
          <w:szCs w:val="24"/>
          <w:lang w:val="es-CL"/>
        </w:rPr>
        <w:t>Obtención de indicadores referidos a la intensidad de la correlación y a su nivel de significancia estadística.</w:t>
      </w:r>
    </w:p>
    <w:p w14:paraId="4EA60F6A" w14:textId="77777777" w:rsidR="00086EC5" w:rsidRDefault="00086EC5" w:rsidP="00086EC5">
      <w:pPr>
        <w:pStyle w:val="Prrafodelista"/>
        <w:numPr>
          <w:ilvl w:val="0"/>
          <w:numId w:val="4"/>
        </w:numPr>
        <w:suppressAutoHyphens w:val="0"/>
        <w:spacing w:after="0" w:line="240" w:lineRule="auto"/>
        <w:ind w:leftChars="0" w:left="0" w:firstLineChars="0" w:hanging="2"/>
        <w:textDirection w:val="lrTb"/>
        <w:textAlignment w:val="auto"/>
        <w:outlineLvl w:val="9"/>
        <w:rPr>
          <w:sz w:val="24"/>
          <w:szCs w:val="24"/>
          <w:lang w:val="es-CL"/>
        </w:rPr>
      </w:pPr>
      <w:r>
        <w:rPr>
          <w:sz w:val="24"/>
          <w:szCs w:val="24"/>
          <w:lang w:val="es-CL"/>
        </w:rPr>
        <w:t>Obtención de gráfico bivariado con la correlación mencionada entre las variables numéricas del análisis.</w:t>
      </w:r>
    </w:p>
    <w:p w14:paraId="4656D36E" w14:textId="0684CFED" w:rsidR="00086EC5" w:rsidRPr="00E208B0" w:rsidRDefault="00086EC5" w:rsidP="00E208B0">
      <w:pPr>
        <w:pStyle w:val="Prrafodelista"/>
        <w:numPr>
          <w:ilvl w:val="0"/>
          <w:numId w:val="4"/>
        </w:numPr>
        <w:suppressAutoHyphens w:val="0"/>
        <w:spacing w:line="240" w:lineRule="auto"/>
        <w:ind w:leftChars="0" w:left="0" w:firstLineChars="0" w:hanging="2"/>
        <w:textDirection w:val="lrTb"/>
        <w:textAlignment w:val="auto"/>
        <w:outlineLvl w:val="9"/>
        <w:rPr>
          <w:sz w:val="24"/>
          <w:szCs w:val="24"/>
          <w:lang w:val="es-CL"/>
        </w:rPr>
      </w:pPr>
      <w:r>
        <w:rPr>
          <w:sz w:val="24"/>
          <w:szCs w:val="24"/>
          <w:lang w:val="es-CL"/>
        </w:rPr>
        <w:t>Escritura de resultados.</w:t>
      </w:r>
    </w:p>
    <w:p w14:paraId="0AE884C1" w14:textId="3F8E5F37" w:rsidR="00A641B3" w:rsidRDefault="00086EC5" w:rsidP="00E208B0">
      <w:pPr>
        <w:spacing w:line="240" w:lineRule="auto"/>
        <w:ind w:leftChars="0" w:left="2" w:hanging="2"/>
        <w:rPr>
          <w:sz w:val="24"/>
          <w:szCs w:val="24"/>
          <w:lang w:val="es-CL"/>
        </w:rPr>
      </w:pPr>
      <w:r>
        <w:rPr>
          <w:sz w:val="24"/>
          <w:szCs w:val="24"/>
          <w:lang w:val="es-CL"/>
        </w:rPr>
        <w:t>Por último, cabe señalar que los registros se encontraban en formato de planilla Excel, por lo que su consolidación y construcción como base de datos se efectuó, principalmente, mediante el software estadístico SPSS. Del mismo modo, la escritura de los metadatos y los outputs de resultados se obtuvieron por medio de la ejecución de este programa en particular</w:t>
      </w:r>
      <w:r w:rsidR="00E44B83">
        <w:rPr>
          <w:sz w:val="24"/>
          <w:szCs w:val="24"/>
          <w:lang w:val="es-CL"/>
        </w:rPr>
        <w:t>.</w:t>
      </w:r>
    </w:p>
    <w:p w14:paraId="61BF392D" w14:textId="01A91F7B" w:rsidR="00086EC5" w:rsidRPr="00E002A4" w:rsidRDefault="00086EC5" w:rsidP="00E002A4">
      <w:pPr>
        <w:pStyle w:val="Prrafodelista"/>
        <w:numPr>
          <w:ilvl w:val="0"/>
          <w:numId w:val="2"/>
        </w:numPr>
        <w:spacing w:after="0" w:line="240" w:lineRule="auto"/>
        <w:ind w:leftChars="0" w:firstLineChars="0"/>
        <w:rPr>
          <w:b/>
          <w:bCs/>
          <w:sz w:val="24"/>
          <w:szCs w:val="24"/>
          <w:lang w:val="es-CL"/>
        </w:rPr>
      </w:pPr>
      <w:r w:rsidRPr="006A65FD">
        <w:rPr>
          <w:b/>
          <w:bCs/>
          <w:sz w:val="24"/>
          <w:szCs w:val="24"/>
          <w:lang w:val="es-CL"/>
        </w:rPr>
        <w:t>R</w:t>
      </w:r>
      <w:r w:rsidR="006A65FD" w:rsidRPr="006A65FD">
        <w:rPr>
          <w:b/>
          <w:bCs/>
          <w:sz w:val="24"/>
          <w:szCs w:val="24"/>
          <w:lang w:val="es-CL"/>
        </w:rPr>
        <w:t>esultados</w:t>
      </w:r>
    </w:p>
    <w:p w14:paraId="00015189" w14:textId="77777777" w:rsidR="00086EC5" w:rsidRDefault="00086EC5" w:rsidP="00086EC5">
      <w:pPr>
        <w:spacing w:after="0" w:line="240" w:lineRule="auto"/>
        <w:ind w:left="0" w:hanging="2"/>
        <w:rPr>
          <w:sz w:val="24"/>
          <w:szCs w:val="24"/>
          <w:lang w:val="es-CL"/>
        </w:rPr>
      </w:pPr>
      <w:r>
        <w:rPr>
          <w:sz w:val="24"/>
          <w:szCs w:val="24"/>
          <w:lang w:val="es-CL"/>
        </w:rPr>
        <w:t>En la tabla 1 se presentan los resultados de los diagnósticos realizados en el mes de marzo a los estudiantes de primer año de la carrera de Pedagogía en Educación Diferencial, correspondiente a los instrumentos de Producción de Textos y Comprensión Lectora:</w:t>
      </w:r>
    </w:p>
    <w:p w14:paraId="4DA1B49C" w14:textId="77777777" w:rsidR="00086EC5" w:rsidRDefault="00086EC5" w:rsidP="00086EC5">
      <w:pPr>
        <w:pStyle w:val="Sinespaciado"/>
        <w:rPr>
          <w:lang w:val="es-CL"/>
        </w:rPr>
      </w:pPr>
    </w:p>
    <w:p w14:paraId="4F9A9538" w14:textId="77777777" w:rsidR="00086EC5" w:rsidRPr="00A641B3" w:rsidRDefault="00086EC5" w:rsidP="00086EC5">
      <w:pPr>
        <w:pStyle w:val="Sinespaciado"/>
        <w:rPr>
          <w:rFonts w:ascii="Times New Roman" w:hAnsi="Times New Roman" w:cs="Times New Roman"/>
          <w:b/>
          <w:bCs/>
          <w:sz w:val="16"/>
          <w:szCs w:val="16"/>
          <w:lang w:val="es-CL"/>
        </w:rPr>
      </w:pPr>
      <w:r w:rsidRPr="00A641B3">
        <w:rPr>
          <w:rFonts w:ascii="Times New Roman" w:hAnsi="Times New Roman" w:cs="Times New Roman"/>
          <w:b/>
          <w:bCs/>
          <w:sz w:val="16"/>
          <w:szCs w:val="16"/>
          <w:lang w:val="es-CL"/>
        </w:rPr>
        <w:t>Tabla 1. Resultados del diagnóstico en el área comunicativa para estudiantes de primer año en la carrera de Pedagogía en Educación Diferencial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811"/>
        <w:gridCol w:w="1242"/>
        <w:gridCol w:w="811"/>
        <w:gridCol w:w="1244"/>
        <w:gridCol w:w="1188"/>
        <w:gridCol w:w="1244"/>
      </w:tblGrid>
      <w:tr w:rsidR="00086EC5" w14:paraId="3132F6EE" w14:textId="77777777" w:rsidTr="00086EC5">
        <w:trPr>
          <w:trHeight w:val="288"/>
        </w:trPr>
        <w:tc>
          <w:tcPr>
            <w:tcW w:w="1604" w:type="pct"/>
            <w:vMerge w:val="restar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785B7728"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Área comunicativa</w:t>
            </w:r>
          </w:p>
        </w:tc>
        <w:tc>
          <w:tcPr>
            <w:tcW w:w="1066" w:type="pct"/>
            <w:gridSpan w:val="2"/>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67F7365C"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Evidencia</w:t>
            </w:r>
          </w:p>
        </w:tc>
        <w:tc>
          <w:tcPr>
            <w:tcW w:w="1067" w:type="pct"/>
            <w:gridSpan w:val="2"/>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11ED58F1"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No Evidencia</w:t>
            </w:r>
          </w:p>
        </w:tc>
        <w:tc>
          <w:tcPr>
            <w:tcW w:w="1263" w:type="pct"/>
            <w:gridSpan w:val="2"/>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5979D025"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No Se Presenta</w:t>
            </w:r>
          </w:p>
        </w:tc>
      </w:tr>
      <w:tr w:rsidR="00086EC5" w14:paraId="049D8534" w14:textId="77777777" w:rsidTr="00086EC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7D9FD" w14:textId="77777777" w:rsidR="00086EC5" w:rsidRDefault="00086EC5">
            <w:pPr>
              <w:spacing w:after="0"/>
              <w:ind w:left="0" w:hanging="2"/>
              <w:rPr>
                <w:b/>
                <w:bCs/>
                <w:color w:val="FFFFFF" w:themeColor="background1"/>
                <w:lang w:val="es-CL" w:eastAsia="en-US"/>
              </w:rPr>
            </w:pPr>
          </w:p>
        </w:tc>
        <w:tc>
          <w:tcPr>
            <w:tcW w:w="421"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78B263FF"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n</w:t>
            </w:r>
          </w:p>
        </w:tc>
        <w:tc>
          <w:tcPr>
            <w:tcW w:w="645"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6EB32A77"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Fila</w:t>
            </w:r>
          </w:p>
        </w:tc>
        <w:tc>
          <w:tcPr>
            <w:tcW w:w="421"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6A7108BF"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n</w:t>
            </w:r>
          </w:p>
        </w:tc>
        <w:tc>
          <w:tcPr>
            <w:tcW w:w="645"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0D69686C"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Fila</w:t>
            </w:r>
          </w:p>
        </w:tc>
        <w:tc>
          <w:tcPr>
            <w:tcW w:w="617"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1FD7B354"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n</w:t>
            </w:r>
          </w:p>
        </w:tc>
        <w:tc>
          <w:tcPr>
            <w:tcW w:w="646"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31076AEB"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Fila</w:t>
            </w:r>
          </w:p>
        </w:tc>
      </w:tr>
      <w:tr w:rsidR="00086EC5" w14:paraId="35440D31" w14:textId="77777777" w:rsidTr="00086EC5">
        <w:trPr>
          <w:trHeight w:val="288"/>
        </w:trPr>
        <w:tc>
          <w:tcPr>
            <w:tcW w:w="1604" w:type="pct"/>
            <w:tcBorders>
              <w:top w:val="single" w:sz="4" w:space="0" w:color="auto"/>
              <w:left w:val="single" w:sz="4" w:space="0" w:color="auto"/>
              <w:bottom w:val="single" w:sz="4" w:space="0" w:color="auto"/>
              <w:right w:val="single" w:sz="4" w:space="0" w:color="auto"/>
            </w:tcBorders>
            <w:noWrap/>
            <w:vAlign w:val="bottom"/>
            <w:hideMark/>
          </w:tcPr>
          <w:p w14:paraId="2A0BC87A" w14:textId="77777777" w:rsidR="00086EC5" w:rsidRDefault="00086EC5">
            <w:pPr>
              <w:spacing w:after="0" w:line="240" w:lineRule="auto"/>
              <w:ind w:left="0" w:hanging="2"/>
              <w:rPr>
                <w:color w:val="000000"/>
                <w:lang w:val="es-CL"/>
              </w:rPr>
            </w:pPr>
            <w:r>
              <w:rPr>
                <w:color w:val="000000"/>
                <w:lang w:val="es-CL"/>
              </w:rPr>
              <w:t>Producción de textos</w:t>
            </w:r>
          </w:p>
        </w:tc>
        <w:tc>
          <w:tcPr>
            <w:tcW w:w="421" w:type="pct"/>
            <w:tcBorders>
              <w:top w:val="single" w:sz="4" w:space="0" w:color="auto"/>
              <w:left w:val="single" w:sz="4" w:space="0" w:color="auto"/>
              <w:bottom w:val="single" w:sz="4" w:space="0" w:color="auto"/>
              <w:right w:val="single" w:sz="4" w:space="0" w:color="auto"/>
            </w:tcBorders>
            <w:noWrap/>
            <w:vAlign w:val="center"/>
            <w:hideMark/>
          </w:tcPr>
          <w:p w14:paraId="2116A6B8" w14:textId="77777777" w:rsidR="00086EC5" w:rsidRDefault="00086EC5">
            <w:pPr>
              <w:spacing w:after="0" w:line="240" w:lineRule="auto"/>
              <w:ind w:left="0" w:hanging="2"/>
              <w:jc w:val="center"/>
              <w:rPr>
                <w:color w:val="000000"/>
                <w:lang w:val="es-CL"/>
              </w:rPr>
            </w:pPr>
            <w:r>
              <w:rPr>
                <w:color w:val="000000"/>
                <w:lang w:val="es-CL"/>
              </w:rPr>
              <w:t>40</w:t>
            </w: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7D06B5BC" w14:textId="77777777" w:rsidR="00086EC5" w:rsidRDefault="00086EC5">
            <w:pPr>
              <w:spacing w:after="0" w:line="240" w:lineRule="auto"/>
              <w:ind w:left="0" w:hanging="2"/>
              <w:jc w:val="center"/>
              <w:rPr>
                <w:color w:val="000000"/>
                <w:lang w:val="es-CL"/>
              </w:rPr>
            </w:pPr>
            <w:r>
              <w:rPr>
                <w:color w:val="000000"/>
                <w:lang w:val="es-CL"/>
              </w:rPr>
              <w:t>61,50%</w:t>
            </w:r>
          </w:p>
        </w:tc>
        <w:tc>
          <w:tcPr>
            <w:tcW w:w="421" w:type="pct"/>
            <w:tcBorders>
              <w:top w:val="single" w:sz="4" w:space="0" w:color="auto"/>
              <w:left w:val="single" w:sz="4" w:space="0" w:color="auto"/>
              <w:bottom w:val="single" w:sz="4" w:space="0" w:color="auto"/>
              <w:right w:val="single" w:sz="4" w:space="0" w:color="auto"/>
            </w:tcBorders>
            <w:noWrap/>
            <w:vAlign w:val="center"/>
            <w:hideMark/>
          </w:tcPr>
          <w:p w14:paraId="0576E5C9" w14:textId="77777777" w:rsidR="00086EC5" w:rsidRDefault="00086EC5">
            <w:pPr>
              <w:spacing w:after="0" w:line="240" w:lineRule="auto"/>
              <w:ind w:left="0" w:hanging="2"/>
              <w:jc w:val="center"/>
              <w:rPr>
                <w:color w:val="000000"/>
                <w:lang w:val="es-CL"/>
              </w:rPr>
            </w:pPr>
            <w:r>
              <w:rPr>
                <w:color w:val="000000"/>
                <w:lang w:val="es-CL"/>
              </w:rPr>
              <w:t>25</w:t>
            </w: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3D5A067E" w14:textId="77777777" w:rsidR="00086EC5" w:rsidRDefault="00086EC5">
            <w:pPr>
              <w:spacing w:after="0" w:line="240" w:lineRule="auto"/>
              <w:ind w:left="0" w:hanging="2"/>
              <w:jc w:val="center"/>
              <w:rPr>
                <w:color w:val="000000"/>
                <w:lang w:val="es-CL"/>
              </w:rPr>
            </w:pPr>
            <w:r>
              <w:rPr>
                <w:color w:val="000000"/>
                <w:lang w:val="es-CL"/>
              </w:rPr>
              <w:t>38,50%</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1B7EBA3" w14:textId="77777777" w:rsidR="00086EC5" w:rsidRDefault="00086EC5">
            <w:pPr>
              <w:spacing w:after="0" w:line="240" w:lineRule="auto"/>
              <w:ind w:left="0" w:hanging="2"/>
              <w:jc w:val="center"/>
              <w:rPr>
                <w:color w:val="000000"/>
                <w:lang w:val="es-CL"/>
              </w:rPr>
            </w:pPr>
            <w:r>
              <w:rPr>
                <w:color w:val="000000"/>
                <w:lang w:val="es-CL"/>
              </w:rPr>
              <w:t>0</w:t>
            </w:r>
          </w:p>
        </w:tc>
        <w:tc>
          <w:tcPr>
            <w:tcW w:w="646" w:type="pct"/>
            <w:tcBorders>
              <w:top w:val="single" w:sz="4" w:space="0" w:color="auto"/>
              <w:left w:val="single" w:sz="4" w:space="0" w:color="auto"/>
              <w:bottom w:val="single" w:sz="4" w:space="0" w:color="auto"/>
              <w:right w:val="single" w:sz="4" w:space="0" w:color="auto"/>
            </w:tcBorders>
            <w:noWrap/>
            <w:vAlign w:val="center"/>
            <w:hideMark/>
          </w:tcPr>
          <w:p w14:paraId="47D79A37" w14:textId="77777777" w:rsidR="00086EC5" w:rsidRDefault="00086EC5">
            <w:pPr>
              <w:spacing w:after="0" w:line="240" w:lineRule="auto"/>
              <w:ind w:left="0" w:hanging="2"/>
              <w:jc w:val="center"/>
              <w:rPr>
                <w:color w:val="000000"/>
                <w:lang w:val="es-CL"/>
              </w:rPr>
            </w:pPr>
            <w:r>
              <w:rPr>
                <w:color w:val="000000"/>
                <w:lang w:val="es-CL"/>
              </w:rPr>
              <w:t>0,00%</w:t>
            </w:r>
          </w:p>
        </w:tc>
      </w:tr>
      <w:tr w:rsidR="00086EC5" w14:paraId="64BAF049" w14:textId="77777777" w:rsidTr="00086EC5">
        <w:trPr>
          <w:trHeight w:val="288"/>
        </w:trPr>
        <w:tc>
          <w:tcPr>
            <w:tcW w:w="1604" w:type="pct"/>
            <w:tcBorders>
              <w:top w:val="single" w:sz="4" w:space="0" w:color="auto"/>
              <w:left w:val="single" w:sz="4" w:space="0" w:color="auto"/>
              <w:bottom w:val="single" w:sz="4" w:space="0" w:color="auto"/>
              <w:right w:val="single" w:sz="4" w:space="0" w:color="auto"/>
            </w:tcBorders>
            <w:noWrap/>
            <w:vAlign w:val="bottom"/>
            <w:hideMark/>
          </w:tcPr>
          <w:p w14:paraId="0EBAE925" w14:textId="77777777" w:rsidR="00086EC5" w:rsidRDefault="00086EC5">
            <w:pPr>
              <w:spacing w:after="0" w:line="240" w:lineRule="auto"/>
              <w:ind w:left="0" w:hanging="2"/>
              <w:rPr>
                <w:color w:val="000000"/>
                <w:lang w:val="es-CL"/>
              </w:rPr>
            </w:pPr>
            <w:r>
              <w:rPr>
                <w:color w:val="000000"/>
                <w:lang w:val="es-CL"/>
              </w:rPr>
              <w:t>Comprensión Lectora</w:t>
            </w:r>
          </w:p>
        </w:tc>
        <w:tc>
          <w:tcPr>
            <w:tcW w:w="421" w:type="pct"/>
            <w:tcBorders>
              <w:top w:val="single" w:sz="4" w:space="0" w:color="auto"/>
              <w:left w:val="single" w:sz="4" w:space="0" w:color="auto"/>
              <w:bottom w:val="single" w:sz="4" w:space="0" w:color="auto"/>
              <w:right w:val="single" w:sz="4" w:space="0" w:color="auto"/>
            </w:tcBorders>
            <w:noWrap/>
            <w:vAlign w:val="center"/>
            <w:hideMark/>
          </w:tcPr>
          <w:p w14:paraId="338EE9D6" w14:textId="77777777" w:rsidR="00086EC5" w:rsidRDefault="00086EC5">
            <w:pPr>
              <w:spacing w:after="0" w:line="240" w:lineRule="auto"/>
              <w:ind w:left="0" w:hanging="2"/>
              <w:jc w:val="center"/>
              <w:rPr>
                <w:color w:val="000000"/>
                <w:lang w:val="es-CL"/>
              </w:rPr>
            </w:pPr>
            <w:r>
              <w:rPr>
                <w:color w:val="000000"/>
                <w:lang w:val="es-CL"/>
              </w:rPr>
              <w:t>29</w:t>
            </w: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0CAD95D4" w14:textId="77777777" w:rsidR="00086EC5" w:rsidRDefault="00086EC5">
            <w:pPr>
              <w:spacing w:after="0" w:line="240" w:lineRule="auto"/>
              <w:ind w:left="0" w:hanging="2"/>
              <w:jc w:val="center"/>
              <w:rPr>
                <w:color w:val="000000"/>
                <w:lang w:val="es-CL"/>
              </w:rPr>
            </w:pPr>
            <w:r>
              <w:rPr>
                <w:color w:val="000000"/>
                <w:lang w:val="es-CL"/>
              </w:rPr>
              <w:t>44,60%</w:t>
            </w:r>
          </w:p>
        </w:tc>
        <w:tc>
          <w:tcPr>
            <w:tcW w:w="421" w:type="pct"/>
            <w:tcBorders>
              <w:top w:val="single" w:sz="4" w:space="0" w:color="auto"/>
              <w:left w:val="single" w:sz="4" w:space="0" w:color="auto"/>
              <w:bottom w:val="single" w:sz="4" w:space="0" w:color="auto"/>
              <w:right w:val="single" w:sz="4" w:space="0" w:color="auto"/>
            </w:tcBorders>
            <w:noWrap/>
            <w:vAlign w:val="center"/>
            <w:hideMark/>
          </w:tcPr>
          <w:p w14:paraId="7A59ACBF" w14:textId="77777777" w:rsidR="00086EC5" w:rsidRDefault="00086EC5">
            <w:pPr>
              <w:spacing w:after="0" w:line="240" w:lineRule="auto"/>
              <w:ind w:left="0" w:hanging="2"/>
              <w:jc w:val="center"/>
              <w:rPr>
                <w:color w:val="000000"/>
                <w:lang w:val="es-CL"/>
              </w:rPr>
            </w:pPr>
            <w:r>
              <w:rPr>
                <w:color w:val="000000"/>
                <w:lang w:val="es-CL"/>
              </w:rPr>
              <w:t>31</w:t>
            </w: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5D450735" w14:textId="77777777" w:rsidR="00086EC5" w:rsidRDefault="00086EC5">
            <w:pPr>
              <w:spacing w:after="0" w:line="240" w:lineRule="auto"/>
              <w:ind w:left="0" w:hanging="2"/>
              <w:jc w:val="center"/>
              <w:rPr>
                <w:color w:val="000000"/>
                <w:lang w:val="es-CL"/>
              </w:rPr>
            </w:pPr>
            <w:r>
              <w:rPr>
                <w:color w:val="000000"/>
                <w:lang w:val="es-CL"/>
              </w:rPr>
              <w:t>47,70%</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C3264C8" w14:textId="77777777" w:rsidR="00086EC5" w:rsidRDefault="00086EC5">
            <w:pPr>
              <w:spacing w:after="0" w:line="240" w:lineRule="auto"/>
              <w:ind w:left="0" w:hanging="2"/>
              <w:jc w:val="center"/>
              <w:rPr>
                <w:color w:val="000000"/>
                <w:lang w:val="es-CL"/>
              </w:rPr>
            </w:pPr>
            <w:r>
              <w:rPr>
                <w:color w:val="000000"/>
                <w:lang w:val="es-CL"/>
              </w:rPr>
              <w:t>5</w:t>
            </w:r>
          </w:p>
        </w:tc>
        <w:tc>
          <w:tcPr>
            <w:tcW w:w="646" w:type="pct"/>
            <w:tcBorders>
              <w:top w:val="single" w:sz="4" w:space="0" w:color="auto"/>
              <w:left w:val="single" w:sz="4" w:space="0" w:color="auto"/>
              <w:bottom w:val="single" w:sz="4" w:space="0" w:color="auto"/>
              <w:right w:val="single" w:sz="4" w:space="0" w:color="auto"/>
            </w:tcBorders>
            <w:noWrap/>
            <w:vAlign w:val="center"/>
            <w:hideMark/>
          </w:tcPr>
          <w:p w14:paraId="74510F0A" w14:textId="77777777" w:rsidR="00086EC5" w:rsidRDefault="00086EC5">
            <w:pPr>
              <w:spacing w:after="0" w:line="240" w:lineRule="auto"/>
              <w:ind w:left="0" w:hanging="2"/>
              <w:jc w:val="center"/>
              <w:rPr>
                <w:color w:val="000000"/>
                <w:lang w:val="es-CL"/>
              </w:rPr>
            </w:pPr>
            <w:r>
              <w:rPr>
                <w:color w:val="000000"/>
                <w:lang w:val="es-CL"/>
              </w:rPr>
              <w:t>7,70%</w:t>
            </w:r>
          </w:p>
        </w:tc>
      </w:tr>
    </w:tbl>
    <w:p w14:paraId="72A111E2" w14:textId="77777777" w:rsidR="00086EC5" w:rsidRPr="00A641B3" w:rsidRDefault="00086EC5" w:rsidP="00086EC5">
      <w:pPr>
        <w:spacing w:after="0"/>
        <w:ind w:left="0" w:hanging="2"/>
        <w:rPr>
          <w:rFonts w:eastAsiaTheme="minorHAnsi"/>
          <w:sz w:val="16"/>
          <w:szCs w:val="16"/>
          <w:lang w:val="es-CL" w:eastAsia="en-US"/>
        </w:rPr>
      </w:pPr>
      <w:r w:rsidRPr="00A641B3">
        <w:rPr>
          <w:sz w:val="16"/>
          <w:szCs w:val="16"/>
          <w:lang w:val="es-CL"/>
        </w:rPr>
        <w:t>N = 65 estudiantes de primer año de la carrera que rindieron ambos diagnósticos.</w:t>
      </w:r>
    </w:p>
    <w:p w14:paraId="2838047D" w14:textId="77777777" w:rsidR="00086EC5" w:rsidRDefault="00086EC5" w:rsidP="00086EC5">
      <w:pPr>
        <w:pStyle w:val="Sinespaciado"/>
        <w:rPr>
          <w:lang w:val="es-CL"/>
        </w:rPr>
      </w:pPr>
    </w:p>
    <w:p w14:paraId="0810ECC8" w14:textId="567D8D7D" w:rsidR="00086EC5" w:rsidRDefault="00086EC5" w:rsidP="00E002A4">
      <w:pPr>
        <w:spacing w:line="240" w:lineRule="auto"/>
        <w:ind w:leftChars="0" w:left="0" w:firstLineChars="0" w:firstLine="0"/>
        <w:rPr>
          <w:sz w:val="24"/>
          <w:szCs w:val="24"/>
          <w:lang w:val="es-CL"/>
        </w:rPr>
      </w:pPr>
      <w:r>
        <w:rPr>
          <w:sz w:val="24"/>
          <w:szCs w:val="24"/>
          <w:lang w:val="es-CL"/>
        </w:rPr>
        <w:t>Como se puede observar en los datos presentados en la tabla</w:t>
      </w:r>
      <w:r w:rsidR="00E44B83">
        <w:rPr>
          <w:sz w:val="24"/>
          <w:szCs w:val="24"/>
          <w:lang w:val="es-CL"/>
        </w:rPr>
        <w:t xml:space="preserve"> 1</w:t>
      </w:r>
      <w:r>
        <w:rPr>
          <w:sz w:val="24"/>
          <w:szCs w:val="24"/>
          <w:lang w:val="es-CL"/>
        </w:rPr>
        <w:t>, un total de 65 estudiantes de la carrera realizaron ambas aplicaciones y con los siguientes resultados: un 61,5% de los/as evidenció la competencia de redacción, mientras que sólo un 44,6% lo hizo en el caso de la competencia de lectura. De esta manera, se evidencia que un 38,5% no evidenció la competencia en Producción de Textos, mientras que un 47,7% no lo hizo para en Comprensión Lectora.</w:t>
      </w:r>
    </w:p>
    <w:p w14:paraId="1D0904CC" w14:textId="0FA80103" w:rsidR="005C025A" w:rsidRDefault="00086EC5" w:rsidP="00705056">
      <w:pPr>
        <w:spacing w:line="240" w:lineRule="auto"/>
        <w:ind w:left="0" w:hanging="2"/>
        <w:rPr>
          <w:sz w:val="24"/>
          <w:szCs w:val="24"/>
          <w:lang w:val="es-CL"/>
        </w:rPr>
      </w:pPr>
      <w:r>
        <w:rPr>
          <w:sz w:val="24"/>
          <w:szCs w:val="24"/>
          <w:lang w:val="es-CL"/>
        </w:rPr>
        <w:t>Junto a ello, en la tabla 2 se presentan la distribución de los estudiantes inscritos en tutorías académicas semestrales en el área comunicativa, según el resultado diagnóstico obtenido:</w:t>
      </w:r>
    </w:p>
    <w:p w14:paraId="3B3B9A6B" w14:textId="77777777" w:rsidR="00705056" w:rsidRDefault="00705056" w:rsidP="00705056">
      <w:pPr>
        <w:spacing w:line="240" w:lineRule="auto"/>
        <w:ind w:left="0" w:hanging="2"/>
        <w:rPr>
          <w:sz w:val="24"/>
          <w:szCs w:val="24"/>
          <w:lang w:val="es-CL"/>
        </w:rPr>
      </w:pPr>
    </w:p>
    <w:p w14:paraId="3543E1AC" w14:textId="77777777" w:rsidR="00086EC5" w:rsidRPr="00A641B3" w:rsidRDefault="00086EC5" w:rsidP="00086EC5">
      <w:pPr>
        <w:pStyle w:val="Sinespaciado"/>
        <w:jc w:val="both"/>
        <w:rPr>
          <w:rFonts w:ascii="Times New Roman" w:hAnsi="Times New Roman" w:cs="Times New Roman"/>
          <w:b/>
          <w:bCs/>
          <w:sz w:val="16"/>
          <w:szCs w:val="16"/>
          <w:lang w:val="es-CL"/>
        </w:rPr>
      </w:pPr>
      <w:r w:rsidRPr="00A641B3">
        <w:rPr>
          <w:rFonts w:ascii="Times New Roman" w:hAnsi="Times New Roman" w:cs="Times New Roman"/>
          <w:b/>
          <w:bCs/>
          <w:sz w:val="16"/>
          <w:szCs w:val="16"/>
          <w:lang w:val="es-CL"/>
        </w:rPr>
        <w:lastRenderedPageBreak/>
        <w:t>Tabla 2. Inscripción en tutoría académica semestral de los estudiantes de primer año en la carrera de Pedagogía en Educación Diferencial, según resultado diagnóstico en el área comunicativa.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229"/>
        <w:gridCol w:w="715"/>
        <w:gridCol w:w="931"/>
        <w:gridCol w:w="715"/>
        <w:gridCol w:w="931"/>
        <w:gridCol w:w="761"/>
        <w:gridCol w:w="931"/>
        <w:gridCol w:w="1517"/>
      </w:tblGrid>
      <w:tr w:rsidR="00086EC5" w14:paraId="55DB50B4" w14:textId="77777777" w:rsidTr="00086EC5">
        <w:trPr>
          <w:trHeight w:val="288"/>
        </w:trPr>
        <w:tc>
          <w:tcPr>
            <w:tcW w:w="1616" w:type="pct"/>
            <w:gridSpan w:val="2"/>
            <w:vMerge w:val="restar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08355CCD"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Inscripción en tutoría académica</w:t>
            </w:r>
          </w:p>
          <w:p w14:paraId="0235EBBC"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semestral</w:t>
            </w:r>
          </w:p>
        </w:tc>
        <w:tc>
          <w:tcPr>
            <w:tcW w:w="847" w:type="pct"/>
            <w:gridSpan w:val="2"/>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69A134CE" w14:textId="77777777" w:rsidR="00086EC5" w:rsidRDefault="00086EC5">
            <w:pPr>
              <w:spacing w:after="0" w:line="240" w:lineRule="auto"/>
              <w:ind w:left="0" w:hanging="2"/>
              <w:jc w:val="center"/>
              <w:rPr>
                <w:color w:val="000000"/>
                <w:lang w:val="es-CL"/>
              </w:rPr>
            </w:pPr>
            <w:r>
              <w:rPr>
                <w:b/>
                <w:bCs/>
                <w:color w:val="FFFFFF" w:themeColor="background1"/>
                <w:lang w:val="es-CL"/>
              </w:rPr>
              <w:t>Evidencia</w:t>
            </w:r>
          </w:p>
        </w:tc>
        <w:tc>
          <w:tcPr>
            <w:tcW w:w="848" w:type="pct"/>
            <w:gridSpan w:val="2"/>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6873B4CD" w14:textId="77777777" w:rsidR="00086EC5" w:rsidRDefault="00086EC5">
            <w:pPr>
              <w:spacing w:after="0" w:line="240" w:lineRule="auto"/>
              <w:ind w:left="0" w:hanging="2"/>
              <w:jc w:val="center"/>
              <w:rPr>
                <w:color w:val="000000"/>
                <w:lang w:val="es-CL"/>
              </w:rPr>
            </w:pPr>
            <w:r>
              <w:rPr>
                <w:b/>
                <w:bCs/>
                <w:color w:val="FFFFFF" w:themeColor="background1"/>
                <w:lang w:val="es-CL"/>
              </w:rPr>
              <w:t>No Evidencia</w:t>
            </w:r>
          </w:p>
        </w:tc>
        <w:tc>
          <w:tcPr>
            <w:tcW w:w="849" w:type="pct"/>
            <w:gridSpan w:val="2"/>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39EC17E1" w14:textId="77777777" w:rsidR="00086EC5" w:rsidRDefault="00086EC5">
            <w:pPr>
              <w:spacing w:after="0" w:line="240" w:lineRule="auto"/>
              <w:ind w:left="0" w:hanging="2"/>
              <w:jc w:val="center"/>
              <w:rPr>
                <w:color w:val="000000"/>
                <w:lang w:val="es-CL"/>
              </w:rPr>
            </w:pPr>
            <w:r>
              <w:rPr>
                <w:b/>
                <w:bCs/>
                <w:color w:val="FFFFFF" w:themeColor="background1"/>
                <w:lang w:val="es-CL"/>
              </w:rPr>
              <w:t>No Se Presenta</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00B050"/>
            <w:hideMark/>
          </w:tcPr>
          <w:p w14:paraId="315CF2CC"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Total estudiantes</w:t>
            </w:r>
          </w:p>
        </w:tc>
      </w:tr>
      <w:tr w:rsidR="00086EC5" w14:paraId="49D6AB20" w14:textId="77777777" w:rsidTr="00086EC5">
        <w:trPr>
          <w:trHeight w:val="28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B3E600" w14:textId="77777777" w:rsidR="00086EC5" w:rsidRDefault="00086EC5">
            <w:pPr>
              <w:spacing w:after="0"/>
              <w:ind w:left="0" w:hanging="2"/>
              <w:rPr>
                <w:b/>
                <w:bCs/>
                <w:color w:val="FFFFFF" w:themeColor="background1"/>
                <w:lang w:val="es-CL" w:eastAsia="en-US"/>
              </w:rPr>
            </w:pPr>
          </w:p>
        </w:tc>
        <w:tc>
          <w:tcPr>
            <w:tcW w:w="402"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658B7B52" w14:textId="77777777" w:rsidR="00086EC5" w:rsidRDefault="00086EC5">
            <w:pPr>
              <w:spacing w:after="0" w:line="240" w:lineRule="auto"/>
              <w:ind w:left="0" w:hanging="2"/>
              <w:jc w:val="center"/>
              <w:rPr>
                <w:color w:val="000000"/>
                <w:lang w:val="es-CL"/>
              </w:rPr>
            </w:pPr>
            <w:r>
              <w:rPr>
                <w:b/>
                <w:bCs/>
                <w:color w:val="FFFFFF" w:themeColor="background1"/>
                <w:lang w:val="es-CL"/>
              </w:rPr>
              <w:t>n</w:t>
            </w:r>
          </w:p>
        </w:tc>
        <w:tc>
          <w:tcPr>
            <w:tcW w:w="445"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3306D327" w14:textId="77777777" w:rsidR="00086EC5" w:rsidRDefault="00086EC5">
            <w:pPr>
              <w:spacing w:after="0" w:line="240" w:lineRule="auto"/>
              <w:ind w:left="0" w:hanging="2"/>
              <w:jc w:val="center"/>
              <w:rPr>
                <w:color w:val="000000"/>
                <w:lang w:val="es-CL"/>
              </w:rPr>
            </w:pPr>
            <w:r>
              <w:rPr>
                <w:b/>
                <w:bCs/>
                <w:color w:val="FFFFFF" w:themeColor="background1"/>
                <w:lang w:val="es-CL"/>
              </w:rPr>
              <w:t>% Fila</w:t>
            </w:r>
          </w:p>
        </w:tc>
        <w:tc>
          <w:tcPr>
            <w:tcW w:w="402"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27DF5B42" w14:textId="77777777" w:rsidR="00086EC5" w:rsidRDefault="00086EC5">
            <w:pPr>
              <w:spacing w:after="0" w:line="240" w:lineRule="auto"/>
              <w:ind w:left="0" w:hanging="2"/>
              <w:jc w:val="center"/>
              <w:rPr>
                <w:color w:val="000000"/>
                <w:lang w:val="es-CL"/>
              </w:rPr>
            </w:pPr>
            <w:r>
              <w:rPr>
                <w:b/>
                <w:bCs/>
                <w:color w:val="FFFFFF" w:themeColor="background1"/>
                <w:lang w:val="es-CL"/>
              </w:rPr>
              <w:t>n</w:t>
            </w:r>
          </w:p>
        </w:tc>
        <w:tc>
          <w:tcPr>
            <w:tcW w:w="446"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3EBCAF85" w14:textId="77777777" w:rsidR="00086EC5" w:rsidRDefault="00086EC5">
            <w:pPr>
              <w:spacing w:after="0" w:line="240" w:lineRule="auto"/>
              <w:ind w:left="0" w:hanging="2"/>
              <w:rPr>
                <w:color w:val="000000"/>
                <w:lang w:val="es-CL"/>
              </w:rPr>
            </w:pPr>
            <w:r>
              <w:rPr>
                <w:b/>
                <w:bCs/>
                <w:color w:val="FFFFFF" w:themeColor="background1"/>
                <w:lang w:val="es-CL"/>
              </w:rPr>
              <w:t>% Fila</w:t>
            </w:r>
          </w:p>
        </w:tc>
        <w:tc>
          <w:tcPr>
            <w:tcW w:w="403"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67A65229" w14:textId="77777777" w:rsidR="00086EC5" w:rsidRDefault="00086EC5">
            <w:pPr>
              <w:spacing w:after="0" w:line="240" w:lineRule="auto"/>
              <w:ind w:left="0" w:hanging="2"/>
              <w:jc w:val="center"/>
              <w:rPr>
                <w:color w:val="000000"/>
                <w:lang w:val="es-CL"/>
              </w:rPr>
            </w:pPr>
            <w:r>
              <w:rPr>
                <w:b/>
                <w:bCs/>
                <w:color w:val="FFFFFF" w:themeColor="background1"/>
                <w:lang w:val="es-CL"/>
              </w:rPr>
              <w:t>n</w:t>
            </w:r>
          </w:p>
        </w:tc>
        <w:tc>
          <w:tcPr>
            <w:tcW w:w="446" w:type="pc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72AAEEB8" w14:textId="77777777" w:rsidR="00086EC5" w:rsidRDefault="00086EC5">
            <w:pPr>
              <w:spacing w:after="0" w:line="240" w:lineRule="auto"/>
              <w:ind w:left="0" w:hanging="2"/>
              <w:jc w:val="center"/>
              <w:rPr>
                <w:color w:val="000000"/>
                <w:lang w:val="es-CL"/>
              </w:rPr>
            </w:pPr>
            <w:r>
              <w:rPr>
                <w:b/>
                <w:bCs/>
                <w:color w:val="FFFFFF" w:themeColor="background1"/>
                <w:lang w:val="es-CL"/>
              </w:rPr>
              <w:t>% Fila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50467" w14:textId="77777777" w:rsidR="00086EC5" w:rsidRDefault="00086EC5">
            <w:pPr>
              <w:spacing w:after="0"/>
              <w:ind w:left="0" w:hanging="2"/>
              <w:rPr>
                <w:b/>
                <w:bCs/>
                <w:color w:val="FFFFFF" w:themeColor="background1"/>
                <w:lang w:val="es-CL" w:eastAsia="en-US"/>
              </w:rPr>
            </w:pPr>
          </w:p>
        </w:tc>
      </w:tr>
      <w:tr w:rsidR="00086EC5" w14:paraId="091D4479" w14:textId="77777777" w:rsidTr="00086EC5">
        <w:trPr>
          <w:trHeight w:val="288"/>
        </w:trPr>
        <w:tc>
          <w:tcPr>
            <w:tcW w:w="464" w:type="pct"/>
            <w:vMerge w:val="restart"/>
            <w:tcBorders>
              <w:top w:val="single" w:sz="4" w:space="0" w:color="auto"/>
              <w:left w:val="single" w:sz="4" w:space="0" w:color="auto"/>
              <w:bottom w:val="single" w:sz="4" w:space="0" w:color="auto"/>
              <w:right w:val="single" w:sz="4" w:space="0" w:color="auto"/>
            </w:tcBorders>
            <w:noWrap/>
            <w:vAlign w:val="center"/>
            <w:hideMark/>
          </w:tcPr>
          <w:p w14:paraId="4B6FBDF2" w14:textId="77777777" w:rsidR="00086EC5" w:rsidRDefault="00086EC5">
            <w:pPr>
              <w:spacing w:after="0" w:line="240" w:lineRule="auto"/>
              <w:ind w:left="0" w:hanging="2"/>
              <w:jc w:val="center"/>
              <w:rPr>
                <w:color w:val="000000"/>
                <w:lang w:val="es-CL"/>
              </w:rPr>
            </w:pPr>
            <w:r>
              <w:rPr>
                <w:color w:val="000000"/>
                <w:lang w:val="es-CL"/>
              </w:rPr>
              <w:t>Sí</w:t>
            </w:r>
          </w:p>
        </w:tc>
        <w:tc>
          <w:tcPr>
            <w:tcW w:w="1152" w:type="pct"/>
            <w:tcBorders>
              <w:top w:val="single" w:sz="4" w:space="0" w:color="auto"/>
              <w:left w:val="single" w:sz="4" w:space="0" w:color="auto"/>
              <w:bottom w:val="single" w:sz="4" w:space="0" w:color="auto"/>
              <w:right w:val="single" w:sz="4" w:space="0" w:color="auto"/>
            </w:tcBorders>
            <w:noWrap/>
            <w:vAlign w:val="bottom"/>
            <w:hideMark/>
          </w:tcPr>
          <w:p w14:paraId="18D6C628" w14:textId="77777777" w:rsidR="00086EC5" w:rsidRDefault="00086EC5">
            <w:pPr>
              <w:spacing w:after="0" w:line="240" w:lineRule="auto"/>
              <w:ind w:left="0" w:hanging="2"/>
              <w:jc w:val="center"/>
              <w:rPr>
                <w:color w:val="000000"/>
                <w:lang w:val="es-CL"/>
              </w:rPr>
            </w:pPr>
            <w:r>
              <w:rPr>
                <w:color w:val="000000"/>
                <w:lang w:val="es-CL"/>
              </w:rPr>
              <w:t>Producción de textos</w:t>
            </w:r>
          </w:p>
        </w:tc>
        <w:tc>
          <w:tcPr>
            <w:tcW w:w="402" w:type="pct"/>
            <w:tcBorders>
              <w:top w:val="single" w:sz="4" w:space="0" w:color="auto"/>
              <w:left w:val="single" w:sz="4" w:space="0" w:color="auto"/>
              <w:bottom w:val="single" w:sz="4" w:space="0" w:color="auto"/>
              <w:right w:val="single" w:sz="4" w:space="0" w:color="auto"/>
            </w:tcBorders>
            <w:noWrap/>
            <w:vAlign w:val="bottom"/>
            <w:hideMark/>
          </w:tcPr>
          <w:p w14:paraId="027CACD3" w14:textId="77777777" w:rsidR="00086EC5" w:rsidRDefault="00086EC5">
            <w:pPr>
              <w:spacing w:after="0" w:line="240" w:lineRule="auto"/>
              <w:ind w:left="0" w:hanging="2"/>
              <w:jc w:val="center"/>
              <w:rPr>
                <w:color w:val="000000"/>
                <w:lang w:val="es-CL"/>
              </w:rPr>
            </w:pPr>
            <w:r>
              <w:rPr>
                <w:color w:val="000000"/>
                <w:lang w:val="es-CL"/>
              </w:rPr>
              <w:t>9</w:t>
            </w:r>
          </w:p>
        </w:tc>
        <w:tc>
          <w:tcPr>
            <w:tcW w:w="445" w:type="pct"/>
            <w:tcBorders>
              <w:top w:val="single" w:sz="4" w:space="0" w:color="auto"/>
              <w:left w:val="single" w:sz="4" w:space="0" w:color="auto"/>
              <w:bottom w:val="single" w:sz="4" w:space="0" w:color="auto"/>
              <w:right w:val="single" w:sz="4" w:space="0" w:color="auto"/>
            </w:tcBorders>
            <w:noWrap/>
            <w:vAlign w:val="bottom"/>
            <w:hideMark/>
          </w:tcPr>
          <w:p w14:paraId="03FEC84A" w14:textId="77777777" w:rsidR="00086EC5" w:rsidRDefault="00086EC5">
            <w:pPr>
              <w:spacing w:after="0" w:line="240" w:lineRule="auto"/>
              <w:ind w:left="0" w:hanging="2"/>
              <w:jc w:val="center"/>
              <w:rPr>
                <w:color w:val="000000"/>
                <w:lang w:val="es-CL"/>
              </w:rPr>
            </w:pPr>
            <w:r>
              <w:rPr>
                <w:color w:val="000000"/>
                <w:lang w:val="es-CL"/>
              </w:rPr>
              <w:t>34,60%</w:t>
            </w:r>
          </w:p>
        </w:tc>
        <w:tc>
          <w:tcPr>
            <w:tcW w:w="402" w:type="pct"/>
            <w:tcBorders>
              <w:top w:val="single" w:sz="4" w:space="0" w:color="auto"/>
              <w:left w:val="single" w:sz="4" w:space="0" w:color="auto"/>
              <w:bottom w:val="single" w:sz="4" w:space="0" w:color="auto"/>
              <w:right w:val="single" w:sz="4" w:space="0" w:color="auto"/>
            </w:tcBorders>
            <w:noWrap/>
            <w:vAlign w:val="bottom"/>
            <w:hideMark/>
          </w:tcPr>
          <w:p w14:paraId="605663C0" w14:textId="77777777" w:rsidR="00086EC5" w:rsidRDefault="00086EC5">
            <w:pPr>
              <w:spacing w:after="0" w:line="240" w:lineRule="auto"/>
              <w:ind w:left="0" w:hanging="2"/>
              <w:jc w:val="center"/>
              <w:rPr>
                <w:color w:val="000000"/>
                <w:lang w:val="es-CL"/>
              </w:rPr>
            </w:pPr>
            <w:r>
              <w:rPr>
                <w:color w:val="000000"/>
                <w:lang w:val="es-CL"/>
              </w:rPr>
              <w:t>17</w:t>
            </w:r>
          </w:p>
        </w:tc>
        <w:tc>
          <w:tcPr>
            <w:tcW w:w="446" w:type="pct"/>
            <w:tcBorders>
              <w:top w:val="single" w:sz="4" w:space="0" w:color="auto"/>
              <w:left w:val="single" w:sz="4" w:space="0" w:color="auto"/>
              <w:bottom w:val="single" w:sz="4" w:space="0" w:color="auto"/>
              <w:right w:val="single" w:sz="4" w:space="0" w:color="auto"/>
            </w:tcBorders>
            <w:noWrap/>
            <w:vAlign w:val="bottom"/>
            <w:hideMark/>
          </w:tcPr>
          <w:p w14:paraId="6D3D954E" w14:textId="77777777" w:rsidR="00086EC5" w:rsidRDefault="00086EC5">
            <w:pPr>
              <w:spacing w:after="0" w:line="240" w:lineRule="auto"/>
              <w:ind w:left="0" w:hanging="2"/>
              <w:jc w:val="right"/>
              <w:rPr>
                <w:color w:val="000000"/>
                <w:lang w:val="es-CL"/>
              </w:rPr>
            </w:pPr>
            <w:r>
              <w:rPr>
                <w:color w:val="000000"/>
                <w:lang w:val="es-CL"/>
              </w:rPr>
              <w:t>65,40%</w:t>
            </w:r>
          </w:p>
        </w:tc>
        <w:tc>
          <w:tcPr>
            <w:tcW w:w="403" w:type="pct"/>
            <w:tcBorders>
              <w:top w:val="single" w:sz="4" w:space="0" w:color="auto"/>
              <w:left w:val="single" w:sz="4" w:space="0" w:color="auto"/>
              <w:bottom w:val="single" w:sz="4" w:space="0" w:color="auto"/>
              <w:right w:val="single" w:sz="4" w:space="0" w:color="auto"/>
            </w:tcBorders>
            <w:noWrap/>
            <w:vAlign w:val="bottom"/>
            <w:hideMark/>
          </w:tcPr>
          <w:p w14:paraId="6E95B6B6" w14:textId="77777777" w:rsidR="00086EC5" w:rsidRDefault="00086EC5">
            <w:pPr>
              <w:spacing w:after="0" w:line="240" w:lineRule="auto"/>
              <w:ind w:left="0" w:hanging="2"/>
              <w:jc w:val="center"/>
              <w:rPr>
                <w:color w:val="000000"/>
                <w:lang w:val="es-CL"/>
              </w:rPr>
            </w:pPr>
            <w:r>
              <w:rPr>
                <w:color w:val="000000"/>
                <w:lang w:val="es-CL"/>
              </w:rPr>
              <w:t>0</w:t>
            </w:r>
          </w:p>
        </w:tc>
        <w:tc>
          <w:tcPr>
            <w:tcW w:w="446" w:type="pct"/>
            <w:tcBorders>
              <w:top w:val="single" w:sz="4" w:space="0" w:color="auto"/>
              <w:left w:val="single" w:sz="4" w:space="0" w:color="auto"/>
              <w:bottom w:val="single" w:sz="4" w:space="0" w:color="auto"/>
              <w:right w:val="single" w:sz="4" w:space="0" w:color="auto"/>
            </w:tcBorders>
            <w:noWrap/>
            <w:vAlign w:val="bottom"/>
            <w:hideMark/>
          </w:tcPr>
          <w:p w14:paraId="008F5B2F" w14:textId="77777777" w:rsidR="00086EC5" w:rsidRDefault="00086EC5">
            <w:pPr>
              <w:spacing w:after="0" w:line="240" w:lineRule="auto"/>
              <w:ind w:left="0" w:hanging="2"/>
              <w:jc w:val="center"/>
              <w:rPr>
                <w:color w:val="000000"/>
                <w:lang w:val="es-CL"/>
              </w:rPr>
            </w:pPr>
            <w:r>
              <w:rPr>
                <w:color w:val="000000"/>
                <w:lang w:val="es-CL"/>
              </w:rPr>
              <w:t>0,00%</w:t>
            </w:r>
          </w:p>
        </w:tc>
        <w:tc>
          <w:tcPr>
            <w:tcW w:w="840" w:type="pct"/>
            <w:vMerge w:val="restart"/>
            <w:tcBorders>
              <w:top w:val="single" w:sz="4" w:space="0" w:color="auto"/>
              <w:left w:val="single" w:sz="4" w:space="0" w:color="auto"/>
              <w:bottom w:val="single" w:sz="4" w:space="0" w:color="auto"/>
              <w:right w:val="single" w:sz="4" w:space="0" w:color="auto"/>
            </w:tcBorders>
            <w:vAlign w:val="center"/>
            <w:hideMark/>
          </w:tcPr>
          <w:p w14:paraId="16A9BF51" w14:textId="77777777" w:rsidR="00086EC5" w:rsidRDefault="00086EC5">
            <w:pPr>
              <w:spacing w:after="0" w:line="240" w:lineRule="auto"/>
              <w:ind w:left="0" w:hanging="2"/>
              <w:jc w:val="center"/>
              <w:rPr>
                <w:color w:val="000000"/>
                <w:lang w:val="es-CL"/>
              </w:rPr>
            </w:pPr>
            <w:r>
              <w:rPr>
                <w:color w:val="000000"/>
                <w:lang w:val="es-CL"/>
              </w:rPr>
              <w:t>26 (40%)</w:t>
            </w:r>
          </w:p>
        </w:tc>
      </w:tr>
      <w:tr w:rsidR="00086EC5" w14:paraId="4BC999F6" w14:textId="77777777" w:rsidTr="00086EC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87DDB" w14:textId="77777777" w:rsidR="00086EC5" w:rsidRDefault="00086EC5">
            <w:pPr>
              <w:spacing w:after="0"/>
              <w:ind w:left="0" w:hanging="2"/>
              <w:rPr>
                <w:color w:val="000000"/>
                <w:lang w:val="es-CL" w:eastAsia="en-US"/>
              </w:rPr>
            </w:pPr>
          </w:p>
        </w:tc>
        <w:tc>
          <w:tcPr>
            <w:tcW w:w="1152" w:type="pct"/>
            <w:tcBorders>
              <w:top w:val="single" w:sz="4" w:space="0" w:color="auto"/>
              <w:left w:val="single" w:sz="4" w:space="0" w:color="auto"/>
              <w:bottom w:val="single" w:sz="4" w:space="0" w:color="auto"/>
              <w:right w:val="single" w:sz="4" w:space="0" w:color="auto"/>
            </w:tcBorders>
            <w:noWrap/>
            <w:vAlign w:val="bottom"/>
            <w:hideMark/>
          </w:tcPr>
          <w:p w14:paraId="06611CFB" w14:textId="77777777" w:rsidR="00086EC5" w:rsidRDefault="00086EC5">
            <w:pPr>
              <w:spacing w:after="0" w:line="240" w:lineRule="auto"/>
              <w:ind w:left="0" w:hanging="2"/>
              <w:jc w:val="center"/>
              <w:rPr>
                <w:color w:val="000000"/>
                <w:lang w:val="es-CL"/>
              </w:rPr>
            </w:pPr>
            <w:r>
              <w:rPr>
                <w:color w:val="000000"/>
                <w:lang w:val="es-CL"/>
              </w:rPr>
              <w:t>Comprensión Lectora</w:t>
            </w:r>
          </w:p>
        </w:tc>
        <w:tc>
          <w:tcPr>
            <w:tcW w:w="402" w:type="pct"/>
            <w:tcBorders>
              <w:top w:val="single" w:sz="4" w:space="0" w:color="auto"/>
              <w:left w:val="single" w:sz="4" w:space="0" w:color="auto"/>
              <w:bottom w:val="single" w:sz="4" w:space="0" w:color="auto"/>
              <w:right w:val="single" w:sz="4" w:space="0" w:color="auto"/>
            </w:tcBorders>
            <w:noWrap/>
            <w:vAlign w:val="bottom"/>
            <w:hideMark/>
          </w:tcPr>
          <w:p w14:paraId="56A17FE1" w14:textId="77777777" w:rsidR="00086EC5" w:rsidRDefault="00086EC5">
            <w:pPr>
              <w:spacing w:after="0" w:line="240" w:lineRule="auto"/>
              <w:ind w:left="0" w:hanging="2"/>
              <w:jc w:val="center"/>
              <w:rPr>
                <w:color w:val="000000"/>
                <w:lang w:val="es-CL"/>
              </w:rPr>
            </w:pPr>
            <w:r>
              <w:rPr>
                <w:color w:val="000000"/>
                <w:lang w:val="es-CL"/>
              </w:rPr>
              <w:t>6</w:t>
            </w:r>
          </w:p>
        </w:tc>
        <w:tc>
          <w:tcPr>
            <w:tcW w:w="445" w:type="pct"/>
            <w:tcBorders>
              <w:top w:val="single" w:sz="4" w:space="0" w:color="auto"/>
              <w:left w:val="single" w:sz="4" w:space="0" w:color="auto"/>
              <w:bottom w:val="single" w:sz="4" w:space="0" w:color="auto"/>
              <w:right w:val="single" w:sz="4" w:space="0" w:color="auto"/>
            </w:tcBorders>
            <w:noWrap/>
            <w:vAlign w:val="bottom"/>
            <w:hideMark/>
          </w:tcPr>
          <w:p w14:paraId="0CB3CB82" w14:textId="77777777" w:rsidR="00086EC5" w:rsidRDefault="00086EC5">
            <w:pPr>
              <w:spacing w:after="0" w:line="240" w:lineRule="auto"/>
              <w:ind w:left="0" w:hanging="2"/>
              <w:jc w:val="center"/>
              <w:rPr>
                <w:color w:val="000000"/>
                <w:lang w:val="es-CL"/>
              </w:rPr>
            </w:pPr>
            <w:r>
              <w:rPr>
                <w:color w:val="000000"/>
                <w:lang w:val="es-CL"/>
              </w:rPr>
              <w:t>23,10%</w:t>
            </w:r>
          </w:p>
        </w:tc>
        <w:tc>
          <w:tcPr>
            <w:tcW w:w="402" w:type="pct"/>
            <w:tcBorders>
              <w:top w:val="single" w:sz="4" w:space="0" w:color="auto"/>
              <w:left w:val="single" w:sz="4" w:space="0" w:color="auto"/>
              <w:bottom w:val="single" w:sz="4" w:space="0" w:color="auto"/>
              <w:right w:val="single" w:sz="4" w:space="0" w:color="auto"/>
            </w:tcBorders>
            <w:noWrap/>
            <w:vAlign w:val="bottom"/>
            <w:hideMark/>
          </w:tcPr>
          <w:p w14:paraId="6892FBDD" w14:textId="77777777" w:rsidR="00086EC5" w:rsidRDefault="00086EC5">
            <w:pPr>
              <w:spacing w:after="0" w:line="240" w:lineRule="auto"/>
              <w:ind w:left="0" w:hanging="2"/>
              <w:jc w:val="center"/>
              <w:rPr>
                <w:color w:val="000000"/>
                <w:lang w:val="es-CL"/>
              </w:rPr>
            </w:pPr>
            <w:r>
              <w:rPr>
                <w:color w:val="000000"/>
                <w:lang w:val="es-CL"/>
              </w:rPr>
              <w:t>19</w:t>
            </w:r>
          </w:p>
        </w:tc>
        <w:tc>
          <w:tcPr>
            <w:tcW w:w="446" w:type="pct"/>
            <w:tcBorders>
              <w:top w:val="single" w:sz="4" w:space="0" w:color="auto"/>
              <w:left w:val="single" w:sz="4" w:space="0" w:color="auto"/>
              <w:bottom w:val="single" w:sz="4" w:space="0" w:color="auto"/>
              <w:right w:val="single" w:sz="4" w:space="0" w:color="auto"/>
            </w:tcBorders>
            <w:noWrap/>
            <w:vAlign w:val="bottom"/>
            <w:hideMark/>
          </w:tcPr>
          <w:p w14:paraId="69D52B9E" w14:textId="77777777" w:rsidR="00086EC5" w:rsidRDefault="00086EC5">
            <w:pPr>
              <w:spacing w:after="0" w:line="240" w:lineRule="auto"/>
              <w:ind w:left="0" w:hanging="2"/>
              <w:jc w:val="right"/>
              <w:rPr>
                <w:color w:val="000000"/>
                <w:lang w:val="es-CL"/>
              </w:rPr>
            </w:pPr>
            <w:r>
              <w:rPr>
                <w:color w:val="000000"/>
                <w:lang w:val="es-CL"/>
              </w:rPr>
              <w:t>73,10%</w:t>
            </w:r>
          </w:p>
        </w:tc>
        <w:tc>
          <w:tcPr>
            <w:tcW w:w="403" w:type="pct"/>
            <w:tcBorders>
              <w:top w:val="single" w:sz="4" w:space="0" w:color="auto"/>
              <w:left w:val="single" w:sz="4" w:space="0" w:color="auto"/>
              <w:bottom w:val="single" w:sz="4" w:space="0" w:color="auto"/>
              <w:right w:val="single" w:sz="4" w:space="0" w:color="auto"/>
            </w:tcBorders>
            <w:noWrap/>
            <w:vAlign w:val="bottom"/>
            <w:hideMark/>
          </w:tcPr>
          <w:p w14:paraId="31F7408A" w14:textId="77777777" w:rsidR="00086EC5" w:rsidRDefault="00086EC5">
            <w:pPr>
              <w:spacing w:after="0" w:line="240" w:lineRule="auto"/>
              <w:ind w:left="0" w:hanging="2"/>
              <w:jc w:val="center"/>
              <w:rPr>
                <w:color w:val="000000"/>
                <w:lang w:val="es-CL"/>
              </w:rPr>
            </w:pPr>
            <w:r>
              <w:rPr>
                <w:color w:val="000000"/>
                <w:lang w:val="es-CL"/>
              </w:rPr>
              <w:t>1</w:t>
            </w:r>
          </w:p>
        </w:tc>
        <w:tc>
          <w:tcPr>
            <w:tcW w:w="446" w:type="pct"/>
            <w:tcBorders>
              <w:top w:val="single" w:sz="4" w:space="0" w:color="auto"/>
              <w:left w:val="single" w:sz="4" w:space="0" w:color="auto"/>
              <w:bottom w:val="single" w:sz="4" w:space="0" w:color="auto"/>
              <w:right w:val="single" w:sz="4" w:space="0" w:color="auto"/>
            </w:tcBorders>
            <w:noWrap/>
            <w:vAlign w:val="bottom"/>
            <w:hideMark/>
          </w:tcPr>
          <w:p w14:paraId="7573B670" w14:textId="77777777" w:rsidR="00086EC5" w:rsidRDefault="00086EC5">
            <w:pPr>
              <w:spacing w:after="0" w:line="240" w:lineRule="auto"/>
              <w:ind w:left="0" w:hanging="2"/>
              <w:jc w:val="center"/>
              <w:rPr>
                <w:color w:val="000000"/>
                <w:lang w:val="es-CL"/>
              </w:rPr>
            </w:pPr>
            <w:r>
              <w:rPr>
                <w:color w:val="000000"/>
                <w:lang w:val="es-CL"/>
              </w:rPr>
              <w:t>3,80%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ACB63" w14:textId="77777777" w:rsidR="00086EC5" w:rsidRDefault="00086EC5">
            <w:pPr>
              <w:spacing w:after="0"/>
              <w:ind w:left="0" w:hanging="2"/>
              <w:rPr>
                <w:color w:val="000000"/>
                <w:lang w:val="es-CL" w:eastAsia="en-US"/>
              </w:rPr>
            </w:pPr>
          </w:p>
        </w:tc>
      </w:tr>
      <w:tr w:rsidR="00086EC5" w14:paraId="10C1B77E" w14:textId="77777777" w:rsidTr="00086EC5">
        <w:trPr>
          <w:trHeight w:val="288"/>
        </w:trPr>
        <w:tc>
          <w:tcPr>
            <w:tcW w:w="464" w:type="pct"/>
            <w:vMerge w:val="restart"/>
            <w:tcBorders>
              <w:top w:val="single" w:sz="4" w:space="0" w:color="auto"/>
              <w:left w:val="single" w:sz="4" w:space="0" w:color="auto"/>
              <w:bottom w:val="single" w:sz="4" w:space="0" w:color="auto"/>
              <w:right w:val="single" w:sz="4" w:space="0" w:color="auto"/>
            </w:tcBorders>
            <w:noWrap/>
            <w:vAlign w:val="center"/>
            <w:hideMark/>
          </w:tcPr>
          <w:p w14:paraId="10245C18" w14:textId="77777777" w:rsidR="00086EC5" w:rsidRDefault="00086EC5">
            <w:pPr>
              <w:spacing w:after="0" w:line="240" w:lineRule="auto"/>
              <w:ind w:left="0" w:hanging="2"/>
              <w:jc w:val="center"/>
              <w:rPr>
                <w:color w:val="000000"/>
                <w:lang w:val="es-CL"/>
              </w:rPr>
            </w:pPr>
            <w:r>
              <w:rPr>
                <w:color w:val="000000"/>
                <w:lang w:val="es-CL"/>
              </w:rPr>
              <w:t>No</w:t>
            </w:r>
          </w:p>
        </w:tc>
        <w:tc>
          <w:tcPr>
            <w:tcW w:w="1152" w:type="pct"/>
            <w:tcBorders>
              <w:top w:val="single" w:sz="4" w:space="0" w:color="auto"/>
              <w:left w:val="single" w:sz="4" w:space="0" w:color="auto"/>
              <w:bottom w:val="single" w:sz="4" w:space="0" w:color="auto"/>
              <w:right w:val="single" w:sz="4" w:space="0" w:color="auto"/>
            </w:tcBorders>
            <w:noWrap/>
            <w:vAlign w:val="bottom"/>
            <w:hideMark/>
          </w:tcPr>
          <w:p w14:paraId="5DEDC382" w14:textId="77777777" w:rsidR="00086EC5" w:rsidRDefault="00086EC5">
            <w:pPr>
              <w:spacing w:after="0" w:line="240" w:lineRule="auto"/>
              <w:ind w:left="0" w:hanging="2"/>
              <w:jc w:val="center"/>
              <w:rPr>
                <w:color w:val="000000"/>
                <w:lang w:val="es-CL"/>
              </w:rPr>
            </w:pPr>
            <w:r>
              <w:rPr>
                <w:color w:val="000000"/>
                <w:lang w:val="es-CL"/>
              </w:rPr>
              <w:t>Producción de textos</w:t>
            </w:r>
          </w:p>
        </w:tc>
        <w:tc>
          <w:tcPr>
            <w:tcW w:w="402" w:type="pct"/>
            <w:tcBorders>
              <w:top w:val="single" w:sz="4" w:space="0" w:color="auto"/>
              <w:left w:val="single" w:sz="4" w:space="0" w:color="auto"/>
              <w:bottom w:val="single" w:sz="4" w:space="0" w:color="auto"/>
              <w:right w:val="single" w:sz="4" w:space="0" w:color="auto"/>
            </w:tcBorders>
            <w:noWrap/>
            <w:vAlign w:val="bottom"/>
            <w:hideMark/>
          </w:tcPr>
          <w:p w14:paraId="05723450" w14:textId="77777777" w:rsidR="00086EC5" w:rsidRDefault="00086EC5">
            <w:pPr>
              <w:spacing w:after="0" w:line="240" w:lineRule="auto"/>
              <w:ind w:left="0" w:hanging="2"/>
              <w:jc w:val="center"/>
              <w:rPr>
                <w:color w:val="000000"/>
                <w:lang w:val="es-CL"/>
              </w:rPr>
            </w:pPr>
            <w:r>
              <w:rPr>
                <w:color w:val="000000"/>
                <w:lang w:val="es-CL"/>
              </w:rPr>
              <w:t>31</w:t>
            </w:r>
          </w:p>
        </w:tc>
        <w:tc>
          <w:tcPr>
            <w:tcW w:w="445" w:type="pct"/>
            <w:tcBorders>
              <w:top w:val="single" w:sz="4" w:space="0" w:color="auto"/>
              <w:left w:val="single" w:sz="4" w:space="0" w:color="auto"/>
              <w:bottom w:val="single" w:sz="4" w:space="0" w:color="auto"/>
              <w:right w:val="single" w:sz="4" w:space="0" w:color="auto"/>
            </w:tcBorders>
            <w:noWrap/>
            <w:vAlign w:val="bottom"/>
            <w:hideMark/>
          </w:tcPr>
          <w:p w14:paraId="094D8BA0" w14:textId="77777777" w:rsidR="00086EC5" w:rsidRDefault="00086EC5">
            <w:pPr>
              <w:spacing w:after="0" w:line="240" w:lineRule="auto"/>
              <w:ind w:left="0" w:hanging="2"/>
              <w:jc w:val="center"/>
              <w:rPr>
                <w:color w:val="000000"/>
                <w:lang w:val="es-CL"/>
              </w:rPr>
            </w:pPr>
            <w:r>
              <w:rPr>
                <w:color w:val="000000"/>
                <w:lang w:val="es-CL"/>
              </w:rPr>
              <w:t>79,50%</w:t>
            </w:r>
          </w:p>
        </w:tc>
        <w:tc>
          <w:tcPr>
            <w:tcW w:w="402" w:type="pct"/>
            <w:tcBorders>
              <w:top w:val="single" w:sz="4" w:space="0" w:color="auto"/>
              <w:left w:val="single" w:sz="4" w:space="0" w:color="auto"/>
              <w:bottom w:val="single" w:sz="4" w:space="0" w:color="auto"/>
              <w:right w:val="single" w:sz="4" w:space="0" w:color="auto"/>
            </w:tcBorders>
            <w:noWrap/>
            <w:vAlign w:val="bottom"/>
            <w:hideMark/>
          </w:tcPr>
          <w:p w14:paraId="7EF23331" w14:textId="77777777" w:rsidR="00086EC5" w:rsidRDefault="00086EC5">
            <w:pPr>
              <w:spacing w:after="0" w:line="240" w:lineRule="auto"/>
              <w:ind w:left="0" w:hanging="2"/>
              <w:jc w:val="center"/>
              <w:rPr>
                <w:color w:val="000000"/>
                <w:lang w:val="es-CL"/>
              </w:rPr>
            </w:pPr>
            <w:r>
              <w:rPr>
                <w:color w:val="000000"/>
                <w:lang w:val="es-CL"/>
              </w:rPr>
              <w:t>8</w:t>
            </w:r>
          </w:p>
        </w:tc>
        <w:tc>
          <w:tcPr>
            <w:tcW w:w="446" w:type="pct"/>
            <w:tcBorders>
              <w:top w:val="single" w:sz="4" w:space="0" w:color="auto"/>
              <w:left w:val="single" w:sz="4" w:space="0" w:color="auto"/>
              <w:bottom w:val="single" w:sz="4" w:space="0" w:color="auto"/>
              <w:right w:val="single" w:sz="4" w:space="0" w:color="auto"/>
            </w:tcBorders>
            <w:noWrap/>
            <w:vAlign w:val="bottom"/>
            <w:hideMark/>
          </w:tcPr>
          <w:p w14:paraId="2CA2D63D" w14:textId="77777777" w:rsidR="00086EC5" w:rsidRDefault="00086EC5">
            <w:pPr>
              <w:spacing w:after="0" w:line="240" w:lineRule="auto"/>
              <w:ind w:left="0" w:hanging="2"/>
              <w:jc w:val="right"/>
              <w:rPr>
                <w:color w:val="000000"/>
                <w:lang w:val="es-CL"/>
              </w:rPr>
            </w:pPr>
            <w:r>
              <w:rPr>
                <w:color w:val="000000"/>
                <w:lang w:val="es-CL"/>
              </w:rPr>
              <w:t>20,50%</w:t>
            </w:r>
          </w:p>
        </w:tc>
        <w:tc>
          <w:tcPr>
            <w:tcW w:w="403" w:type="pct"/>
            <w:tcBorders>
              <w:top w:val="single" w:sz="4" w:space="0" w:color="auto"/>
              <w:left w:val="single" w:sz="4" w:space="0" w:color="auto"/>
              <w:bottom w:val="single" w:sz="4" w:space="0" w:color="auto"/>
              <w:right w:val="single" w:sz="4" w:space="0" w:color="auto"/>
            </w:tcBorders>
            <w:noWrap/>
            <w:vAlign w:val="bottom"/>
            <w:hideMark/>
          </w:tcPr>
          <w:p w14:paraId="7E01AA50" w14:textId="77777777" w:rsidR="00086EC5" w:rsidRDefault="00086EC5">
            <w:pPr>
              <w:spacing w:after="0" w:line="240" w:lineRule="auto"/>
              <w:ind w:left="0" w:hanging="2"/>
              <w:jc w:val="center"/>
              <w:rPr>
                <w:color w:val="000000"/>
                <w:lang w:val="es-CL"/>
              </w:rPr>
            </w:pPr>
            <w:r>
              <w:rPr>
                <w:color w:val="000000"/>
                <w:lang w:val="es-CL"/>
              </w:rPr>
              <w:t>0</w:t>
            </w:r>
          </w:p>
        </w:tc>
        <w:tc>
          <w:tcPr>
            <w:tcW w:w="446" w:type="pct"/>
            <w:tcBorders>
              <w:top w:val="single" w:sz="4" w:space="0" w:color="auto"/>
              <w:left w:val="single" w:sz="4" w:space="0" w:color="auto"/>
              <w:bottom w:val="single" w:sz="4" w:space="0" w:color="auto"/>
              <w:right w:val="single" w:sz="4" w:space="0" w:color="auto"/>
            </w:tcBorders>
            <w:noWrap/>
            <w:vAlign w:val="bottom"/>
            <w:hideMark/>
          </w:tcPr>
          <w:p w14:paraId="20EFBC32" w14:textId="77777777" w:rsidR="00086EC5" w:rsidRDefault="00086EC5">
            <w:pPr>
              <w:spacing w:after="0" w:line="240" w:lineRule="auto"/>
              <w:ind w:left="0" w:hanging="2"/>
              <w:jc w:val="center"/>
              <w:rPr>
                <w:color w:val="000000"/>
                <w:lang w:val="es-CL"/>
              </w:rPr>
            </w:pPr>
            <w:r>
              <w:rPr>
                <w:color w:val="000000"/>
                <w:lang w:val="es-CL"/>
              </w:rPr>
              <w:t>0,00%</w:t>
            </w:r>
          </w:p>
        </w:tc>
        <w:tc>
          <w:tcPr>
            <w:tcW w:w="840" w:type="pct"/>
            <w:vMerge w:val="restart"/>
            <w:tcBorders>
              <w:top w:val="single" w:sz="4" w:space="0" w:color="auto"/>
              <w:left w:val="single" w:sz="4" w:space="0" w:color="auto"/>
              <w:bottom w:val="single" w:sz="4" w:space="0" w:color="auto"/>
              <w:right w:val="single" w:sz="4" w:space="0" w:color="auto"/>
            </w:tcBorders>
            <w:vAlign w:val="center"/>
            <w:hideMark/>
          </w:tcPr>
          <w:p w14:paraId="28138AD4" w14:textId="77777777" w:rsidR="00086EC5" w:rsidRDefault="00086EC5">
            <w:pPr>
              <w:spacing w:after="0" w:line="240" w:lineRule="auto"/>
              <w:ind w:left="0" w:hanging="2"/>
              <w:jc w:val="center"/>
              <w:rPr>
                <w:color w:val="000000"/>
                <w:lang w:val="es-CL"/>
              </w:rPr>
            </w:pPr>
            <w:r>
              <w:rPr>
                <w:color w:val="000000"/>
                <w:lang w:val="es-CL"/>
              </w:rPr>
              <w:t>39 (60%)</w:t>
            </w:r>
          </w:p>
        </w:tc>
      </w:tr>
      <w:tr w:rsidR="00086EC5" w14:paraId="45F03AE6" w14:textId="77777777" w:rsidTr="00086EC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91365" w14:textId="77777777" w:rsidR="00086EC5" w:rsidRDefault="00086EC5">
            <w:pPr>
              <w:spacing w:after="0"/>
              <w:ind w:left="0" w:hanging="2"/>
              <w:rPr>
                <w:color w:val="000000"/>
                <w:lang w:val="es-CL" w:eastAsia="en-US"/>
              </w:rPr>
            </w:pPr>
          </w:p>
        </w:tc>
        <w:tc>
          <w:tcPr>
            <w:tcW w:w="1152" w:type="pct"/>
            <w:tcBorders>
              <w:top w:val="single" w:sz="4" w:space="0" w:color="auto"/>
              <w:left w:val="single" w:sz="4" w:space="0" w:color="auto"/>
              <w:bottom w:val="single" w:sz="4" w:space="0" w:color="auto"/>
              <w:right w:val="single" w:sz="4" w:space="0" w:color="auto"/>
            </w:tcBorders>
            <w:noWrap/>
            <w:vAlign w:val="bottom"/>
            <w:hideMark/>
          </w:tcPr>
          <w:p w14:paraId="5B59F37D" w14:textId="77777777" w:rsidR="00086EC5" w:rsidRDefault="00086EC5">
            <w:pPr>
              <w:spacing w:after="0" w:line="240" w:lineRule="auto"/>
              <w:ind w:left="0" w:hanging="2"/>
              <w:jc w:val="center"/>
              <w:rPr>
                <w:color w:val="000000"/>
                <w:lang w:val="es-CL"/>
              </w:rPr>
            </w:pPr>
            <w:r>
              <w:rPr>
                <w:color w:val="000000"/>
                <w:lang w:val="es-CL"/>
              </w:rPr>
              <w:t>Comprensión Lectora</w:t>
            </w:r>
          </w:p>
        </w:tc>
        <w:tc>
          <w:tcPr>
            <w:tcW w:w="402" w:type="pct"/>
            <w:tcBorders>
              <w:top w:val="single" w:sz="4" w:space="0" w:color="auto"/>
              <w:left w:val="single" w:sz="4" w:space="0" w:color="auto"/>
              <w:bottom w:val="single" w:sz="4" w:space="0" w:color="auto"/>
              <w:right w:val="single" w:sz="4" w:space="0" w:color="auto"/>
            </w:tcBorders>
            <w:noWrap/>
            <w:vAlign w:val="bottom"/>
            <w:hideMark/>
          </w:tcPr>
          <w:p w14:paraId="24DEEE89" w14:textId="77777777" w:rsidR="00086EC5" w:rsidRDefault="00086EC5">
            <w:pPr>
              <w:spacing w:after="0" w:line="240" w:lineRule="auto"/>
              <w:ind w:left="0" w:hanging="2"/>
              <w:jc w:val="center"/>
              <w:rPr>
                <w:color w:val="000000"/>
                <w:lang w:val="es-CL"/>
              </w:rPr>
            </w:pPr>
            <w:r>
              <w:rPr>
                <w:color w:val="000000"/>
                <w:lang w:val="es-CL"/>
              </w:rPr>
              <w:t>23</w:t>
            </w:r>
          </w:p>
        </w:tc>
        <w:tc>
          <w:tcPr>
            <w:tcW w:w="445" w:type="pct"/>
            <w:tcBorders>
              <w:top w:val="single" w:sz="4" w:space="0" w:color="auto"/>
              <w:left w:val="single" w:sz="4" w:space="0" w:color="auto"/>
              <w:bottom w:val="single" w:sz="4" w:space="0" w:color="auto"/>
              <w:right w:val="single" w:sz="4" w:space="0" w:color="auto"/>
            </w:tcBorders>
            <w:noWrap/>
            <w:vAlign w:val="bottom"/>
            <w:hideMark/>
          </w:tcPr>
          <w:p w14:paraId="1771B55E" w14:textId="77777777" w:rsidR="00086EC5" w:rsidRDefault="00086EC5">
            <w:pPr>
              <w:spacing w:after="0" w:line="240" w:lineRule="auto"/>
              <w:ind w:left="0" w:hanging="2"/>
              <w:jc w:val="center"/>
              <w:rPr>
                <w:color w:val="000000"/>
                <w:lang w:val="es-CL"/>
              </w:rPr>
            </w:pPr>
            <w:r>
              <w:rPr>
                <w:color w:val="000000"/>
                <w:lang w:val="es-CL"/>
              </w:rPr>
              <w:t>59,00%</w:t>
            </w:r>
          </w:p>
        </w:tc>
        <w:tc>
          <w:tcPr>
            <w:tcW w:w="402" w:type="pct"/>
            <w:tcBorders>
              <w:top w:val="single" w:sz="4" w:space="0" w:color="auto"/>
              <w:left w:val="single" w:sz="4" w:space="0" w:color="auto"/>
              <w:bottom w:val="single" w:sz="4" w:space="0" w:color="auto"/>
              <w:right w:val="single" w:sz="4" w:space="0" w:color="auto"/>
            </w:tcBorders>
            <w:noWrap/>
            <w:vAlign w:val="bottom"/>
            <w:hideMark/>
          </w:tcPr>
          <w:p w14:paraId="0047A873" w14:textId="77777777" w:rsidR="00086EC5" w:rsidRDefault="00086EC5">
            <w:pPr>
              <w:spacing w:after="0" w:line="240" w:lineRule="auto"/>
              <w:ind w:left="0" w:hanging="2"/>
              <w:jc w:val="center"/>
              <w:rPr>
                <w:color w:val="000000"/>
                <w:lang w:val="es-CL"/>
              </w:rPr>
            </w:pPr>
            <w:r>
              <w:rPr>
                <w:color w:val="000000"/>
                <w:lang w:val="es-CL"/>
              </w:rPr>
              <w:t>12</w:t>
            </w:r>
          </w:p>
        </w:tc>
        <w:tc>
          <w:tcPr>
            <w:tcW w:w="446" w:type="pct"/>
            <w:tcBorders>
              <w:top w:val="single" w:sz="4" w:space="0" w:color="auto"/>
              <w:left w:val="single" w:sz="4" w:space="0" w:color="auto"/>
              <w:bottom w:val="single" w:sz="4" w:space="0" w:color="auto"/>
              <w:right w:val="single" w:sz="4" w:space="0" w:color="auto"/>
            </w:tcBorders>
            <w:noWrap/>
            <w:vAlign w:val="bottom"/>
            <w:hideMark/>
          </w:tcPr>
          <w:p w14:paraId="5815FA53" w14:textId="77777777" w:rsidR="00086EC5" w:rsidRDefault="00086EC5">
            <w:pPr>
              <w:spacing w:after="0" w:line="240" w:lineRule="auto"/>
              <w:ind w:left="0" w:hanging="2"/>
              <w:jc w:val="right"/>
              <w:rPr>
                <w:color w:val="000000"/>
                <w:lang w:val="es-CL"/>
              </w:rPr>
            </w:pPr>
            <w:r>
              <w:rPr>
                <w:color w:val="000000"/>
                <w:lang w:val="es-CL"/>
              </w:rPr>
              <w:t>30,80%</w:t>
            </w:r>
          </w:p>
        </w:tc>
        <w:tc>
          <w:tcPr>
            <w:tcW w:w="403" w:type="pct"/>
            <w:tcBorders>
              <w:top w:val="single" w:sz="4" w:space="0" w:color="auto"/>
              <w:left w:val="single" w:sz="4" w:space="0" w:color="auto"/>
              <w:bottom w:val="single" w:sz="4" w:space="0" w:color="auto"/>
              <w:right w:val="single" w:sz="4" w:space="0" w:color="auto"/>
            </w:tcBorders>
            <w:noWrap/>
            <w:vAlign w:val="bottom"/>
            <w:hideMark/>
          </w:tcPr>
          <w:p w14:paraId="5E3124FC" w14:textId="77777777" w:rsidR="00086EC5" w:rsidRDefault="00086EC5">
            <w:pPr>
              <w:spacing w:after="0" w:line="240" w:lineRule="auto"/>
              <w:ind w:left="0" w:hanging="2"/>
              <w:jc w:val="center"/>
              <w:rPr>
                <w:color w:val="000000"/>
                <w:lang w:val="es-CL"/>
              </w:rPr>
            </w:pPr>
            <w:r>
              <w:rPr>
                <w:color w:val="000000"/>
                <w:lang w:val="es-CL"/>
              </w:rPr>
              <w:t>4</w:t>
            </w:r>
          </w:p>
        </w:tc>
        <w:tc>
          <w:tcPr>
            <w:tcW w:w="446" w:type="pct"/>
            <w:tcBorders>
              <w:top w:val="single" w:sz="4" w:space="0" w:color="auto"/>
              <w:left w:val="single" w:sz="4" w:space="0" w:color="auto"/>
              <w:bottom w:val="single" w:sz="4" w:space="0" w:color="auto"/>
              <w:right w:val="single" w:sz="4" w:space="0" w:color="auto"/>
            </w:tcBorders>
            <w:noWrap/>
            <w:vAlign w:val="bottom"/>
            <w:hideMark/>
          </w:tcPr>
          <w:p w14:paraId="1E64AFD1" w14:textId="77777777" w:rsidR="00086EC5" w:rsidRDefault="00086EC5">
            <w:pPr>
              <w:spacing w:after="0" w:line="240" w:lineRule="auto"/>
              <w:ind w:left="0" w:hanging="2"/>
              <w:jc w:val="center"/>
              <w:rPr>
                <w:color w:val="000000"/>
                <w:lang w:val="es-CL"/>
              </w:rPr>
            </w:pPr>
            <w:r>
              <w:rPr>
                <w:color w:val="000000"/>
                <w:lang w:val="es-CL"/>
              </w:rPr>
              <w:t>10,30%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9975B" w14:textId="77777777" w:rsidR="00086EC5" w:rsidRDefault="00086EC5">
            <w:pPr>
              <w:spacing w:after="0"/>
              <w:ind w:left="0" w:hanging="2"/>
              <w:rPr>
                <w:color w:val="000000"/>
                <w:lang w:val="es-CL" w:eastAsia="en-US"/>
              </w:rPr>
            </w:pPr>
          </w:p>
        </w:tc>
      </w:tr>
    </w:tbl>
    <w:p w14:paraId="2C107647" w14:textId="77777777" w:rsidR="00086EC5" w:rsidRPr="00A641B3" w:rsidRDefault="00086EC5" w:rsidP="00086EC5">
      <w:pPr>
        <w:spacing w:after="0"/>
        <w:ind w:left="0" w:hanging="2"/>
        <w:rPr>
          <w:rFonts w:eastAsiaTheme="minorHAnsi"/>
          <w:sz w:val="16"/>
          <w:szCs w:val="16"/>
          <w:lang w:val="es-CL" w:eastAsia="en-US"/>
        </w:rPr>
      </w:pPr>
      <w:r w:rsidRPr="00A641B3">
        <w:rPr>
          <w:sz w:val="16"/>
          <w:szCs w:val="16"/>
          <w:lang w:val="es-CL"/>
        </w:rPr>
        <w:t>N = 65 estudiantes de primer año de la carrera.</w:t>
      </w:r>
    </w:p>
    <w:p w14:paraId="0E964AC7" w14:textId="77777777" w:rsidR="00086EC5" w:rsidRDefault="00086EC5" w:rsidP="00086EC5">
      <w:pPr>
        <w:pStyle w:val="Sinespaciado"/>
        <w:rPr>
          <w:lang w:val="es-CL"/>
        </w:rPr>
      </w:pPr>
    </w:p>
    <w:p w14:paraId="36BF649F" w14:textId="57EEC221" w:rsidR="00086EC5" w:rsidRDefault="00086EC5" w:rsidP="00086EC5">
      <w:pPr>
        <w:spacing w:line="240" w:lineRule="auto"/>
        <w:ind w:left="0" w:hanging="2"/>
        <w:rPr>
          <w:sz w:val="24"/>
          <w:szCs w:val="24"/>
          <w:lang w:val="es-CL"/>
        </w:rPr>
      </w:pPr>
      <w:r>
        <w:rPr>
          <w:sz w:val="24"/>
          <w:szCs w:val="24"/>
          <w:lang w:val="es-CL"/>
        </w:rPr>
        <w:t>Como se evidencian en los resultados de la tabla</w:t>
      </w:r>
      <w:r w:rsidR="00E44B83">
        <w:rPr>
          <w:sz w:val="24"/>
          <w:szCs w:val="24"/>
          <w:lang w:val="es-CL"/>
        </w:rPr>
        <w:t xml:space="preserve"> 2</w:t>
      </w:r>
      <w:r>
        <w:rPr>
          <w:sz w:val="24"/>
          <w:szCs w:val="24"/>
          <w:lang w:val="es-CL"/>
        </w:rPr>
        <w:t>, un total de 26 (40%) estudiantes de la carrera se registró en las tutorías académicas realizadas durante el semestre, mientras 39 (60%) no se registró en ningún tipo de apoyo en el área. De estos 26 estudiantes inscritos, cabe destacar que la mayoría no evidenció la aplicación de Producción de Textos (65,4%) y la aplicación de Comprensión Lectora (73,1%). Por el contrario, quienes no se inscribieron en tutorías académicas evidenció, en su mayoría, las aplicaciones diagnóstico señaladas, con un 79,5% para la competencia de escritura y un 59% para la competencia de lectura.</w:t>
      </w:r>
    </w:p>
    <w:p w14:paraId="6D3AF13A" w14:textId="09451EBB" w:rsidR="00D0742A" w:rsidRDefault="00086EC5" w:rsidP="00D0742A">
      <w:pPr>
        <w:spacing w:after="240" w:line="240" w:lineRule="auto"/>
        <w:ind w:leftChars="0" w:left="2" w:hanging="2"/>
        <w:rPr>
          <w:sz w:val="24"/>
          <w:szCs w:val="24"/>
          <w:lang w:val="es-CL"/>
        </w:rPr>
      </w:pPr>
      <w:r>
        <w:rPr>
          <w:sz w:val="24"/>
          <w:szCs w:val="24"/>
          <w:lang w:val="es-CL"/>
        </w:rPr>
        <w:t>De esta manera, en la tabla 3 se presenta el cruce entre los estudiantes que</w:t>
      </w:r>
      <w:r w:rsidR="009706B9">
        <w:rPr>
          <w:sz w:val="24"/>
          <w:szCs w:val="24"/>
          <w:lang w:val="es-CL"/>
        </w:rPr>
        <w:t xml:space="preserve"> se</w:t>
      </w:r>
      <w:r>
        <w:rPr>
          <w:sz w:val="24"/>
          <w:szCs w:val="24"/>
          <w:lang w:val="es-CL"/>
        </w:rPr>
        <w:t xml:space="preserve"> inscribieron en tutoría académica durante el semestre y su situación de aprobación final en el Curso “Pensamiento Pedagógico: Persona y Sociedad” para estudiantes de primer año en la carrera. Cabe señalar que este curso, tal como mencionó en el apartado metodológico, declara como competencia genérica de aprobación el área comunicativa, tanto en la redacción como en la comprensión de textos:</w:t>
      </w:r>
    </w:p>
    <w:p w14:paraId="29D601EF" w14:textId="77777777" w:rsidR="00086EC5" w:rsidRPr="00A641B3" w:rsidRDefault="00086EC5" w:rsidP="00D0742A">
      <w:pPr>
        <w:pStyle w:val="Sinespaciado"/>
        <w:spacing w:before="120"/>
        <w:jc w:val="both"/>
        <w:rPr>
          <w:rFonts w:ascii="Times New Roman" w:hAnsi="Times New Roman" w:cs="Times New Roman"/>
          <w:b/>
          <w:bCs/>
          <w:sz w:val="16"/>
          <w:szCs w:val="16"/>
          <w:lang w:val="es-CL"/>
        </w:rPr>
      </w:pPr>
      <w:r w:rsidRPr="00A641B3">
        <w:rPr>
          <w:rFonts w:ascii="Times New Roman" w:hAnsi="Times New Roman" w:cs="Times New Roman"/>
          <w:b/>
          <w:bCs/>
          <w:sz w:val="16"/>
          <w:szCs w:val="16"/>
          <w:lang w:val="es-CL"/>
        </w:rPr>
        <w:t>Tabla 4. Situación de aprobación en curso “Pensamiento Pedagógico: Persona y Sociedad” según inscripción en tutoría académica semestral a estudiantes de primer año.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330"/>
        <w:gridCol w:w="1332"/>
        <w:gridCol w:w="1333"/>
        <w:gridCol w:w="1334"/>
        <w:gridCol w:w="1172"/>
      </w:tblGrid>
      <w:tr w:rsidR="00086EC5" w14:paraId="4B388BCF" w14:textId="77777777" w:rsidTr="00086EC5">
        <w:trPr>
          <w:trHeight w:val="536"/>
        </w:trPr>
        <w:tc>
          <w:tcPr>
            <w:tcW w:w="1212" w:type="pct"/>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214F409" w14:textId="77777777" w:rsidR="00086EC5" w:rsidRDefault="00086EC5">
            <w:pPr>
              <w:shd w:val="clear" w:color="auto" w:fill="0070C0"/>
              <w:spacing w:after="0" w:line="240" w:lineRule="auto"/>
              <w:ind w:left="0" w:hanging="2"/>
              <w:jc w:val="center"/>
              <w:rPr>
                <w:b/>
                <w:bCs/>
                <w:color w:val="FFFFFF" w:themeColor="background1"/>
                <w:lang w:val="es-CL"/>
              </w:rPr>
            </w:pPr>
            <w:r>
              <w:rPr>
                <w:b/>
                <w:bCs/>
                <w:color w:val="FFFFFF" w:themeColor="background1"/>
                <w:lang w:val="es-CL"/>
              </w:rPr>
              <w:t>Inscripción en tutoría académica</w:t>
            </w:r>
          </w:p>
          <w:p w14:paraId="48E2B850"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semestral</w:t>
            </w:r>
          </w:p>
        </w:tc>
        <w:tc>
          <w:tcPr>
            <w:tcW w:w="3788" w:type="pct"/>
            <w:gridSpan w:val="5"/>
            <w:tcBorders>
              <w:top w:val="single" w:sz="4" w:space="0" w:color="auto"/>
              <w:left w:val="single" w:sz="4" w:space="0" w:color="auto"/>
              <w:bottom w:val="single" w:sz="4" w:space="0" w:color="auto"/>
              <w:right w:val="single" w:sz="4" w:space="0" w:color="auto"/>
            </w:tcBorders>
            <w:shd w:val="clear" w:color="auto" w:fill="0070C0"/>
            <w:noWrap/>
            <w:hideMark/>
          </w:tcPr>
          <w:p w14:paraId="3CC5B3FF"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Situación Final:</w:t>
            </w:r>
          </w:p>
          <w:p w14:paraId="07971CCD"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Curso: Pensamiento Pedagógico. Persona y Sociedad.</w:t>
            </w:r>
          </w:p>
        </w:tc>
      </w:tr>
      <w:tr w:rsidR="00086EC5" w14:paraId="39CAD521" w14:textId="77777777" w:rsidTr="00086EC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86BE6" w14:textId="77777777" w:rsidR="00086EC5" w:rsidRDefault="00086EC5">
            <w:pPr>
              <w:spacing w:after="0"/>
              <w:ind w:left="0" w:hanging="2"/>
              <w:rPr>
                <w:b/>
                <w:bCs/>
                <w:color w:val="FFFFFF" w:themeColor="background1"/>
                <w:lang w:val="es-CL" w:eastAsia="en-US"/>
              </w:rPr>
            </w:pPr>
          </w:p>
        </w:tc>
        <w:tc>
          <w:tcPr>
            <w:tcW w:w="1553"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2303F62"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Aprueba</w:t>
            </w:r>
          </w:p>
        </w:tc>
        <w:tc>
          <w:tcPr>
            <w:tcW w:w="1554"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FFC4A80"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No Aprueba</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00B050"/>
            <w:hideMark/>
          </w:tcPr>
          <w:p w14:paraId="5CC2D74F"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Total estudiantes</w:t>
            </w:r>
          </w:p>
        </w:tc>
      </w:tr>
      <w:tr w:rsidR="00086EC5" w14:paraId="1338EBE3" w14:textId="77777777" w:rsidTr="00086EC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F2E40" w14:textId="77777777" w:rsidR="00086EC5" w:rsidRDefault="00086EC5">
            <w:pPr>
              <w:spacing w:after="0"/>
              <w:ind w:left="0" w:hanging="2"/>
              <w:rPr>
                <w:b/>
                <w:bCs/>
                <w:color w:val="FFFFFF" w:themeColor="background1"/>
                <w:lang w:val="es-CL" w:eastAsia="en-US"/>
              </w:rPr>
            </w:pPr>
          </w:p>
        </w:tc>
        <w:tc>
          <w:tcPr>
            <w:tcW w:w="77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F7E303C"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n</w:t>
            </w:r>
          </w:p>
        </w:tc>
        <w:tc>
          <w:tcPr>
            <w:tcW w:w="77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70D1F40"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Fila</w:t>
            </w:r>
          </w:p>
        </w:tc>
        <w:tc>
          <w:tcPr>
            <w:tcW w:w="77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D74AF98"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n</w:t>
            </w:r>
          </w:p>
        </w:tc>
        <w:tc>
          <w:tcPr>
            <w:tcW w:w="77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0812FC9"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Fila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31C7E" w14:textId="77777777" w:rsidR="00086EC5" w:rsidRDefault="00086EC5">
            <w:pPr>
              <w:spacing w:after="0"/>
              <w:ind w:left="0" w:hanging="2"/>
              <w:rPr>
                <w:b/>
                <w:bCs/>
                <w:color w:val="FFFFFF" w:themeColor="background1"/>
                <w:lang w:val="es-CL" w:eastAsia="en-US"/>
              </w:rPr>
            </w:pPr>
          </w:p>
        </w:tc>
      </w:tr>
      <w:tr w:rsidR="00086EC5" w14:paraId="271220E7" w14:textId="77777777" w:rsidTr="00086EC5">
        <w:trPr>
          <w:trHeight w:val="288"/>
        </w:trPr>
        <w:tc>
          <w:tcPr>
            <w:tcW w:w="1212" w:type="pct"/>
            <w:tcBorders>
              <w:top w:val="single" w:sz="4" w:space="0" w:color="auto"/>
              <w:left w:val="single" w:sz="4" w:space="0" w:color="auto"/>
              <w:bottom w:val="single" w:sz="4" w:space="0" w:color="auto"/>
              <w:right w:val="single" w:sz="4" w:space="0" w:color="auto"/>
            </w:tcBorders>
            <w:noWrap/>
            <w:vAlign w:val="center"/>
            <w:hideMark/>
          </w:tcPr>
          <w:p w14:paraId="09BE1C57" w14:textId="77777777" w:rsidR="00086EC5" w:rsidRDefault="00086EC5">
            <w:pPr>
              <w:spacing w:after="0" w:line="240" w:lineRule="auto"/>
              <w:ind w:left="0" w:hanging="2"/>
              <w:rPr>
                <w:color w:val="000000"/>
                <w:lang w:val="es-CL"/>
              </w:rPr>
            </w:pPr>
            <w:r>
              <w:rPr>
                <w:color w:val="000000"/>
                <w:lang w:val="es-CL"/>
              </w:rPr>
              <w:t>Sí</w:t>
            </w:r>
          </w:p>
        </w:tc>
        <w:tc>
          <w:tcPr>
            <w:tcW w:w="776" w:type="pct"/>
            <w:tcBorders>
              <w:top w:val="single" w:sz="4" w:space="0" w:color="auto"/>
              <w:left w:val="single" w:sz="4" w:space="0" w:color="auto"/>
              <w:bottom w:val="single" w:sz="4" w:space="0" w:color="auto"/>
              <w:right w:val="single" w:sz="4" w:space="0" w:color="auto"/>
            </w:tcBorders>
            <w:noWrap/>
            <w:vAlign w:val="bottom"/>
            <w:hideMark/>
          </w:tcPr>
          <w:p w14:paraId="5D51E3E9" w14:textId="77777777" w:rsidR="00086EC5" w:rsidRDefault="00086EC5">
            <w:pPr>
              <w:spacing w:after="0" w:line="240" w:lineRule="auto"/>
              <w:ind w:left="0" w:hanging="2"/>
              <w:jc w:val="center"/>
              <w:rPr>
                <w:color w:val="000000"/>
                <w:lang w:val="es-CL"/>
              </w:rPr>
            </w:pPr>
            <w:r>
              <w:rPr>
                <w:color w:val="000000"/>
                <w:lang w:val="es-CL"/>
              </w:rPr>
              <w:t>25</w:t>
            </w:r>
          </w:p>
        </w:tc>
        <w:tc>
          <w:tcPr>
            <w:tcW w:w="777" w:type="pct"/>
            <w:tcBorders>
              <w:top w:val="single" w:sz="4" w:space="0" w:color="auto"/>
              <w:left w:val="single" w:sz="4" w:space="0" w:color="auto"/>
              <w:bottom w:val="single" w:sz="4" w:space="0" w:color="auto"/>
              <w:right w:val="single" w:sz="4" w:space="0" w:color="auto"/>
            </w:tcBorders>
            <w:noWrap/>
            <w:vAlign w:val="bottom"/>
            <w:hideMark/>
          </w:tcPr>
          <w:p w14:paraId="29A1453A" w14:textId="77777777" w:rsidR="00086EC5" w:rsidRDefault="00086EC5">
            <w:pPr>
              <w:spacing w:after="0" w:line="240" w:lineRule="auto"/>
              <w:ind w:left="0" w:hanging="2"/>
              <w:jc w:val="center"/>
              <w:rPr>
                <w:color w:val="000000"/>
                <w:lang w:val="es-CL"/>
              </w:rPr>
            </w:pPr>
            <w:r>
              <w:rPr>
                <w:color w:val="000000"/>
                <w:lang w:val="es-CL"/>
              </w:rPr>
              <w:t>96,20%</w:t>
            </w:r>
          </w:p>
        </w:tc>
        <w:tc>
          <w:tcPr>
            <w:tcW w:w="777" w:type="pct"/>
            <w:tcBorders>
              <w:top w:val="single" w:sz="4" w:space="0" w:color="auto"/>
              <w:left w:val="single" w:sz="4" w:space="0" w:color="auto"/>
              <w:bottom w:val="single" w:sz="4" w:space="0" w:color="auto"/>
              <w:right w:val="single" w:sz="4" w:space="0" w:color="auto"/>
            </w:tcBorders>
            <w:noWrap/>
            <w:vAlign w:val="bottom"/>
            <w:hideMark/>
          </w:tcPr>
          <w:p w14:paraId="2AE984E8" w14:textId="77777777" w:rsidR="00086EC5" w:rsidRDefault="00086EC5">
            <w:pPr>
              <w:spacing w:after="0" w:line="240" w:lineRule="auto"/>
              <w:ind w:left="0" w:hanging="2"/>
              <w:jc w:val="center"/>
              <w:rPr>
                <w:color w:val="000000"/>
                <w:lang w:val="es-CL"/>
              </w:rPr>
            </w:pPr>
            <w:r>
              <w:rPr>
                <w:color w:val="000000"/>
                <w:lang w:val="es-CL"/>
              </w:rPr>
              <w:t>1</w:t>
            </w:r>
          </w:p>
        </w:tc>
        <w:tc>
          <w:tcPr>
            <w:tcW w:w="777" w:type="pct"/>
            <w:tcBorders>
              <w:top w:val="single" w:sz="4" w:space="0" w:color="auto"/>
              <w:left w:val="single" w:sz="4" w:space="0" w:color="auto"/>
              <w:bottom w:val="single" w:sz="4" w:space="0" w:color="auto"/>
              <w:right w:val="single" w:sz="4" w:space="0" w:color="auto"/>
            </w:tcBorders>
            <w:noWrap/>
            <w:hideMark/>
          </w:tcPr>
          <w:p w14:paraId="5B9C9305" w14:textId="77777777" w:rsidR="00086EC5" w:rsidRDefault="00086EC5">
            <w:pPr>
              <w:spacing w:after="0" w:line="240" w:lineRule="auto"/>
              <w:ind w:left="0" w:hanging="2"/>
              <w:jc w:val="center"/>
              <w:rPr>
                <w:color w:val="000000"/>
                <w:lang w:val="es-CL"/>
              </w:rPr>
            </w:pPr>
            <w:r>
              <w:rPr>
                <w:color w:val="000000"/>
                <w:lang w:val="es-CL"/>
              </w:rPr>
              <w:t>3,80%</w:t>
            </w:r>
          </w:p>
        </w:tc>
        <w:tc>
          <w:tcPr>
            <w:tcW w:w="681" w:type="pct"/>
            <w:tcBorders>
              <w:top w:val="single" w:sz="4" w:space="0" w:color="auto"/>
              <w:left w:val="single" w:sz="4" w:space="0" w:color="auto"/>
              <w:bottom w:val="single" w:sz="4" w:space="0" w:color="auto"/>
              <w:right w:val="single" w:sz="4" w:space="0" w:color="auto"/>
            </w:tcBorders>
            <w:vAlign w:val="center"/>
            <w:hideMark/>
          </w:tcPr>
          <w:p w14:paraId="20C0FF62" w14:textId="77777777" w:rsidR="00086EC5" w:rsidRDefault="00086EC5">
            <w:pPr>
              <w:spacing w:after="0" w:line="240" w:lineRule="auto"/>
              <w:ind w:left="0" w:hanging="2"/>
              <w:jc w:val="center"/>
              <w:rPr>
                <w:b/>
                <w:bCs/>
                <w:lang w:val="es-CL"/>
              </w:rPr>
            </w:pPr>
            <w:r>
              <w:rPr>
                <w:b/>
                <w:bCs/>
                <w:lang w:val="es-CL"/>
              </w:rPr>
              <w:t>26 (40%)</w:t>
            </w:r>
          </w:p>
        </w:tc>
      </w:tr>
      <w:tr w:rsidR="00086EC5" w14:paraId="5E23D316" w14:textId="77777777" w:rsidTr="00086EC5">
        <w:trPr>
          <w:trHeight w:val="288"/>
        </w:trPr>
        <w:tc>
          <w:tcPr>
            <w:tcW w:w="1212" w:type="pct"/>
            <w:tcBorders>
              <w:top w:val="single" w:sz="4" w:space="0" w:color="auto"/>
              <w:left w:val="single" w:sz="4" w:space="0" w:color="auto"/>
              <w:bottom w:val="single" w:sz="4" w:space="0" w:color="auto"/>
              <w:right w:val="single" w:sz="4" w:space="0" w:color="auto"/>
            </w:tcBorders>
            <w:vAlign w:val="center"/>
            <w:hideMark/>
          </w:tcPr>
          <w:p w14:paraId="7D8510A3" w14:textId="77777777" w:rsidR="00086EC5" w:rsidRDefault="00086EC5">
            <w:pPr>
              <w:spacing w:after="0" w:line="240" w:lineRule="auto"/>
              <w:ind w:left="0" w:hanging="2"/>
              <w:rPr>
                <w:color w:val="000000"/>
                <w:lang w:val="es-CL"/>
              </w:rPr>
            </w:pPr>
            <w:r>
              <w:rPr>
                <w:color w:val="000000"/>
                <w:lang w:val="es-CL"/>
              </w:rPr>
              <w:t>No</w:t>
            </w:r>
          </w:p>
        </w:tc>
        <w:tc>
          <w:tcPr>
            <w:tcW w:w="776" w:type="pct"/>
            <w:tcBorders>
              <w:top w:val="single" w:sz="4" w:space="0" w:color="auto"/>
              <w:left w:val="single" w:sz="4" w:space="0" w:color="auto"/>
              <w:bottom w:val="single" w:sz="4" w:space="0" w:color="auto"/>
              <w:right w:val="single" w:sz="4" w:space="0" w:color="auto"/>
            </w:tcBorders>
            <w:noWrap/>
            <w:vAlign w:val="bottom"/>
            <w:hideMark/>
          </w:tcPr>
          <w:p w14:paraId="74DC2B6E" w14:textId="77777777" w:rsidR="00086EC5" w:rsidRDefault="00086EC5">
            <w:pPr>
              <w:spacing w:after="0" w:line="240" w:lineRule="auto"/>
              <w:ind w:left="0" w:hanging="2"/>
              <w:jc w:val="center"/>
              <w:rPr>
                <w:color w:val="000000"/>
                <w:lang w:val="es-CL"/>
              </w:rPr>
            </w:pPr>
            <w:r>
              <w:rPr>
                <w:color w:val="000000"/>
                <w:lang w:val="es-CL"/>
              </w:rPr>
              <w:t>34</w:t>
            </w:r>
          </w:p>
        </w:tc>
        <w:tc>
          <w:tcPr>
            <w:tcW w:w="777" w:type="pct"/>
            <w:tcBorders>
              <w:top w:val="single" w:sz="4" w:space="0" w:color="auto"/>
              <w:left w:val="single" w:sz="4" w:space="0" w:color="auto"/>
              <w:bottom w:val="single" w:sz="4" w:space="0" w:color="auto"/>
              <w:right w:val="single" w:sz="4" w:space="0" w:color="auto"/>
            </w:tcBorders>
            <w:noWrap/>
            <w:vAlign w:val="bottom"/>
            <w:hideMark/>
          </w:tcPr>
          <w:p w14:paraId="3D7B22A8" w14:textId="77777777" w:rsidR="00086EC5" w:rsidRDefault="00086EC5">
            <w:pPr>
              <w:spacing w:after="0" w:line="240" w:lineRule="auto"/>
              <w:ind w:left="0" w:hanging="2"/>
              <w:jc w:val="center"/>
              <w:rPr>
                <w:color w:val="000000"/>
                <w:lang w:val="es-CL"/>
              </w:rPr>
            </w:pPr>
            <w:r>
              <w:rPr>
                <w:color w:val="000000"/>
                <w:lang w:val="es-CL"/>
              </w:rPr>
              <w:t>87,20%</w:t>
            </w:r>
          </w:p>
        </w:tc>
        <w:tc>
          <w:tcPr>
            <w:tcW w:w="777" w:type="pct"/>
            <w:tcBorders>
              <w:top w:val="single" w:sz="4" w:space="0" w:color="auto"/>
              <w:left w:val="single" w:sz="4" w:space="0" w:color="auto"/>
              <w:bottom w:val="single" w:sz="4" w:space="0" w:color="auto"/>
              <w:right w:val="single" w:sz="4" w:space="0" w:color="auto"/>
            </w:tcBorders>
            <w:noWrap/>
            <w:vAlign w:val="bottom"/>
            <w:hideMark/>
          </w:tcPr>
          <w:p w14:paraId="37ED5F13" w14:textId="77777777" w:rsidR="00086EC5" w:rsidRDefault="00086EC5">
            <w:pPr>
              <w:spacing w:after="0" w:line="240" w:lineRule="auto"/>
              <w:ind w:left="0" w:hanging="2"/>
              <w:jc w:val="center"/>
              <w:rPr>
                <w:color w:val="000000"/>
                <w:lang w:val="es-CL"/>
              </w:rPr>
            </w:pPr>
            <w:r>
              <w:rPr>
                <w:color w:val="000000"/>
                <w:lang w:val="es-CL"/>
              </w:rPr>
              <w:t>5</w:t>
            </w:r>
          </w:p>
        </w:tc>
        <w:tc>
          <w:tcPr>
            <w:tcW w:w="777" w:type="pct"/>
            <w:tcBorders>
              <w:top w:val="single" w:sz="4" w:space="0" w:color="auto"/>
              <w:left w:val="single" w:sz="4" w:space="0" w:color="auto"/>
              <w:bottom w:val="single" w:sz="4" w:space="0" w:color="auto"/>
              <w:right w:val="single" w:sz="4" w:space="0" w:color="auto"/>
            </w:tcBorders>
            <w:noWrap/>
            <w:vAlign w:val="center"/>
            <w:hideMark/>
          </w:tcPr>
          <w:p w14:paraId="28651FCA" w14:textId="77777777" w:rsidR="00086EC5" w:rsidRDefault="00086EC5">
            <w:pPr>
              <w:spacing w:after="0" w:line="240" w:lineRule="auto"/>
              <w:ind w:left="0" w:hanging="2"/>
              <w:jc w:val="center"/>
              <w:rPr>
                <w:color w:val="000000"/>
                <w:lang w:val="es-CL"/>
              </w:rPr>
            </w:pPr>
            <w:r>
              <w:rPr>
                <w:color w:val="000000"/>
                <w:lang w:val="es-CL"/>
              </w:rPr>
              <w:t>12,8%</w:t>
            </w:r>
          </w:p>
        </w:tc>
        <w:tc>
          <w:tcPr>
            <w:tcW w:w="681" w:type="pct"/>
            <w:tcBorders>
              <w:top w:val="single" w:sz="4" w:space="0" w:color="auto"/>
              <w:left w:val="single" w:sz="4" w:space="0" w:color="auto"/>
              <w:bottom w:val="single" w:sz="4" w:space="0" w:color="auto"/>
              <w:right w:val="single" w:sz="4" w:space="0" w:color="auto"/>
            </w:tcBorders>
            <w:vAlign w:val="center"/>
            <w:hideMark/>
          </w:tcPr>
          <w:p w14:paraId="4A815196" w14:textId="77777777" w:rsidR="00086EC5" w:rsidRDefault="00086EC5">
            <w:pPr>
              <w:spacing w:after="0" w:line="240" w:lineRule="auto"/>
              <w:ind w:left="0" w:hanging="2"/>
              <w:jc w:val="center"/>
              <w:rPr>
                <w:b/>
                <w:bCs/>
                <w:lang w:val="es-CL"/>
              </w:rPr>
            </w:pPr>
            <w:r>
              <w:rPr>
                <w:b/>
                <w:bCs/>
                <w:lang w:val="es-CL"/>
              </w:rPr>
              <w:t>39 (60%)</w:t>
            </w:r>
          </w:p>
        </w:tc>
      </w:tr>
      <w:tr w:rsidR="00086EC5" w14:paraId="608B5B27" w14:textId="77777777" w:rsidTr="00086EC5">
        <w:trPr>
          <w:trHeight w:val="288"/>
        </w:trPr>
        <w:tc>
          <w:tcPr>
            <w:tcW w:w="1212" w:type="pct"/>
            <w:tcBorders>
              <w:top w:val="single" w:sz="4" w:space="0" w:color="auto"/>
              <w:left w:val="single" w:sz="4" w:space="0" w:color="auto"/>
              <w:bottom w:val="single" w:sz="4" w:space="0" w:color="auto"/>
              <w:right w:val="single" w:sz="4" w:space="0" w:color="auto"/>
            </w:tcBorders>
            <w:shd w:val="clear" w:color="auto" w:fill="00B050"/>
            <w:noWrap/>
            <w:vAlign w:val="bottom"/>
            <w:hideMark/>
          </w:tcPr>
          <w:p w14:paraId="1F65ECE7" w14:textId="77777777" w:rsidR="00086EC5" w:rsidRDefault="00086EC5">
            <w:pPr>
              <w:spacing w:after="0" w:line="240" w:lineRule="auto"/>
              <w:ind w:left="0" w:hanging="2"/>
              <w:rPr>
                <w:b/>
                <w:bCs/>
                <w:color w:val="FFFFFF" w:themeColor="background1"/>
                <w:lang w:val="es-CL"/>
              </w:rPr>
            </w:pPr>
            <w:r>
              <w:rPr>
                <w:b/>
                <w:bCs/>
                <w:color w:val="FFFFFF" w:themeColor="background1"/>
                <w:lang w:val="es-CL"/>
              </w:rPr>
              <w:t>Total estudiantes</w:t>
            </w:r>
          </w:p>
        </w:tc>
        <w:tc>
          <w:tcPr>
            <w:tcW w:w="776" w:type="pct"/>
            <w:tcBorders>
              <w:top w:val="single" w:sz="4" w:space="0" w:color="auto"/>
              <w:left w:val="single" w:sz="4" w:space="0" w:color="auto"/>
              <w:bottom w:val="single" w:sz="4" w:space="0" w:color="auto"/>
              <w:right w:val="single" w:sz="4" w:space="0" w:color="auto"/>
            </w:tcBorders>
            <w:noWrap/>
            <w:vAlign w:val="bottom"/>
            <w:hideMark/>
          </w:tcPr>
          <w:p w14:paraId="243E21B4" w14:textId="77777777" w:rsidR="00086EC5" w:rsidRDefault="00086EC5">
            <w:pPr>
              <w:spacing w:after="0" w:line="240" w:lineRule="auto"/>
              <w:ind w:left="0" w:hanging="2"/>
              <w:jc w:val="center"/>
              <w:rPr>
                <w:b/>
                <w:bCs/>
                <w:lang w:val="es-CL"/>
              </w:rPr>
            </w:pPr>
            <w:r>
              <w:rPr>
                <w:b/>
                <w:bCs/>
                <w:lang w:val="es-CL"/>
              </w:rPr>
              <w:t>59</w:t>
            </w:r>
          </w:p>
        </w:tc>
        <w:tc>
          <w:tcPr>
            <w:tcW w:w="777" w:type="pct"/>
            <w:tcBorders>
              <w:top w:val="single" w:sz="4" w:space="0" w:color="auto"/>
              <w:left w:val="single" w:sz="4" w:space="0" w:color="auto"/>
              <w:bottom w:val="single" w:sz="4" w:space="0" w:color="auto"/>
              <w:right w:val="single" w:sz="4" w:space="0" w:color="auto"/>
            </w:tcBorders>
            <w:noWrap/>
            <w:vAlign w:val="bottom"/>
            <w:hideMark/>
          </w:tcPr>
          <w:p w14:paraId="7E9FAA50" w14:textId="77777777" w:rsidR="00086EC5" w:rsidRDefault="00086EC5">
            <w:pPr>
              <w:spacing w:after="0" w:line="240" w:lineRule="auto"/>
              <w:ind w:left="0" w:hanging="2"/>
              <w:jc w:val="center"/>
              <w:rPr>
                <w:b/>
                <w:bCs/>
                <w:lang w:val="es-CL"/>
              </w:rPr>
            </w:pPr>
            <w:r>
              <w:rPr>
                <w:b/>
                <w:bCs/>
                <w:lang w:val="es-CL"/>
              </w:rPr>
              <w:t>90,80%</w:t>
            </w:r>
          </w:p>
        </w:tc>
        <w:tc>
          <w:tcPr>
            <w:tcW w:w="777" w:type="pct"/>
            <w:tcBorders>
              <w:top w:val="single" w:sz="4" w:space="0" w:color="auto"/>
              <w:left w:val="single" w:sz="4" w:space="0" w:color="auto"/>
              <w:bottom w:val="single" w:sz="4" w:space="0" w:color="auto"/>
              <w:right w:val="single" w:sz="4" w:space="0" w:color="auto"/>
            </w:tcBorders>
            <w:noWrap/>
            <w:vAlign w:val="bottom"/>
            <w:hideMark/>
          </w:tcPr>
          <w:p w14:paraId="4E55BA8B" w14:textId="77777777" w:rsidR="00086EC5" w:rsidRDefault="00086EC5">
            <w:pPr>
              <w:spacing w:after="0" w:line="240" w:lineRule="auto"/>
              <w:ind w:left="0" w:hanging="2"/>
              <w:jc w:val="center"/>
              <w:rPr>
                <w:b/>
                <w:bCs/>
                <w:lang w:val="es-CL"/>
              </w:rPr>
            </w:pPr>
            <w:r>
              <w:rPr>
                <w:b/>
                <w:bCs/>
                <w:lang w:val="es-CL"/>
              </w:rPr>
              <w:t>6</w:t>
            </w:r>
          </w:p>
        </w:tc>
        <w:tc>
          <w:tcPr>
            <w:tcW w:w="777" w:type="pct"/>
            <w:tcBorders>
              <w:top w:val="single" w:sz="4" w:space="0" w:color="auto"/>
              <w:left w:val="single" w:sz="4" w:space="0" w:color="auto"/>
              <w:bottom w:val="single" w:sz="4" w:space="0" w:color="auto"/>
              <w:right w:val="single" w:sz="4" w:space="0" w:color="auto"/>
            </w:tcBorders>
            <w:noWrap/>
            <w:vAlign w:val="bottom"/>
            <w:hideMark/>
          </w:tcPr>
          <w:p w14:paraId="49E24D86" w14:textId="77777777" w:rsidR="00086EC5" w:rsidRDefault="00086EC5">
            <w:pPr>
              <w:spacing w:after="0" w:line="240" w:lineRule="auto"/>
              <w:ind w:left="0" w:hanging="2"/>
              <w:jc w:val="center"/>
              <w:rPr>
                <w:b/>
                <w:bCs/>
                <w:lang w:val="es-CL"/>
              </w:rPr>
            </w:pPr>
            <w:r>
              <w:rPr>
                <w:b/>
                <w:bCs/>
                <w:lang w:val="es-CL"/>
              </w:rPr>
              <w:t>9,20%</w:t>
            </w:r>
          </w:p>
        </w:tc>
        <w:tc>
          <w:tcPr>
            <w:tcW w:w="681" w:type="pct"/>
            <w:tcBorders>
              <w:top w:val="single" w:sz="4" w:space="0" w:color="auto"/>
              <w:left w:val="single" w:sz="4" w:space="0" w:color="auto"/>
              <w:bottom w:val="single" w:sz="4" w:space="0" w:color="auto"/>
              <w:right w:val="single" w:sz="4" w:space="0" w:color="auto"/>
            </w:tcBorders>
            <w:vAlign w:val="bottom"/>
            <w:hideMark/>
          </w:tcPr>
          <w:p w14:paraId="09C4DE28" w14:textId="77777777" w:rsidR="00086EC5" w:rsidRDefault="00086EC5">
            <w:pPr>
              <w:spacing w:after="0" w:line="240" w:lineRule="auto"/>
              <w:ind w:left="0" w:hanging="2"/>
              <w:jc w:val="center"/>
              <w:rPr>
                <w:b/>
                <w:bCs/>
                <w:lang w:val="es-CL"/>
              </w:rPr>
            </w:pPr>
            <w:r>
              <w:rPr>
                <w:b/>
                <w:bCs/>
                <w:lang w:val="es-CL"/>
              </w:rPr>
              <w:t>100%</w:t>
            </w:r>
          </w:p>
        </w:tc>
      </w:tr>
    </w:tbl>
    <w:p w14:paraId="5D34D0F7" w14:textId="77777777" w:rsidR="00086EC5" w:rsidRPr="00A641B3" w:rsidRDefault="00086EC5" w:rsidP="00086EC5">
      <w:pPr>
        <w:spacing w:after="0"/>
        <w:ind w:left="0" w:hanging="2"/>
        <w:rPr>
          <w:rFonts w:eastAsiaTheme="minorHAnsi"/>
          <w:sz w:val="16"/>
          <w:szCs w:val="16"/>
          <w:lang w:val="es-CL" w:eastAsia="en-US"/>
        </w:rPr>
      </w:pPr>
      <w:r w:rsidRPr="00A641B3">
        <w:rPr>
          <w:sz w:val="16"/>
          <w:szCs w:val="16"/>
          <w:lang w:val="es-CL"/>
        </w:rPr>
        <w:t>N = 65 estudiantes de primer año de la carrera.</w:t>
      </w:r>
    </w:p>
    <w:p w14:paraId="4E417FDA" w14:textId="77777777" w:rsidR="00086EC5" w:rsidRDefault="00086EC5" w:rsidP="00086EC5">
      <w:pPr>
        <w:pStyle w:val="Sinespaciado"/>
        <w:rPr>
          <w:lang w:val="es-CL"/>
        </w:rPr>
      </w:pPr>
    </w:p>
    <w:p w14:paraId="4A234BD4" w14:textId="73DE21FB" w:rsidR="00086EC5" w:rsidRDefault="00086EC5" w:rsidP="00E208B0">
      <w:pPr>
        <w:spacing w:line="240" w:lineRule="auto"/>
        <w:ind w:leftChars="0" w:left="2" w:hanging="2"/>
        <w:rPr>
          <w:sz w:val="24"/>
          <w:szCs w:val="24"/>
          <w:lang w:val="es-CL"/>
        </w:rPr>
      </w:pPr>
      <w:r>
        <w:rPr>
          <w:sz w:val="24"/>
          <w:szCs w:val="24"/>
          <w:lang w:val="es-CL"/>
        </w:rPr>
        <w:t>Según los resultados presentados en la tabla</w:t>
      </w:r>
      <w:r w:rsidR="00E002A4">
        <w:rPr>
          <w:sz w:val="24"/>
          <w:szCs w:val="24"/>
          <w:lang w:val="es-CL"/>
        </w:rPr>
        <w:t xml:space="preserve"> 4</w:t>
      </w:r>
      <w:r>
        <w:rPr>
          <w:sz w:val="24"/>
          <w:szCs w:val="24"/>
          <w:lang w:val="es-CL"/>
        </w:rPr>
        <w:t>, se observa que de los 26 inscritos en tutorías académicas, un 96,2% logró aprobar el curso que solicita la competencia comunicativa como elemento mínimo para su aprobación final. Este porcentaje de aprobación es superior en un 11% al porcentaje de los estudiantes que no se inscribieron en tutoría académica durante el semestre y que pasaron la asignatura, equivalente a un 87,2%.</w:t>
      </w:r>
    </w:p>
    <w:p w14:paraId="4720E0ED" w14:textId="77777777" w:rsidR="00086EC5" w:rsidRDefault="00086EC5" w:rsidP="00E208B0">
      <w:pPr>
        <w:spacing w:line="240" w:lineRule="auto"/>
        <w:ind w:leftChars="0" w:left="2" w:hanging="2"/>
        <w:rPr>
          <w:sz w:val="24"/>
          <w:szCs w:val="24"/>
          <w:lang w:val="es-CL"/>
        </w:rPr>
      </w:pPr>
      <w:r>
        <w:rPr>
          <w:sz w:val="24"/>
          <w:szCs w:val="24"/>
          <w:lang w:val="es-CL"/>
        </w:rPr>
        <w:t>Por otro lado, considerando los resultados obtenidos en la tabla 4, en la siguiente tabla se da cuenta de la media de aprobación en la asignatura mencionada, “Pensamiento Pedagógico: Persona y Sociedad”, en relación a los estudiantes inscritos en las tutorías académicas realizadas:</w:t>
      </w:r>
    </w:p>
    <w:p w14:paraId="5361C6ED" w14:textId="77777777" w:rsidR="00086EC5" w:rsidRDefault="00086EC5" w:rsidP="00086EC5">
      <w:pPr>
        <w:pStyle w:val="Sinespaciado"/>
        <w:rPr>
          <w:lang w:val="es-CL"/>
        </w:rPr>
      </w:pPr>
    </w:p>
    <w:p w14:paraId="69196257" w14:textId="77777777" w:rsidR="00086EC5" w:rsidRPr="00A641B3" w:rsidRDefault="00086EC5" w:rsidP="00086EC5">
      <w:pPr>
        <w:pStyle w:val="Sinespaciado"/>
        <w:jc w:val="both"/>
        <w:rPr>
          <w:rFonts w:ascii="Times New Roman" w:hAnsi="Times New Roman" w:cs="Times New Roman"/>
          <w:b/>
          <w:bCs/>
          <w:sz w:val="16"/>
          <w:szCs w:val="16"/>
          <w:lang w:val="es-CL"/>
        </w:rPr>
      </w:pPr>
      <w:r w:rsidRPr="00A641B3">
        <w:rPr>
          <w:rFonts w:ascii="Times New Roman" w:hAnsi="Times New Roman" w:cs="Times New Roman"/>
          <w:b/>
          <w:bCs/>
          <w:sz w:val="16"/>
          <w:szCs w:val="16"/>
          <w:lang w:val="es-CL"/>
        </w:rPr>
        <w:t>Tabla 5. Media de aprobación en curso “Pensamiento Pedagógico: Persona y Sociedad” según inscripción en tutoría académica semestral a estudiantes de primer año.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2432"/>
        <w:gridCol w:w="3137"/>
      </w:tblGrid>
      <w:tr w:rsidR="00086EC5" w14:paraId="5A1BA737" w14:textId="77777777" w:rsidTr="00086EC5">
        <w:trPr>
          <w:trHeight w:val="288"/>
        </w:trPr>
        <w:tc>
          <w:tcPr>
            <w:tcW w:w="2108" w:type="pct"/>
            <w:tcBorders>
              <w:top w:val="single" w:sz="4" w:space="0" w:color="auto"/>
              <w:left w:val="single" w:sz="4" w:space="0" w:color="auto"/>
              <w:bottom w:val="single" w:sz="4" w:space="0" w:color="auto"/>
              <w:right w:val="single" w:sz="4" w:space="0" w:color="auto"/>
            </w:tcBorders>
            <w:shd w:val="clear" w:color="auto" w:fill="0070C0"/>
            <w:noWrap/>
            <w:hideMark/>
          </w:tcPr>
          <w:p w14:paraId="0DDE8132" w14:textId="77777777" w:rsidR="00086EC5" w:rsidRDefault="00086EC5">
            <w:pPr>
              <w:shd w:val="clear" w:color="auto" w:fill="0070C0"/>
              <w:spacing w:after="0" w:line="240" w:lineRule="auto"/>
              <w:ind w:left="0" w:hanging="2"/>
              <w:jc w:val="center"/>
              <w:rPr>
                <w:b/>
                <w:bCs/>
                <w:color w:val="FFFFFF" w:themeColor="background1"/>
                <w:lang w:val="es-CL"/>
              </w:rPr>
            </w:pPr>
            <w:r>
              <w:rPr>
                <w:b/>
                <w:bCs/>
                <w:color w:val="FFFFFF" w:themeColor="background1"/>
                <w:lang w:val="es-CL"/>
              </w:rPr>
              <w:t>Inscripción en tutoría académica</w:t>
            </w:r>
          </w:p>
          <w:p w14:paraId="2C0F099F" w14:textId="77777777" w:rsidR="00086EC5" w:rsidRDefault="00086EC5">
            <w:pPr>
              <w:shd w:val="clear" w:color="auto" w:fill="0070C0"/>
              <w:spacing w:after="0" w:line="240" w:lineRule="auto"/>
              <w:ind w:left="0" w:hanging="2"/>
              <w:jc w:val="center"/>
              <w:rPr>
                <w:b/>
                <w:bCs/>
                <w:color w:val="FFFFFF" w:themeColor="background1"/>
                <w:lang w:val="es-CL"/>
              </w:rPr>
            </w:pPr>
            <w:r>
              <w:rPr>
                <w:b/>
                <w:bCs/>
                <w:color w:val="FFFFFF" w:themeColor="background1"/>
                <w:lang w:val="es-CL"/>
              </w:rPr>
              <w:t>semestral</w:t>
            </w:r>
          </w:p>
        </w:tc>
        <w:tc>
          <w:tcPr>
            <w:tcW w:w="1263" w:type="pct"/>
            <w:tcBorders>
              <w:top w:val="single" w:sz="4" w:space="0" w:color="auto"/>
              <w:left w:val="single" w:sz="4" w:space="0" w:color="auto"/>
              <w:bottom w:val="single" w:sz="4" w:space="0" w:color="auto"/>
              <w:right w:val="single" w:sz="4" w:space="0" w:color="auto"/>
            </w:tcBorders>
            <w:shd w:val="clear" w:color="auto" w:fill="0070C0"/>
            <w:noWrap/>
            <w:hideMark/>
          </w:tcPr>
          <w:p w14:paraId="57F0E3EA"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Media</w:t>
            </w:r>
          </w:p>
        </w:tc>
        <w:tc>
          <w:tcPr>
            <w:tcW w:w="1629" w:type="pct"/>
            <w:tcBorders>
              <w:top w:val="single" w:sz="4" w:space="0" w:color="auto"/>
              <w:left w:val="single" w:sz="4" w:space="0" w:color="auto"/>
              <w:bottom w:val="single" w:sz="4" w:space="0" w:color="auto"/>
              <w:right w:val="single" w:sz="4" w:space="0" w:color="auto"/>
            </w:tcBorders>
            <w:shd w:val="clear" w:color="auto" w:fill="0070C0"/>
            <w:noWrap/>
            <w:hideMark/>
          </w:tcPr>
          <w:p w14:paraId="4F6468F7"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Desviación estándar</w:t>
            </w:r>
          </w:p>
        </w:tc>
      </w:tr>
      <w:tr w:rsidR="00086EC5" w14:paraId="0D999AE3" w14:textId="77777777" w:rsidTr="00086EC5">
        <w:trPr>
          <w:trHeight w:val="288"/>
        </w:trPr>
        <w:tc>
          <w:tcPr>
            <w:tcW w:w="2108" w:type="pct"/>
            <w:tcBorders>
              <w:top w:val="single" w:sz="4" w:space="0" w:color="auto"/>
              <w:left w:val="single" w:sz="4" w:space="0" w:color="auto"/>
              <w:bottom w:val="single" w:sz="4" w:space="0" w:color="auto"/>
              <w:right w:val="single" w:sz="4" w:space="0" w:color="auto"/>
            </w:tcBorders>
            <w:noWrap/>
            <w:vAlign w:val="center"/>
            <w:hideMark/>
          </w:tcPr>
          <w:p w14:paraId="71EAE0DD" w14:textId="77777777" w:rsidR="00086EC5" w:rsidRDefault="00086EC5">
            <w:pPr>
              <w:spacing w:after="0" w:line="240" w:lineRule="auto"/>
              <w:ind w:left="0" w:hanging="2"/>
              <w:jc w:val="center"/>
              <w:rPr>
                <w:color w:val="000000"/>
                <w:lang w:val="es-CL"/>
              </w:rPr>
            </w:pPr>
            <w:r>
              <w:rPr>
                <w:color w:val="000000"/>
                <w:lang w:val="es-CL"/>
              </w:rPr>
              <w:t>Sí</w:t>
            </w:r>
          </w:p>
        </w:tc>
        <w:tc>
          <w:tcPr>
            <w:tcW w:w="1263" w:type="pct"/>
            <w:tcBorders>
              <w:top w:val="single" w:sz="4" w:space="0" w:color="auto"/>
              <w:left w:val="single" w:sz="4" w:space="0" w:color="auto"/>
              <w:bottom w:val="single" w:sz="4" w:space="0" w:color="auto"/>
              <w:right w:val="single" w:sz="4" w:space="0" w:color="auto"/>
            </w:tcBorders>
            <w:noWrap/>
            <w:vAlign w:val="bottom"/>
            <w:hideMark/>
          </w:tcPr>
          <w:p w14:paraId="5AC1701A" w14:textId="77777777" w:rsidR="00086EC5" w:rsidRDefault="00086EC5">
            <w:pPr>
              <w:spacing w:after="0" w:line="240" w:lineRule="auto"/>
              <w:ind w:left="0" w:hanging="2"/>
              <w:jc w:val="center"/>
              <w:rPr>
                <w:color w:val="000000"/>
                <w:lang w:val="es-CL"/>
              </w:rPr>
            </w:pPr>
            <w:r>
              <w:rPr>
                <w:color w:val="000000"/>
                <w:lang w:val="es-CL"/>
              </w:rPr>
              <w:t>58,85</w:t>
            </w:r>
          </w:p>
        </w:tc>
        <w:tc>
          <w:tcPr>
            <w:tcW w:w="1629" w:type="pct"/>
            <w:tcBorders>
              <w:top w:val="single" w:sz="4" w:space="0" w:color="auto"/>
              <w:left w:val="single" w:sz="4" w:space="0" w:color="auto"/>
              <w:bottom w:val="single" w:sz="4" w:space="0" w:color="auto"/>
              <w:right w:val="single" w:sz="4" w:space="0" w:color="auto"/>
            </w:tcBorders>
            <w:noWrap/>
            <w:vAlign w:val="bottom"/>
            <w:hideMark/>
          </w:tcPr>
          <w:p w14:paraId="49F66BFD" w14:textId="77777777" w:rsidR="00086EC5" w:rsidRDefault="00086EC5">
            <w:pPr>
              <w:spacing w:after="0" w:line="240" w:lineRule="auto"/>
              <w:ind w:left="0" w:hanging="2"/>
              <w:jc w:val="center"/>
              <w:rPr>
                <w:color w:val="000000"/>
                <w:lang w:val="es-CL"/>
              </w:rPr>
            </w:pPr>
            <w:r>
              <w:rPr>
                <w:color w:val="000000"/>
                <w:lang w:val="es-CL"/>
              </w:rPr>
              <w:t>13,02</w:t>
            </w:r>
          </w:p>
        </w:tc>
      </w:tr>
      <w:tr w:rsidR="00086EC5" w14:paraId="0B4517B5" w14:textId="77777777" w:rsidTr="00086EC5">
        <w:trPr>
          <w:trHeight w:val="288"/>
        </w:trPr>
        <w:tc>
          <w:tcPr>
            <w:tcW w:w="2108" w:type="pct"/>
            <w:tcBorders>
              <w:top w:val="single" w:sz="4" w:space="0" w:color="auto"/>
              <w:left w:val="single" w:sz="4" w:space="0" w:color="auto"/>
              <w:bottom w:val="single" w:sz="4" w:space="0" w:color="auto"/>
              <w:right w:val="single" w:sz="4" w:space="0" w:color="auto"/>
            </w:tcBorders>
            <w:noWrap/>
            <w:vAlign w:val="center"/>
            <w:hideMark/>
          </w:tcPr>
          <w:p w14:paraId="58D79F00" w14:textId="77777777" w:rsidR="00086EC5" w:rsidRDefault="00086EC5">
            <w:pPr>
              <w:spacing w:after="0" w:line="240" w:lineRule="auto"/>
              <w:ind w:left="0" w:hanging="2"/>
              <w:jc w:val="center"/>
              <w:rPr>
                <w:color w:val="000000"/>
                <w:lang w:val="es-CL"/>
              </w:rPr>
            </w:pPr>
            <w:r>
              <w:rPr>
                <w:color w:val="000000"/>
                <w:lang w:val="es-CL"/>
              </w:rPr>
              <w:t>No</w:t>
            </w:r>
          </w:p>
        </w:tc>
        <w:tc>
          <w:tcPr>
            <w:tcW w:w="1263" w:type="pct"/>
            <w:tcBorders>
              <w:top w:val="single" w:sz="4" w:space="0" w:color="auto"/>
              <w:left w:val="single" w:sz="4" w:space="0" w:color="auto"/>
              <w:bottom w:val="single" w:sz="4" w:space="0" w:color="auto"/>
              <w:right w:val="single" w:sz="4" w:space="0" w:color="auto"/>
            </w:tcBorders>
            <w:noWrap/>
            <w:vAlign w:val="bottom"/>
            <w:hideMark/>
          </w:tcPr>
          <w:p w14:paraId="62FBA71A" w14:textId="77777777" w:rsidR="00086EC5" w:rsidRDefault="00086EC5">
            <w:pPr>
              <w:spacing w:after="0" w:line="240" w:lineRule="auto"/>
              <w:ind w:left="0" w:hanging="2"/>
              <w:jc w:val="center"/>
              <w:rPr>
                <w:color w:val="000000"/>
                <w:lang w:val="es-CL"/>
              </w:rPr>
            </w:pPr>
            <w:r>
              <w:rPr>
                <w:color w:val="000000"/>
                <w:lang w:val="es-CL"/>
              </w:rPr>
              <w:t>55,51</w:t>
            </w:r>
          </w:p>
        </w:tc>
        <w:tc>
          <w:tcPr>
            <w:tcW w:w="1629" w:type="pct"/>
            <w:tcBorders>
              <w:top w:val="single" w:sz="4" w:space="0" w:color="auto"/>
              <w:left w:val="single" w:sz="4" w:space="0" w:color="auto"/>
              <w:bottom w:val="single" w:sz="4" w:space="0" w:color="auto"/>
              <w:right w:val="single" w:sz="4" w:space="0" w:color="auto"/>
            </w:tcBorders>
            <w:noWrap/>
            <w:vAlign w:val="bottom"/>
            <w:hideMark/>
          </w:tcPr>
          <w:p w14:paraId="6B46840F" w14:textId="77777777" w:rsidR="00086EC5" w:rsidRDefault="00086EC5">
            <w:pPr>
              <w:spacing w:after="0" w:line="240" w:lineRule="auto"/>
              <w:ind w:left="0" w:hanging="2"/>
              <w:jc w:val="center"/>
              <w:rPr>
                <w:color w:val="000000"/>
                <w:lang w:val="es-CL"/>
              </w:rPr>
            </w:pPr>
            <w:r>
              <w:rPr>
                <w:color w:val="000000"/>
                <w:lang w:val="es-CL"/>
              </w:rPr>
              <w:t>17,18</w:t>
            </w:r>
          </w:p>
        </w:tc>
      </w:tr>
    </w:tbl>
    <w:p w14:paraId="74AB2FBA" w14:textId="77777777" w:rsidR="00086EC5" w:rsidRPr="00A641B3" w:rsidRDefault="00086EC5" w:rsidP="00086EC5">
      <w:pPr>
        <w:spacing w:after="0"/>
        <w:ind w:left="0" w:hanging="2"/>
        <w:rPr>
          <w:rFonts w:eastAsiaTheme="minorHAnsi"/>
          <w:sz w:val="16"/>
          <w:lang w:val="es-CL" w:eastAsia="en-US"/>
        </w:rPr>
      </w:pPr>
      <w:r w:rsidRPr="00A641B3">
        <w:rPr>
          <w:sz w:val="16"/>
          <w:lang w:val="es-CL"/>
        </w:rPr>
        <w:t>N = 65 estudiantes de primer año de la carrera.</w:t>
      </w:r>
    </w:p>
    <w:p w14:paraId="13E2AE2A" w14:textId="70408A41" w:rsidR="00086EC5" w:rsidRDefault="00086EC5" w:rsidP="00705056">
      <w:pPr>
        <w:ind w:leftChars="0" w:left="0" w:firstLineChars="0" w:firstLine="0"/>
        <w:rPr>
          <w:sz w:val="24"/>
          <w:szCs w:val="24"/>
          <w:lang w:val="es-CL"/>
        </w:rPr>
      </w:pPr>
      <w:r>
        <w:rPr>
          <w:sz w:val="24"/>
          <w:szCs w:val="24"/>
          <w:lang w:val="es-CL"/>
        </w:rPr>
        <w:lastRenderedPageBreak/>
        <w:t xml:space="preserve">Según los resultados obtenidos, se evidencia que la media de aprobación de los estudiantes, de un 58.85, fue de 3 puntos decimales superior a la media de aprobación que presentan los estudiantes que no se inscribieron en tutorías académicas, correspondiente a un 55,51. Junto a ello, cabe señalar que este grupo de estudiantes inscritos, en su mayoría, no había aprobado la competencia comunicativa relacionada con la escritura y la comprensión lectora, tal como se </w:t>
      </w:r>
      <w:r w:rsidR="00DF2662">
        <w:rPr>
          <w:sz w:val="24"/>
          <w:szCs w:val="24"/>
          <w:lang w:val="es-CL"/>
        </w:rPr>
        <w:t>visualiza</w:t>
      </w:r>
      <w:r>
        <w:rPr>
          <w:sz w:val="24"/>
          <w:szCs w:val="24"/>
          <w:lang w:val="es-CL"/>
        </w:rPr>
        <w:t xml:space="preserve"> en la tabla 2. En consecuencia, se puede observar una relación entre el apoyo realizado a este grupo de alumnos, junto a su porcentaje y media de aprobación. </w:t>
      </w:r>
    </w:p>
    <w:p w14:paraId="508FBA3C" w14:textId="2AFB2CDB" w:rsidR="00B76B3C" w:rsidRDefault="00086EC5" w:rsidP="001F22B6">
      <w:pPr>
        <w:ind w:leftChars="0" w:left="2" w:hanging="2"/>
        <w:rPr>
          <w:sz w:val="24"/>
          <w:szCs w:val="24"/>
          <w:lang w:val="es-CL"/>
        </w:rPr>
      </w:pPr>
      <w:r>
        <w:rPr>
          <w:sz w:val="24"/>
          <w:szCs w:val="24"/>
          <w:lang w:val="es-CL"/>
        </w:rPr>
        <w:t>Por su parte, en la tabla 6 se presenta la correlación, paramétrica (r de Pearson) y no paramétrica (Rho de Spearman), entre el porcentaje de asistencia de los estudiantes a las tutorías académicas realizadas en el semestre y la media de rendimiento académico de este grupo en particular para el curso mencionado:</w:t>
      </w:r>
    </w:p>
    <w:p w14:paraId="59A50DB4" w14:textId="77777777" w:rsidR="00086EC5" w:rsidRPr="00A641B3" w:rsidRDefault="00086EC5" w:rsidP="00086EC5">
      <w:pPr>
        <w:pStyle w:val="Sinespaciado"/>
        <w:jc w:val="both"/>
        <w:rPr>
          <w:rFonts w:ascii="Times New Roman" w:hAnsi="Times New Roman" w:cs="Times New Roman"/>
          <w:b/>
          <w:bCs/>
          <w:sz w:val="16"/>
          <w:szCs w:val="16"/>
          <w:lang w:val="es-CL"/>
        </w:rPr>
      </w:pPr>
      <w:r w:rsidRPr="00A641B3">
        <w:rPr>
          <w:rFonts w:ascii="Times New Roman" w:hAnsi="Times New Roman" w:cs="Times New Roman"/>
          <w:b/>
          <w:bCs/>
          <w:sz w:val="16"/>
          <w:szCs w:val="16"/>
          <w:lang w:val="es-CL"/>
        </w:rPr>
        <w:t>Tabla 6. Correlaciones paramétricas y no paramétricas entre el % de asistencia de tutorías académica y la media en el rendimiento académico del curso “Pensamiento Pedagógico: Persona y Sociedad” para estudiantes de primer año.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063"/>
        <w:gridCol w:w="1038"/>
        <w:gridCol w:w="1542"/>
        <w:gridCol w:w="1038"/>
        <w:gridCol w:w="1064"/>
        <w:gridCol w:w="1038"/>
        <w:gridCol w:w="1508"/>
      </w:tblGrid>
      <w:tr w:rsidR="00086EC5" w14:paraId="06DCD19D" w14:textId="77777777" w:rsidTr="00165ABF">
        <w:trPr>
          <w:trHeight w:val="561"/>
        </w:trPr>
        <w:tc>
          <w:tcPr>
            <w:tcW w:w="1212"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C0B9F6A"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Correlaciones</w:t>
            </w:r>
          </w:p>
          <w:p w14:paraId="54EF63FF"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r Pearson</w:t>
            </w:r>
          </w:p>
        </w:tc>
        <w:tc>
          <w:tcPr>
            <w:tcW w:w="6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EDC1A34"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w:t>
            </w:r>
          </w:p>
          <w:p w14:paraId="5CE644A9"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Asistencia</w:t>
            </w:r>
          </w:p>
        </w:tc>
        <w:tc>
          <w:tcPr>
            <w:tcW w:w="68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8E4E655"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w:t>
            </w:r>
          </w:p>
          <w:p w14:paraId="506503AD"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xml:space="preserve">Media de aprobación </w:t>
            </w:r>
          </w:p>
        </w:tc>
        <w:tc>
          <w:tcPr>
            <w:tcW w:w="1365"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E4AD18C"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xml:space="preserve">Correlaciones </w:t>
            </w:r>
          </w:p>
          <w:p w14:paraId="2755CF90"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rho Spearman</w:t>
            </w:r>
          </w:p>
        </w:tc>
        <w:tc>
          <w:tcPr>
            <w:tcW w:w="53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20889C7"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Asistencia</w:t>
            </w:r>
          </w:p>
        </w:tc>
        <w:tc>
          <w:tcPr>
            <w:tcW w:w="6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9A4F31"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Media de aprobación</w:t>
            </w:r>
          </w:p>
        </w:tc>
      </w:tr>
      <w:tr w:rsidR="00086EC5" w14:paraId="72B26E8A" w14:textId="77777777" w:rsidTr="00086EC5">
        <w:trPr>
          <w:trHeight w:val="288"/>
        </w:trPr>
        <w:tc>
          <w:tcPr>
            <w:tcW w:w="604" w:type="pct"/>
            <w:vMerge w:val="restart"/>
            <w:tcBorders>
              <w:top w:val="single" w:sz="4" w:space="0" w:color="auto"/>
              <w:left w:val="single" w:sz="4" w:space="0" w:color="auto"/>
              <w:bottom w:val="single" w:sz="4" w:space="0" w:color="auto"/>
              <w:right w:val="single" w:sz="4" w:space="0" w:color="auto"/>
            </w:tcBorders>
            <w:shd w:val="clear" w:color="auto" w:fill="0070C0"/>
            <w:noWrap/>
            <w:vAlign w:val="center"/>
          </w:tcPr>
          <w:p w14:paraId="60621A19"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Asistencia</w:t>
            </w:r>
          </w:p>
          <w:p w14:paraId="2E90156A" w14:textId="77777777" w:rsidR="00086EC5" w:rsidRDefault="00086EC5">
            <w:pPr>
              <w:spacing w:after="0" w:line="240" w:lineRule="auto"/>
              <w:ind w:left="0" w:hanging="2"/>
              <w:jc w:val="center"/>
              <w:rPr>
                <w:b/>
                <w:bCs/>
                <w:color w:val="FFFFFF" w:themeColor="background1"/>
                <w:lang w:val="es-CL"/>
              </w:rPr>
            </w:pPr>
          </w:p>
        </w:tc>
        <w:tc>
          <w:tcPr>
            <w:tcW w:w="607" w:type="pct"/>
            <w:tcBorders>
              <w:top w:val="single" w:sz="4" w:space="0" w:color="auto"/>
              <w:left w:val="single" w:sz="4" w:space="0" w:color="auto"/>
              <w:bottom w:val="single" w:sz="4" w:space="0" w:color="auto"/>
              <w:right w:val="single" w:sz="4" w:space="0" w:color="auto"/>
            </w:tcBorders>
            <w:noWrap/>
            <w:vAlign w:val="center"/>
            <w:hideMark/>
          </w:tcPr>
          <w:p w14:paraId="68923F4C" w14:textId="77777777" w:rsidR="00086EC5" w:rsidRDefault="00086EC5">
            <w:pPr>
              <w:spacing w:after="0" w:line="240" w:lineRule="auto"/>
              <w:ind w:left="0" w:hanging="2"/>
              <w:jc w:val="center"/>
              <w:rPr>
                <w:color w:val="000000"/>
                <w:lang w:val="es-CL"/>
              </w:rPr>
            </w:pPr>
            <w:r>
              <w:rPr>
                <w:color w:val="000000"/>
                <w:lang w:val="es-CL"/>
              </w:rPr>
              <w:t>r</w:t>
            </w:r>
          </w:p>
        </w:tc>
        <w:tc>
          <w:tcPr>
            <w:tcW w:w="607" w:type="pct"/>
            <w:tcBorders>
              <w:top w:val="single" w:sz="4" w:space="0" w:color="auto"/>
              <w:left w:val="single" w:sz="4" w:space="0" w:color="auto"/>
              <w:bottom w:val="single" w:sz="4" w:space="0" w:color="auto"/>
              <w:right w:val="single" w:sz="4" w:space="0" w:color="auto"/>
            </w:tcBorders>
            <w:noWrap/>
            <w:vAlign w:val="center"/>
            <w:hideMark/>
          </w:tcPr>
          <w:p w14:paraId="4D9344DD" w14:textId="77777777" w:rsidR="00086EC5" w:rsidRDefault="00086EC5">
            <w:pPr>
              <w:spacing w:after="0" w:line="240" w:lineRule="auto"/>
              <w:ind w:left="0" w:hanging="2"/>
              <w:jc w:val="center"/>
              <w:rPr>
                <w:color w:val="000000"/>
                <w:lang w:val="es-CL"/>
              </w:rPr>
            </w:pPr>
            <w:r>
              <w:rPr>
                <w:color w:val="000000"/>
                <w:lang w:val="es-CL"/>
              </w:rPr>
              <w:t>1</w:t>
            </w:r>
          </w:p>
        </w:tc>
        <w:tc>
          <w:tcPr>
            <w:tcW w:w="681" w:type="pct"/>
            <w:tcBorders>
              <w:top w:val="single" w:sz="4" w:space="0" w:color="auto"/>
              <w:left w:val="single" w:sz="4" w:space="0" w:color="auto"/>
              <w:bottom w:val="single" w:sz="4" w:space="0" w:color="auto"/>
              <w:right w:val="single" w:sz="4" w:space="0" w:color="auto"/>
            </w:tcBorders>
            <w:noWrap/>
            <w:vAlign w:val="center"/>
            <w:hideMark/>
          </w:tcPr>
          <w:p w14:paraId="25C5AE99" w14:textId="77777777" w:rsidR="00086EC5" w:rsidRDefault="00086EC5">
            <w:pPr>
              <w:spacing w:after="0" w:line="240" w:lineRule="auto"/>
              <w:ind w:left="0" w:hanging="2"/>
              <w:jc w:val="center"/>
              <w:rPr>
                <w:color w:val="000000"/>
                <w:lang w:val="es-CL"/>
              </w:rPr>
            </w:pPr>
            <w:r>
              <w:rPr>
                <w:color w:val="000000"/>
                <w:lang w:val="es-CL"/>
              </w:rPr>
              <w:t>0,481*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BC7F508"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 Asistencia</w:t>
            </w:r>
          </w:p>
        </w:tc>
        <w:tc>
          <w:tcPr>
            <w:tcW w:w="759" w:type="pct"/>
            <w:tcBorders>
              <w:top w:val="single" w:sz="4" w:space="0" w:color="auto"/>
              <w:left w:val="single" w:sz="4" w:space="0" w:color="auto"/>
              <w:bottom w:val="single" w:sz="4" w:space="0" w:color="auto"/>
              <w:right w:val="single" w:sz="4" w:space="0" w:color="auto"/>
            </w:tcBorders>
            <w:noWrap/>
            <w:vAlign w:val="center"/>
            <w:hideMark/>
          </w:tcPr>
          <w:p w14:paraId="310FF864" w14:textId="77777777" w:rsidR="00086EC5" w:rsidRDefault="00086EC5">
            <w:pPr>
              <w:spacing w:after="0" w:line="240" w:lineRule="auto"/>
              <w:ind w:left="0" w:hanging="2"/>
              <w:jc w:val="center"/>
              <w:rPr>
                <w:color w:val="000000"/>
                <w:lang w:val="es-CL"/>
              </w:rPr>
            </w:pPr>
            <w:r>
              <w:rPr>
                <w:color w:val="000000"/>
                <w:lang w:val="es-CL"/>
              </w:rPr>
              <w:t>rho</w:t>
            </w:r>
          </w:p>
        </w:tc>
        <w:tc>
          <w:tcPr>
            <w:tcW w:w="530" w:type="pct"/>
            <w:tcBorders>
              <w:top w:val="single" w:sz="4" w:space="0" w:color="auto"/>
              <w:left w:val="single" w:sz="4" w:space="0" w:color="auto"/>
              <w:bottom w:val="single" w:sz="4" w:space="0" w:color="auto"/>
              <w:right w:val="single" w:sz="4" w:space="0" w:color="auto"/>
            </w:tcBorders>
            <w:noWrap/>
            <w:vAlign w:val="center"/>
            <w:hideMark/>
          </w:tcPr>
          <w:p w14:paraId="4CB8EEEA" w14:textId="77777777" w:rsidR="00086EC5" w:rsidRDefault="00086EC5">
            <w:pPr>
              <w:spacing w:after="0" w:line="240" w:lineRule="auto"/>
              <w:ind w:left="0" w:hanging="2"/>
              <w:jc w:val="center"/>
              <w:rPr>
                <w:color w:val="000000"/>
                <w:lang w:val="es-CL"/>
              </w:rPr>
            </w:pPr>
            <w:r>
              <w:rPr>
                <w:color w:val="000000"/>
                <w:lang w:val="es-CL"/>
              </w:rPr>
              <w:t>1</w:t>
            </w:r>
          </w:p>
        </w:tc>
        <w:tc>
          <w:tcPr>
            <w:tcW w:w="606" w:type="pct"/>
            <w:tcBorders>
              <w:top w:val="single" w:sz="4" w:space="0" w:color="auto"/>
              <w:left w:val="single" w:sz="4" w:space="0" w:color="auto"/>
              <w:bottom w:val="single" w:sz="4" w:space="0" w:color="auto"/>
              <w:right w:val="single" w:sz="4" w:space="0" w:color="auto"/>
            </w:tcBorders>
            <w:noWrap/>
            <w:vAlign w:val="center"/>
            <w:hideMark/>
          </w:tcPr>
          <w:p w14:paraId="6DB277FF" w14:textId="77777777" w:rsidR="00086EC5" w:rsidRDefault="00086EC5">
            <w:pPr>
              <w:spacing w:after="0" w:line="240" w:lineRule="auto"/>
              <w:ind w:left="0" w:hanging="2"/>
              <w:jc w:val="center"/>
              <w:rPr>
                <w:color w:val="000000"/>
                <w:lang w:val="es-CL"/>
              </w:rPr>
            </w:pPr>
            <w:r>
              <w:rPr>
                <w:color w:val="000000"/>
                <w:lang w:val="es-CL"/>
              </w:rPr>
              <w:t>0,544**</w:t>
            </w:r>
          </w:p>
        </w:tc>
      </w:tr>
      <w:tr w:rsidR="00086EC5" w14:paraId="00FFC034" w14:textId="77777777" w:rsidTr="00086EC5">
        <w:trPr>
          <w:trHeight w:val="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79C8B" w14:textId="77777777" w:rsidR="00086EC5" w:rsidRDefault="00086EC5">
            <w:pPr>
              <w:spacing w:after="0"/>
              <w:ind w:left="0" w:hanging="2"/>
              <w:rPr>
                <w:b/>
                <w:bCs/>
                <w:color w:val="FFFFFF" w:themeColor="background1"/>
                <w:lang w:val="es-CL" w:eastAsia="en-US"/>
              </w:rPr>
            </w:pPr>
          </w:p>
        </w:tc>
        <w:tc>
          <w:tcPr>
            <w:tcW w:w="607" w:type="pct"/>
            <w:tcBorders>
              <w:top w:val="single" w:sz="4" w:space="0" w:color="auto"/>
              <w:left w:val="single" w:sz="4" w:space="0" w:color="auto"/>
              <w:bottom w:val="single" w:sz="4" w:space="0" w:color="auto"/>
              <w:right w:val="single" w:sz="4" w:space="0" w:color="auto"/>
            </w:tcBorders>
            <w:noWrap/>
            <w:vAlign w:val="center"/>
            <w:hideMark/>
          </w:tcPr>
          <w:p w14:paraId="504D5670" w14:textId="77777777" w:rsidR="00086EC5" w:rsidRDefault="00086EC5">
            <w:pPr>
              <w:spacing w:after="0" w:line="240" w:lineRule="auto"/>
              <w:ind w:left="0" w:hanging="2"/>
              <w:jc w:val="center"/>
              <w:rPr>
                <w:color w:val="000000"/>
                <w:lang w:val="es-CL"/>
              </w:rPr>
            </w:pPr>
            <w:r>
              <w:rPr>
                <w:color w:val="000000"/>
                <w:lang w:val="es-CL"/>
              </w:rPr>
              <w:t>Sig. (bilateral)</w:t>
            </w:r>
          </w:p>
        </w:tc>
        <w:tc>
          <w:tcPr>
            <w:tcW w:w="607" w:type="pct"/>
            <w:tcBorders>
              <w:top w:val="single" w:sz="4" w:space="0" w:color="auto"/>
              <w:left w:val="single" w:sz="4" w:space="0" w:color="auto"/>
              <w:bottom w:val="single" w:sz="4" w:space="0" w:color="auto"/>
              <w:right w:val="single" w:sz="4" w:space="0" w:color="auto"/>
            </w:tcBorders>
            <w:noWrap/>
            <w:vAlign w:val="center"/>
            <w:hideMark/>
          </w:tcPr>
          <w:p w14:paraId="41F9EDA4" w14:textId="77777777" w:rsidR="00086EC5" w:rsidRDefault="00086EC5">
            <w:pPr>
              <w:spacing w:after="0" w:line="240" w:lineRule="auto"/>
              <w:ind w:left="0" w:hanging="2"/>
              <w:jc w:val="center"/>
              <w:rPr>
                <w:color w:val="000000"/>
                <w:lang w:val="es-CL"/>
              </w:rPr>
            </w:pPr>
            <w:r>
              <w:rPr>
                <w:color w:val="000000"/>
                <w:lang w:val="es-CL"/>
              </w:rPr>
              <w:t>-</w:t>
            </w:r>
          </w:p>
        </w:tc>
        <w:tc>
          <w:tcPr>
            <w:tcW w:w="681" w:type="pct"/>
            <w:tcBorders>
              <w:top w:val="single" w:sz="4" w:space="0" w:color="auto"/>
              <w:left w:val="single" w:sz="4" w:space="0" w:color="auto"/>
              <w:bottom w:val="single" w:sz="4" w:space="0" w:color="auto"/>
              <w:right w:val="single" w:sz="4" w:space="0" w:color="auto"/>
            </w:tcBorders>
            <w:noWrap/>
            <w:vAlign w:val="center"/>
            <w:hideMark/>
          </w:tcPr>
          <w:p w14:paraId="2C1E7616" w14:textId="77777777" w:rsidR="00086EC5" w:rsidRDefault="00086EC5">
            <w:pPr>
              <w:spacing w:after="0" w:line="240" w:lineRule="auto"/>
              <w:ind w:left="0" w:hanging="2"/>
              <w:jc w:val="center"/>
              <w:rPr>
                <w:color w:val="000000"/>
                <w:lang w:val="es-CL"/>
              </w:rPr>
            </w:pPr>
            <w:r>
              <w:rPr>
                <w:color w:val="000000"/>
                <w:lang w:val="es-CL"/>
              </w:rPr>
              <w:t>0,013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4E4BD" w14:textId="77777777" w:rsidR="00086EC5" w:rsidRDefault="00086EC5">
            <w:pPr>
              <w:spacing w:after="0"/>
              <w:ind w:left="0" w:hanging="2"/>
              <w:rPr>
                <w:b/>
                <w:bCs/>
                <w:color w:val="FFFFFF" w:themeColor="background1"/>
                <w:lang w:val="es-CL" w:eastAsia="en-US"/>
              </w:rPr>
            </w:pPr>
          </w:p>
        </w:tc>
        <w:tc>
          <w:tcPr>
            <w:tcW w:w="759" w:type="pct"/>
            <w:tcBorders>
              <w:top w:val="single" w:sz="4" w:space="0" w:color="auto"/>
              <w:left w:val="single" w:sz="4" w:space="0" w:color="auto"/>
              <w:bottom w:val="single" w:sz="4" w:space="0" w:color="auto"/>
              <w:right w:val="single" w:sz="4" w:space="0" w:color="auto"/>
            </w:tcBorders>
            <w:noWrap/>
            <w:vAlign w:val="center"/>
            <w:hideMark/>
          </w:tcPr>
          <w:p w14:paraId="7BE7E9B8" w14:textId="77777777" w:rsidR="00086EC5" w:rsidRDefault="00086EC5">
            <w:pPr>
              <w:spacing w:after="0" w:line="240" w:lineRule="auto"/>
              <w:ind w:left="0" w:hanging="2"/>
              <w:jc w:val="center"/>
              <w:rPr>
                <w:color w:val="000000"/>
                <w:lang w:val="es-CL"/>
              </w:rPr>
            </w:pPr>
            <w:r>
              <w:rPr>
                <w:color w:val="000000"/>
                <w:lang w:val="es-CL"/>
              </w:rPr>
              <w:t>Sig. (bilateral)</w:t>
            </w:r>
          </w:p>
        </w:tc>
        <w:tc>
          <w:tcPr>
            <w:tcW w:w="530" w:type="pct"/>
            <w:tcBorders>
              <w:top w:val="single" w:sz="4" w:space="0" w:color="auto"/>
              <w:left w:val="single" w:sz="4" w:space="0" w:color="auto"/>
              <w:bottom w:val="single" w:sz="4" w:space="0" w:color="auto"/>
              <w:right w:val="single" w:sz="4" w:space="0" w:color="auto"/>
            </w:tcBorders>
            <w:noWrap/>
            <w:vAlign w:val="center"/>
            <w:hideMark/>
          </w:tcPr>
          <w:p w14:paraId="0AFE277E" w14:textId="77777777" w:rsidR="00086EC5" w:rsidRDefault="00086EC5">
            <w:pPr>
              <w:spacing w:after="0" w:line="240" w:lineRule="auto"/>
              <w:ind w:left="0" w:hanging="2"/>
              <w:jc w:val="center"/>
              <w:rPr>
                <w:color w:val="000000"/>
                <w:lang w:val="es-CL"/>
              </w:rPr>
            </w:pPr>
            <w:r>
              <w:rPr>
                <w:color w:val="000000"/>
                <w:lang w:val="es-CL"/>
              </w:rPr>
              <w:t>-</w:t>
            </w:r>
          </w:p>
        </w:tc>
        <w:tc>
          <w:tcPr>
            <w:tcW w:w="606" w:type="pct"/>
            <w:tcBorders>
              <w:top w:val="single" w:sz="4" w:space="0" w:color="auto"/>
              <w:left w:val="single" w:sz="4" w:space="0" w:color="auto"/>
              <w:bottom w:val="single" w:sz="4" w:space="0" w:color="auto"/>
              <w:right w:val="single" w:sz="4" w:space="0" w:color="auto"/>
            </w:tcBorders>
            <w:noWrap/>
            <w:vAlign w:val="center"/>
            <w:hideMark/>
          </w:tcPr>
          <w:p w14:paraId="533DB2C3" w14:textId="77777777" w:rsidR="00086EC5" w:rsidRDefault="00086EC5">
            <w:pPr>
              <w:spacing w:after="0" w:line="240" w:lineRule="auto"/>
              <w:ind w:left="0" w:hanging="2"/>
              <w:jc w:val="center"/>
              <w:rPr>
                <w:color w:val="000000"/>
                <w:lang w:val="es-CL"/>
              </w:rPr>
            </w:pPr>
            <w:r>
              <w:rPr>
                <w:color w:val="000000"/>
                <w:lang w:val="es-CL"/>
              </w:rPr>
              <w:t>0,004</w:t>
            </w:r>
          </w:p>
        </w:tc>
      </w:tr>
      <w:tr w:rsidR="00086EC5" w14:paraId="7ED4E7C4" w14:textId="77777777" w:rsidTr="00086EC5">
        <w:trPr>
          <w:trHeight w:val="288"/>
        </w:trPr>
        <w:tc>
          <w:tcPr>
            <w:tcW w:w="604" w:type="pct"/>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E7D4ACD"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Media aprobación</w:t>
            </w:r>
          </w:p>
        </w:tc>
        <w:tc>
          <w:tcPr>
            <w:tcW w:w="607" w:type="pct"/>
            <w:tcBorders>
              <w:top w:val="single" w:sz="4" w:space="0" w:color="auto"/>
              <w:left w:val="single" w:sz="4" w:space="0" w:color="auto"/>
              <w:bottom w:val="single" w:sz="4" w:space="0" w:color="auto"/>
              <w:right w:val="single" w:sz="4" w:space="0" w:color="auto"/>
            </w:tcBorders>
            <w:noWrap/>
            <w:vAlign w:val="center"/>
            <w:hideMark/>
          </w:tcPr>
          <w:p w14:paraId="57AB985A" w14:textId="77777777" w:rsidR="00086EC5" w:rsidRDefault="00086EC5">
            <w:pPr>
              <w:spacing w:after="0" w:line="240" w:lineRule="auto"/>
              <w:ind w:left="0" w:hanging="2"/>
              <w:jc w:val="center"/>
              <w:rPr>
                <w:color w:val="000000"/>
                <w:lang w:val="es-CL"/>
              </w:rPr>
            </w:pPr>
            <w:r>
              <w:rPr>
                <w:color w:val="000000"/>
                <w:lang w:val="es-CL"/>
              </w:rPr>
              <w:t>r</w:t>
            </w:r>
          </w:p>
        </w:tc>
        <w:tc>
          <w:tcPr>
            <w:tcW w:w="607" w:type="pct"/>
            <w:tcBorders>
              <w:top w:val="single" w:sz="4" w:space="0" w:color="auto"/>
              <w:left w:val="single" w:sz="4" w:space="0" w:color="auto"/>
              <w:bottom w:val="single" w:sz="4" w:space="0" w:color="auto"/>
              <w:right w:val="single" w:sz="4" w:space="0" w:color="auto"/>
            </w:tcBorders>
            <w:noWrap/>
            <w:vAlign w:val="center"/>
            <w:hideMark/>
          </w:tcPr>
          <w:p w14:paraId="6D00A011" w14:textId="77777777" w:rsidR="00086EC5" w:rsidRDefault="00086EC5">
            <w:pPr>
              <w:spacing w:after="0" w:line="240" w:lineRule="auto"/>
              <w:ind w:left="0" w:hanging="2"/>
              <w:jc w:val="center"/>
              <w:rPr>
                <w:color w:val="000000"/>
                <w:lang w:val="es-CL"/>
              </w:rPr>
            </w:pPr>
            <w:r>
              <w:rPr>
                <w:color w:val="000000"/>
                <w:lang w:val="es-CL"/>
              </w:rPr>
              <w:t>0,481*</w:t>
            </w:r>
          </w:p>
        </w:tc>
        <w:tc>
          <w:tcPr>
            <w:tcW w:w="681" w:type="pct"/>
            <w:tcBorders>
              <w:top w:val="single" w:sz="4" w:space="0" w:color="auto"/>
              <w:left w:val="single" w:sz="4" w:space="0" w:color="auto"/>
              <w:bottom w:val="single" w:sz="4" w:space="0" w:color="auto"/>
              <w:right w:val="single" w:sz="4" w:space="0" w:color="auto"/>
            </w:tcBorders>
            <w:noWrap/>
            <w:vAlign w:val="center"/>
            <w:hideMark/>
          </w:tcPr>
          <w:p w14:paraId="4C09912E" w14:textId="77777777" w:rsidR="00086EC5" w:rsidRDefault="00086EC5">
            <w:pPr>
              <w:spacing w:after="0" w:line="240" w:lineRule="auto"/>
              <w:ind w:left="0" w:hanging="2"/>
              <w:jc w:val="center"/>
              <w:rPr>
                <w:color w:val="000000"/>
                <w:lang w:val="es-CL"/>
              </w:rPr>
            </w:pPr>
            <w:r>
              <w:rPr>
                <w:color w:val="000000"/>
                <w:lang w:val="es-CL"/>
              </w:rPr>
              <w:t>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261365DB" w14:textId="77777777" w:rsidR="00086EC5" w:rsidRDefault="00086EC5">
            <w:pPr>
              <w:spacing w:after="0" w:line="240" w:lineRule="auto"/>
              <w:ind w:left="0" w:hanging="2"/>
              <w:jc w:val="center"/>
              <w:rPr>
                <w:b/>
                <w:bCs/>
                <w:color w:val="FFFFFF" w:themeColor="background1"/>
                <w:lang w:val="es-CL"/>
              </w:rPr>
            </w:pPr>
            <w:r>
              <w:rPr>
                <w:b/>
                <w:bCs/>
                <w:color w:val="FFFFFF" w:themeColor="background1"/>
                <w:lang w:val="es-CL"/>
              </w:rPr>
              <w:t>Media de aprobación</w:t>
            </w:r>
          </w:p>
        </w:tc>
        <w:tc>
          <w:tcPr>
            <w:tcW w:w="759" w:type="pct"/>
            <w:tcBorders>
              <w:top w:val="single" w:sz="4" w:space="0" w:color="auto"/>
              <w:left w:val="single" w:sz="4" w:space="0" w:color="auto"/>
              <w:bottom w:val="single" w:sz="4" w:space="0" w:color="auto"/>
              <w:right w:val="single" w:sz="4" w:space="0" w:color="auto"/>
            </w:tcBorders>
            <w:noWrap/>
            <w:vAlign w:val="center"/>
            <w:hideMark/>
          </w:tcPr>
          <w:p w14:paraId="51375BB9" w14:textId="77777777" w:rsidR="00086EC5" w:rsidRDefault="00086EC5">
            <w:pPr>
              <w:spacing w:after="0" w:line="240" w:lineRule="auto"/>
              <w:ind w:left="0" w:hanging="2"/>
              <w:jc w:val="center"/>
              <w:rPr>
                <w:color w:val="000000"/>
                <w:lang w:val="es-CL"/>
              </w:rPr>
            </w:pPr>
            <w:r>
              <w:rPr>
                <w:color w:val="000000"/>
                <w:lang w:val="es-CL"/>
              </w:rPr>
              <w:t>rho</w:t>
            </w:r>
          </w:p>
        </w:tc>
        <w:tc>
          <w:tcPr>
            <w:tcW w:w="530" w:type="pct"/>
            <w:tcBorders>
              <w:top w:val="single" w:sz="4" w:space="0" w:color="auto"/>
              <w:left w:val="single" w:sz="4" w:space="0" w:color="auto"/>
              <w:bottom w:val="single" w:sz="4" w:space="0" w:color="auto"/>
              <w:right w:val="single" w:sz="4" w:space="0" w:color="auto"/>
            </w:tcBorders>
            <w:noWrap/>
            <w:vAlign w:val="center"/>
            <w:hideMark/>
          </w:tcPr>
          <w:p w14:paraId="53C6A7E4" w14:textId="77777777" w:rsidR="00086EC5" w:rsidRDefault="00086EC5">
            <w:pPr>
              <w:spacing w:after="0" w:line="240" w:lineRule="auto"/>
              <w:ind w:left="0" w:hanging="2"/>
              <w:jc w:val="center"/>
              <w:rPr>
                <w:color w:val="000000"/>
                <w:lang w:val="es-CL"/>
              </w:rPr>
            </w:pPr>
            <w:r>
              <w:rPr>
                <w:color w:val="000000"/>
                <w:lang w:val="es-CL"/>
              </w:rPr>
              <w:t>0,544**</w:t>
            </w:r>
          </w:p>
        </w:tc>
        <w:tc>
          <w:tcPr>
            <w:tcW w:w="606" w:type="pct"/>
            <w:tcBorders>
              <w:top w:val="single" w:sz="4" w:space="0" w:color="auto"/>
              <w:left w:val="single" w:sz="4" w:space="0" w:color="auto"/>
              <w:bottom w:val="single" w:sz="4" w:space="0" w:color="auto"/>
              <w:right w:val="single" w:sz="4" w:space="0" w:color="auto"/>
            </w:tcBorders>
            <w:noWrap/>
            <w:vAlign w:val="center"/>
            <w:hideMark/>
          </w:tcPr>
          <w:p w14:paraId="0723ADF3" w14:textId="77777777" w:rsidR="00086EC5" w:rsidRDefault="00086EC5">
            <w:pPr>
              <w:spacing w:after="0" w:line="240" w:lineRule="auto"/>
              <w:ind w:left="0" w:hanging="2"/>
              <w:jc w:val="center"/>
              <w:rPr>
                <w:color w:val="000000"/>
                <w:lang w:val="es-CL"/>
              </w:rPr>
            </w:pPr>
            <w:r>
              <w:rPr>
                <w:color w:val="000000"/>
                <w:lang w:val="es-CL"/>
              </w:rPr>
              <w:t>1</w:t>
            </w:r>
          </w:p>
        </w:tc>
      </w:tr>
      <w:tr w:rsidR="00086EC5" w14:paraId="4515C36B" w14:textId="77777777" w:rsidTr="00086EC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C35A6" w14:textId="77777777" w:rsidR="00086EC5" w:rsidRDefault="00086EC5">
            <w:pPr>
              <w:spacing w:after="0"/>
              <w:ind w:left="0" w:hanging="2"/>
              <w:rPr>
                <w:b/>
                <w:bCs/>
                <w:color w:val="FFFFFF" w:themeColor="background1"/>
                <w:lang w:val="es-CL" w:eastAsia="en-US"/>
              </w:rPr>
            </w:pPr>
          </w:p>
        </w:tc>
        <w:tc>
          <w:tcPr>
            <w:tcW w:w="607" w:type="pct"/>
            <w:tcBorders>
              <w:top w:val="single" w:sz="4" w:space="0" w:color="auto"/>
              <w:left w:val="single" w:sz="4" w:space="0" w:color="auto"/>
              <w:bottom w:val="single" w:sz="4" w:space="0" w:color="auto"/>
              <w:right w:val="single" w:sz="4" w:space="0" w:color="auto"/>
            </w:tcBorders>
            <w:noWrap/>
            <w:vAlign w:val="center"/>
            <w:hideMark/>
          </w:tcPr>
          <w:p w14:paraId="5D330D6D" w14:textId="77777777" w:rsidR="00086EC5" w:rsidRDefault="00086EC5">
            <w:pPr>
              <w:spacing w:after="0" w:line="240" w:lineRule="auto"/>
              <w:ind w:left="0" w:hanging="2"/>
              <w:jc w:val="center"/>
              <w:rPr>
                <w:color w:val="000000"/>
                <w:lang w:val="es-CL"/>
              </w:rPr>
            </w:pPr>
            <w:r>
              <w:rPr>
                <w:color w:val="000000"/>
                <w:lang w:val="es-CL"/>
              </w:rPr>
              <w:t>Sig. (bilateral)</w:t>
            </w:r>
          </w:p>
        </w:tc>
        <w:tc>
          <w:tcPr>
            <w:tcW w:w="607" w:type="pct"/>
            <w:tcBorders>
              <w:top w:val="single" w:sz="4" w:space="0" w:color="auto"/>
              <w:left w:val="single" w:sz="4" w:space="0" w:color="auto"/>
              <w:bottom w:val="single" w:sz="4" w:space="0" w:color="auto"/>
              <w:right w:val="single" w:sz="4" w:space="0" w:color="auto"/>
            </w:tcBorders>
            <w:noWrap/>
            <w:vAlign w:val="center"/>
            <w:hideMark/>
          </w:tcPr>
          <w:p w14:paraId="0A96EC90" w14:textId="77777777" w:rsidR="00086EC5" w:rsidRDefault="00086EC5">
            <w:pPr>
              <w:spacing w:after="0" w:line="240" w:lineRule="auto"/>
              <w:ind w:left="0" w:hanging="2"/>
              <w:jc w:val="center"/>
              <w:rPr>
                <w:color w:val="000000"/>
                <w:lang w:val="es-CL"/>
              </w:rPr>
            </w:pPr>
            <w:r>
              <w:rPr>
                <w:color w:val="000000"/>
                <w:lang w:val="es-CL"/>
              </w:rPr>
              <w:t>0,013</w:t>
            </w:r>
          </w:p>
        </w:tc>
        <w:tc>
          <w:tcPr>
            <w:tcW w:w="681" w:type="pct"/>
            <w:tcBorders>
              <w:top w:val="single" w:sz="4" w:space="0" w:color="auto"/>
              <w:left w:val="single" w:sz="4" w:space="0" w:color="auto"/>
              <w:bottom w:val="single" w:sz="4" w:space="0" w:color="auto"/>
              <w:right w:val="single" w:sz="4" w:space="0" w:color="auto"/>
            </w:tcBorders>
            <w:noWrap/>
            <w:vAlign w:val="center"/>
            <w:hideMark/>
          </w:tcPr>
          <w:p w14:paraId="5AFDFB3F" w14:textId="77777777" w:rsidR="00086EC5" w:rsidRDefault="00086EC5">
            <w:pPr>
              <w:spacing w:after="0" w:line="240" w:lineRule="auto"/>
              <w:ind w:left="0" w:hanging="2"/>
              <w:jc w:val="center"/>
              <w:rPr>
                <w:color w:val="000000"/>
                <w:lang w:val="es-CL"/>
              </w:rPr>
            </w:pPr>
            <w:r>
              <w:rPr>
                <w:color w:val="000000"/>
                <w:lang w:val="es-C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C7CCC" w14:textId="77777777" w:rsidR="00086EC5" w:rsidRDefault="00086EC5">
            <w:pPr>
              <w:spacing w:after="0"/>
              <w:ind w:left="0" w:hanging="2"/>
              <w:rPr>
                <w:b/>
                <w:bCs/>
                <w:color w:val="FFFFFF" w:themeColor="background1"/>
                <w:lang w:val="es-CL" w:eastAsia="en-US"/>
              </w:rPr>
            </w:pPr>
          </w:p>
        </w:tc>
        <w:tc>
          <w:tcPr>
            <w:tcW w:w="759" w:type="pct"/>
            <w:tcBorders>
              <w:top w:val="single" w:sz="4" w:space="0" w:color="auto"/>
              <w:left w:val="single" w:sz="4" w:space="0" w:color="auto"/>
              <w:bottom w:val="single" w:sz="4" w:space="0" w:color="auto"/>
              <w:right w:val="single" w:sz="4" w:space="0" w:color="auto"/>
            </w:tcBorders>
            <w:noWrap/>
            <w:vAlign w:val="center"/>
            <w:hideMark/>
          </w:tcPr>
          <w:p w14:paraId="7A6C80F0" w14:textId="77777777" w:rsidR="00086EC5" w:rsidRDefault="00086EC5">
            <w:pPr>
              <w:spacing w:after="0" w:line="240" w:lineRule="auto"/>
              <w:ind w:left="0" w:hanging="2"/>
              <w:jc w:val="center"/>
              <w:rPr>
                <w:color w:val="000000"/>
                <w:lang w:val="es-CL"/>
              </w:rPr>
            </w:pPr>
            <w:r>
              <w:rPr>
                <w:color w:val="000000"/>
                <w:lang w:val="es-CL"/>
              </w:rPr>
              <w:t>Sig. (bilateral)</w:t>
            </w:r>
          </w:p>
        </w:tc>
        <w:tc>
          <w:tcPr>
            <w:tcW w:w="530" w:type="pct"/>
            <w:tcBorders>
              <w:top w:val="single" w:sz="4" w:space="0" w:color="auto"/>
              <w:left w:val="single" w:sz="4" w:space="0" w:color="auto"/>
              <w:bottom w:val="single" w:sz="4" w:space="0" w:color="auto"/>
              <w:right w:val="single" w:sz="4" w:space="0" w:color="auto"/>
            </w:tcBorders>
            <w:noWrap/>
            <w:vAlign w:val="center"/>
            <w:hideMark/>
          </w:tcPr>
          <w:p w14:paraId="2F9B676E" w14:textId="77777777" w:rsidR="00086EC5" w:rsidRDefault="00086EC5">
            <w:pPr>
              <w:spacing w:after="0" w:line="240" w:lineRule="auto"/>
              <w:ind w:left="0" w:hanging="2"/>
              <w:jc w:val="center"/>
              <w:rPr>
                <w:color w:val="000000"/>
                <w:lang w:val="es-CL"/>
              </w:rPr>
            </w:pPr>
            <w:r>
              <w:rPr>
                <w:color w:val="000000"/>
                <w:lang w:val="es-CL"/>
              </w:rPr>
              <w:t>0,004</w:t>
            </w:r>
          </w:p>
        </w:tc>
        <w:tc>
          <w:tcPr>
            <w:tcW w:w="606" w:type="pct"/>
            <w:tcBorders>
              <w:top w:val="single" w:sz="4" w:space="0" w:color="auto"/>
              <w:left w:val="single" w:sz="4" w:space="0" w:color="auto"/>
              <w:bottom w:val="single" w:sz="4" w:space="0" w:color="auto"/>
              <w:right w:val="single" w:sz="4" w:space="0" w:color="auto"/>
            </w:tcBorders>
            <w:noWrap/>
            <w:vAlign w:val="center"/>
            <w:hideMark/>
          </w:tcPr>
          <w:p w14:paraId="77DBC4B1" w14:textId="77777777" w:rsidR="00086EC5" w:rsidRDefault="00086EC5">
            <w:pPr>
              <w:spacing w:after="0" w:line="240" w:lineRule="auto"/>
              <w:ind w:left="0" w:hanging="2"/>
              <w:jc w:val="center"/>
              <w:rPr>
                <w:color w:val="000000"/>
                <w:lang w:val="es-CL"/>
              </w:rPr>
            </w:pPr>
            <w:r>
              <w:rPr>
                <w:color w:val="000000"/>
                <w:lang w:val="es-CL"/>
              </w:rPr>
              <w:t>-</w:t>
            </w:r>
          </w:p>
        </w:tc>
      </w:tr>
    </w:tbl>
    <w:p w14:paraId="6EF6C94B" w14:textId="77777777" w:rsidR="00086EC5" w:rsidRPr="00A641B3" w:rsidRDefault="00086EC5" w:rsidP="00086EC5">
      <w:pPr>
        <w:pStyle w:val="Sinespaciado"/>
        <w:rPr>
          <w:rFonts w:ascii="Times New Roman" w:hAnsi="Times New Roman" w:cs="Times New Roman"/>
          <w:sz w:val="16"/>
          <w:szCs w:val="16"/>
          <w:lang w:val="es-CL"/>
        </w:rPr>
      </w:pPr>
      <w:r w:rsidRPr="00A641B3">
        <w:rPr>
          <w:rFonts w:ascii="Times New Roman" w:hAnsi="Times New Roman" w:cs="Times New Roman"/>
          <w:sz w:val="16"/>
          <w:szCs w:val="16"/>
          <w:lang w:val="es-CL"/>
        </w:rPr>
        <w:t>* La correlación es significativa en el nivel 0,05 (bilateral).</w:t>
      </w:r>
    </w:p>
    <w:p w14:paraId="0C9531E5" w14:textId="77777777" w:rsidR="00086EC5" w:rsidRPr="00A641B3" w:rsidRDefault="00086EC5" w:rsidP="00086EC5">
      <w:pPr>
        <w:pStyle w:val="Sinespaciado"/>
        <w:rPr>
          <w:rFonts w:ascii="Times New Roman" w:hAnsi="Times New Roman" w:cs="Times New Roman"/>
          <w:sz w:val="16"/>
          <w:szCs w:val="16"/>
          <w:lang w:val="es-CL"/>
        </w:rPr>
      </w:pPr>
      <w:r w:rsidRPr="00A641B3">
        <w:rPr>
          <w:rFonts w:ascii="Times New Roman" w:hAnsi="Times New Roman" w:cs="Times New Roman"/>
          <w:sz w:val="16"/>
          <w:szCs w:val="16"/>
          <w:lang w:val="es-CL"/>
        </w:rPr>
        <w:t>** La correlación es significativa en el nivel 0,01 (bilateral).</w:t>
      </w:r>
    </w:p>
    <w:p w14:paraId="52A7C42E" w14:textId="77777777" w:rsidR="00086EC5" w:rsidRPr="00A641B3" w:rsidRDefault="00086EC5" w:rsidP="00086EC5">
      <w:pPr>
        <w:pStyle w:val="Sinespaciado"/>
        <w:rPr>
          <w:rFonts w:ascii="Times New Roman" w:hAnsi="Times New Roman" w:cs="Times New Roman"/>
          <w:sz w:val="16"/>
          <w:szCs w:val="16"/>
          <w:lang w:val="es-CL"/>
        </w:rPr>
      </w:pPr>
      <w:r w:rsidRPr="00A641B3">
        <w:rPr>
          <w:rFonts w:ascii="Times New Roman" w:hAnsi="Times New Roman" w:cs="Times New Roman"/>
          <w:sz w:val="16"/>
          <w:szCs w:val="16"/>
          <w:lang w:val="es-CL"/>
        </w:rPr>
        <w:t>N = 26 estudiantes de primer año de la carrera inscritos en tutorías académicas.</w:t>
      </w:r>
    </w:p>
    <w:p w14:paraId="091DF613" w14:textId="77777777" w:rsidR="00086EC5" w:rsidRDefault="00086EC5" w:rsidP="00086EC5">
      <w:pPr>
        <w:pStyle w:val="Sinespaciado"/>
        <w:rPr>
          <w:lang w:val="es-CL"/>
        </w:rPr>
      </w:pPr>
    </w:p>
    <w:p w14:paraId="5D75F6D1" w14:textId="77777777" w:rsidR="00086EC5" w:rsidRDefault="00086EC5" w:rsidP="00E208B0">
      <w:pPr>
        <w:ind w:leftChars="0" w:left="0" w:firstLineChars="0" w:firstLine="0"/>
        <w:rPr>
          <w:sz w:val="24"/>
          <w:szCs w:val="24"/>
          <w:lang w:val="es-CL"/>
        </w:rPr>
      </w:pPr>
      <w:r>
        <w:rPr>
          <w:sz w:val="24"/>
          <w:szCs w:val="24"/>
          <w:lang w:val="es-CL"/>
        </w:rPr>
        <w:t xml:space="preserve">Como se puede observar en los resultados de la tabla, se evidencia que la correlación es positiva y moderada entre el porcentaje de asistencia a las tutorías y media de rendimiento académico en el curso, con un r de Pearson de 0,481 y una rho de Spearman de 0,544. De esta manera, se establece que, a mayor porcentaje de asistencia a las tutorías académicas, el estudiante va a presentar, en promedio, un mejor rendimiento académico en el curso que le exige como requisito de aprobación la competencia académica comunicativa en escritura y comprensión lectora. Esta correlación, además, es estadísticamente significativa a partir de ambos contrastes, tanto paramétrico como no paramétrico, con un valor-p menor a 0,05 y 0,01, respectivamente. </w:t>
      </w:r>
    </w:p>
    <w:p w14:paraId="118A8772" w14:textId="77777777" w:rsidR="00086EC5" w:rsidRDefault="00086EC5" w:rsidP="00E208B0">
      <w:pPr>
        <w:ind w:leftChars="0" w:left="2" w:hanging="2"/>
        <w:rPr>
          <w:sz w:val="24"/>
          <w:szCs w:val="24"/>
          <w:lang w:val="es-CL"/>
        </w:rPr>
      </w:pPr>
      <w:r>
        <w:rPr>
          <w:sz w:val="24"/>
          <w:szCs w:val="24"/>
          <w:lang w:val="es-CL"/>
        </w:rPr>
        <w:t>Estos resultados se observan en el siguiente gráfico de dispersión para las dos variables mencionadas:</w:t>
      </w:r>
    </w:p>
    <w:p w14:paraId="0A7AD9E3" w14:textId="06C1B543" w:rsidR="00086EC5" w:rsidRDefault="00086EC5" w:rsidP="00086EC5">
      <w:pPr>
        <w:pStyle w:val="Sinespaciado"/>
        <w:jc w:val="center"/>
        <w:rPr>
          <w:lang w:val="es-CL"/>
        </w:rPr>
      </w:pPr>
      <w:r>
        <w:rPr>
          <w:noProof/>
          <w:lang w:val="es-CL" w:eastAsia="es-CL"/>
        </w:rPr>
        <w:drawing>
          <wp:inline distT="0" distB="0" distL="0" distR="0" wp14:anchorId="6F74CA30" wp14:editId="3D088D76">
            <wp:extent cx="3495675" cy="2063148"/>
            <wp:effectExtent l="19050" t="19050" r="9525" b="133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370" cy="2085395"/>
                    </a:xfrm>
                    <a:prstGeom prst="rect">
                      <a:avLst/>
                    </a:prstGeom>
                    <a:noFill/>
                    <a:ln w="3175" cmpd="sng">
                      <a:solidFill>
                        <a:srgbClr val="000000"/>
                      </a:solidFill>
                      <a:miter lim="800000"/>
                      <a:headEnd/>
                      <a:tailEnd/>
                    </a:ln>
                    <a:effectLst/>
                  </pic:spPr>
                </pic:pic>
              </a:graphicData>
            </a:graphic>
          </wp:inline>
        </w:drawing>
      </w:r>
    </w:p>
    <w:p w14:paraId="26059928" w14:textId="77777777" w:rsidR="00086EC5" w:rsidRPr="00A641B3" w:rsidRDefault="00086EC5" w:rsidP="00086EC5">
      <w:pPr>
        <w:spacing w:after="0"/>
        <w:ind w:left="0" w:hanging="2"/>
        <w:jc w:val="center"/>
        <w:rPr>
          <w:sz w:val="16"/>
          <w:lang w:val="es-CL"/>
        </w:rPr>
      </w:pPr>
      <w:r w:rsidRPr="00A641B3">
        <w:rPr>
          <w:sz w:val="16"/>
          <w:lang w:val="es-CL"/>
        </w:rPr>
        <w:t>N = 26 estudiantes de primer año de la carrera.</w:t>
      </w:r>
    </w:p>
    <w:p w14:paraId="5CE28F46" w14:textId="77777777" w:rsidR="00086EC5" w:rsidRDefault="00086EC5" w:rsidP="00E208B0">
      <w:pPr>
        <w:pStyle w:val="Sinespaciado"/>
        <w:spacing w:after="120"/>
        <w:ind w:left="2" w:hanging="2"/>
        <w:jc w:val="both"/>
        <w:rPr>
          <w:rFonts w:ascii="Times New Roman" w:hAnsi="Times New Roman" w:cs="Times New Roman"/>
          <w:sz w:val="24"/>
          <w:szCs w:val="24"/>
          <w:lang w:val="es-CL"/>
        </w:rPr>
      </w:pPr>
      <w:r>
        <w:rPr>
          <w:rFonts w:ascii="Times New Roman" w:hAnsi="Times New Roman" w:cs="Times New Roman"/>
          <w:sz w:val="24"/>
          <w:szCs w:val="24"/>
          <w:lang w:val="es-CL"/>
        </w:rPr>
        <w:t>Se evidencia en el gráfico la correlación positiva, entonces, entre el porcentaje de asistencia a las tutorías académicas y media final de la nota en el curso señalado, siendo estadísticamente significativa según los valores de significancia de r y rho, presentados en la tabla 6, respectivamente.</w:t>
      </w:r>
    </w:p>
    <w:p w14:paraId="5CE5F39E" w14:textId="7D2CA752" w:rsidR="00C637C2" w:rsidRDefault="00177CB2" w:rsidP="00A641B3">
      <w:pPr>
        <w:keepNext/>
        <w:keepLines/>
        <w:pBdr>
          <w:top w:val="nil"/>
          <w:left w:val="nil"/>
          <w:bottom w:val="nil"/>
          <w:right w:val="nil"/>
          <w:between w:val="nil"/>
        </w:pBdr>
        <w:spacing w:line="240" w:lineRule="auto"/>
        <w:ind w:leftChars="0" w:left="0" w:firstLineChars="0" w:firstLine="0"/>
        <w:rPr>
          <w:b/>
          <w:color w:val="000000"/>
          <w:sz w:val="24"/>
          <w:szCs w:val="24"/>
        </w:rPr>
      </w:pPr>
      <w:r>
        <w:rPr>
          <w:b/>
          <w:color w:val="000000"/>
          <w:sz w:val="24"/>
          <w:szCs w:val="24"/>
        </w:rPr>
        <w:lastRenderedPageBreak/>
        <w:t xml:space="preserve">4. Conclusiones </w:t>
      </w:r>
    </w:p>
    <w:p w14:paraId="2B27F867" w14:textId="4E96EE53" w:rsidR="0039276F" w:rsidRDefault="00413CD9" w:rsidP="004D1B1C">
      <w:pPr>
        <w:keepNext/>
        <w:keepLines/>
        <w:pBdr>
          <w:top w:val="nil"/>
          <w:left w:val="nil"/>
          <w:bottom w:val="nil"/>
          <w:right w:val="nil"/>
          <w:between w:val="nil"/>
        </w:pBdr>
        <w:spacing w:line="240" w:lineRule="auto"/>
        <w:ind w:leftChars="0" w:left="0" w:firstLineChars="0" w:firstLine="0"/>
        <w:rPr>
          <w:sz w:val="24"/>
          <w:szCs w:val="24"/>
        </w:rPr>
      </w:pPr>
      <w:r>
        <w:rPr>
          <w:color w:val="000000"/>
          <w:sz w:val="24"/>
          <w:szCs w:val="24"/>
        </w:rPr>
        <w:t xml:space="preserve">La tutoría académica es una instancia enriquecedora para el proceso de formación de los estudiantes de primer año de la universidad, </w:t>
      </w:r>
      <w:r w:rsidR="0039276F">
        <w:rPr>
          <w:color w:val="000000"/>
          <w:sz w:val="24"/>
          <w:szCs w:val="24"/>
        </w:rPr>
        <w:t>puesto que,</w:t>
      </w:r>
      <w:r>
        <w:rPr>
          <w:color w:val="000000"/>
          <w:sz w:val="24"/>
          <w:szCs w:val="24"/>
        </w:rPr>
        <w:t xml:space="preserve"> al </w:t>
      </w:r>
      <w:r w:rsidR="00881B15">
        <w:rPr>
          <w:color w:val="000000"/>
          <w:sz w:val="24"/>
          <w:szCs w:val="24"/>
        </w:rPr>
        <w:t>diagnosticar</w:t>
      </w:r>
      <w:r>
        <w:rPr>
          <w:color w:val="000000"/>
          <w:sz w:val="24"/>
          <w:szCs w:val="24"/>
        </w:rPr>
        <w:t xml:space="preserve"> a los estudiantes mediante evaluaciones de ingreso, se logra diseñar e implementar instancias de apoyo que acompañen al estudiante en la comprensión y producción de texto académicos </w:t>
      </w:r>
      <w:r w:rsidR="0039276F">
        <w:rPr>
          <w:color w:val="000000"/>
          <w:sz w:val="24"/>
          <w:szCs w:val="24"/>
        </w:rPr>
        <w:t>potenciando el tránsito desde la Enseñanza Media a la Educación Superior</w:t>
      </w:r>
      <w:r w:rsidR="000C0360">
        <w:rPr>
          <w:color w:val="000000"/>
          <w:sz w:val="24"/>
          <w:szCs w:val="24"/>
        </w:rPr>
        <w:t>, fortaleciendo la construcción de</w:t>
      </w:r>
      <w:r w:rsidR="004D1B1C">
        <w:rPr>
          <w:color w:val="000000"/>
          <w:sz w:val="24"/>
          <w:szCs w:val="24"/>
        </w:rPr>
        <w:t>l</w:t>
      </w:r>
      <w:r w:rsidR="000C0360">
        <w:rPr>
          <w:color w:val="000000"/>
          <w:sz w:val="24"/>
          <w:szCs w:val="24"/>
        </w:rPr>
        <w:t xml:space="preserve"> aprendizaje de</w:t>
      </w:r>
      <w:r w:rsidR="004D1B1C">
        <w:rPr>
          <w:color w:val="000000"/>
          <w:sz w:val="24"/>
          <w:szCs w:val="24"/>
        </w:rPr>
        <w:t xml:space="preserve"> conocimiento disciplinar</w:t>
      </w:r>
      <w:r w:rsidR="000C0360">
        <w:rPr>
          <w:color w:val="000000"/>
          <w:sz w:val="24"/>
          <w:szCs w:val="24"/>
        </w:rPr>
        <w:t xml:space="preserve"> con un lenguaje especializado y técnico</w:t>
      </w:r>
      <w:r w:rsidR="004D1B1C">
        <w:rPr>
          <w:color w:val="000000"/>
          <w:sz w:val="24"/>
          <w:szCs w:val="24"/>
        </w:rPr>
        <w:t xml:space="preserve"> </w:t>
      </w:r>
      <w:r w:rsidR="004D1B1C">
        <w:rPr>
          <w:sz w:val="24"/>
          <w:szCs w:val="24"/>
        </w:rPr>
        <w:t>(Ibáñez, 2015). Hay que destacar, que el logro académico se encuentra relacionado estrechamente con la permanencia en la Educación superior al aumentar de manera favorable el autoconcepto académico y la motivación interna del estudiante</w:t>
      </w:r>
      <w:r w:rsidR="00956429">
        <w:rPr>
          <w:sz w:val="24"/>
          <w:szCs w:val="24"/>
        </w:rPr>
        <w:t xml:space="preserve"> (</w:t>
      </w:r>
      <w:r w:rsidR="00956429">
        <w:rPr>
          <w:sz w:val="24"/>
          <w:szCs w:val="24"/>
        </w:rPr>
        <w:t>Roland et al.,</w:t>
      </w:r>
      <w:r w:rsidR="00956429">
        <w:rPr>
          <w:sz w:val="24"/>
          <w:szCs w:val="24"/>
        </w:rPr>
        <w:t xml:space="preserve"> </w:t>
      </w:r>
      <w:r w:rsidR="00956429">
        <w:rPr>
          <w:sz w:val="24"/>
          <w:szCs w:val="24"/>
        </w:rPr>
        <w:t>2018)</w:t>
      </w:r>
      <w:r w:rsidR="004D1B1C">
        <w:rPr>
          <w:sz w:val="24"/>
          <w:szCs w:val="24"/>
        </w:rPr>
        <w:t xml:space="preserve">. </w:t>
      </w:r>
    </w:p>
    <w:p w14:paraId="12DE884C" w14:textId="500F34DC" w:rsidR="00E35BF8" w:rsidRDefault="0039276F" w:rsidP="00E208B0">
      <w:pPr>
        <w:keepNext/>
        <w:keepLines/>
        <w:pBdr>
          <w:top w:val="nil"/>
          <w:left w:val="nil"/>
          <w:bottom w:val="nil"/>
          <w:right w:val="nil"/>
          <w:between w:val="nil"/>
        </w:pBdr>
        <w:spacing w:line="240" w:lineRule="auto"/>
        <w:ind w:leftChars="0" w:left="0" w:firstLineChars="0" w:firstLine="0"/>
        <w:rPr>
          <w:color w:val="000000"/>
          <w:sz w:val="24"/>
          <w:szCs w:val="24"/>
        </w:rPr>
      </w:pPr>
      <w:r>
        <w:rPr>
          <w:color w:val="000000"/>
          <w:sz w:val="24"/>
          <w:szCs w:val="24"/>
        </w:rPr>
        <w:t>Por consiguiente</w:t>
      </w:r>
      <w:r w:rsidR="00353182">
        <w:rPr>
          <w:color w:val="000000"/>
          <w:sz w:val="24"/>
          <w:szCs w:val="24"/>
        </w:rPr>
        <w:t xml:space="preserve">, </w:t>
      </w:r>
      <w:r w:rsidR="00E35BF8">
        <w:rPr>
          <w:color w:val="000000"/>
          <w:sz w:val="24"/>
          <w:szCs w:val="24"/>
        </w:rPr>
        <w:t>se observa que</w:t>
      </w:r>
      <w:r w:rsidR="000C0360">
        <w:rPr>
          <w:color w:val="000000"/>
          <w:sz w:val="24"/>
          <w:szCs w:val="24"/>
        </w:rPr>
        <w:t xml:space="preserve"> </w:t>
      </w:r>
      <w:r w:rsidR="00353182">
        <w:rPr>
          <w:color w:val="000000"/>
          <w:sz w:val="24"/>
          <w:szCs w:val="24"/>
        </w:rPr>
        <w:t>el</w:t>
      </w:r>
      <w:r>
        <w:rPr>
          <w:color w:val="000000"/>
          <w:sz w:val="24"/>
          <w:szCs w:val="24"/>
        </w:rPr>
        <w:t xml:space="preserve"> v</w:t>
      </w:r>
      <w:r w:rsidR="00353182">
        <w:rPr>
          <w:color w:val="000000"/>
          <w:sz w:val="24"/>
          <w:szCs w:val="24"/>
        </w:rPr>
        <w:t xml:space="preserve">ínculo </w:t>
      </w:r>
      <w:r w:rsidR="00E35BF8">
        <w:rPr>
          <w:color w:val="000000"/>
          <w:sz w:val="24"/>
          <w:szCs w:val="24"/>
        </w:rPr>
        <w:t xml:space="preserve">y coherencia entre </w:t>
      </w:r>
      <w:r w:rsidR="000C0360">
        <w:rPr>
          <w:color w:val="000000"/>
          <w:sz w:val="24"/>
          <w:szCs w:val="24"/>
        </w:rPr>
        <w:t>las actividades</w:t>
      </w:r>
      <w:r w:rsidR="00E35BF8">
        <w:rPr>
          <w:color w:val="000000"/>
          <w:sz w:val="24"/>
          <w:szCs w:val="24"/>
        </w:rPr>
        <w:t xml:space="preserve"> que se realizan durante las tutorías académicas</w:t>
      </w:r>
      <w:r w:rsidR="000C0360">
        <w:rPr>
          <w:color w:val="000000"/>
          <w:sz w:val="24"/>
          <w:szCs w:val="24"/>
        </w:rPr>
        <w:t xml:space="preserve"> y </w:t>
      </w:r>
      <w:r w:rsidR="00E35BF8">
        <w:rPr>
          <w:color w:val="000000"/>
          <w:sz w:val="24"/>
          <w:szCs w:val="24"/>
        </w:rPr>
        <w:t xml:space="preserve">el </w:t>
      </w:r>
      <w:r w:rsidR="000C0360">
        <w:rPr>
          <w:color w:val="000000"/>
          <w:sz w:val="24"/>
          <w:szCs w:val="24"/>
        </w:rPr>
        <w:t xml:space="preserve">contenido </w:t>
      </w:r>
      <w:r w:rsidR="00E35BF8">
        <w:rPr>
          <w:color w:val="000000"/>
          <w:sz w:val="24"/>
          <w:szCs w:val="24"/>
        </w:rPr>
        <w:t xml:space="preserve">de un </w:t>
      </w:r>
      <w:r>
        <w:rPr>
          <w:color w:val="000000"/>
          <w:sz w:val="24"/>
          <w:szCs w:val="24"/>
        </w:rPr>
        <w:t>curso que evalú</w:t>
      </w:r>
      <w:r w:rsidR="00E35BF8">
        <w:rPr>
          <w:color w:val="000000"/>
          <w:sz w:val="24"/>
          <w:szCs w:val="24"/>
        </w:rPr>
        <w:t>e</w:t>
      </w:r>
      <w:r>
        <w:rPr>
          <w:color w:val="000000"/>
          <w:sz w:val="24"/>
          <w:szCs w:val="24"/>
        </w:rPr>
        <w:t xml:space="preserve"> y consider</w:t>
      </w:r>
      <w:r w:rsidR="00E35BF8">
        <w:rPr>
          <w:color w:val="000000"/>
          <w:sz w:val="24"/>
          <w:szCs w:val="24"/>
        </w:rPr>
        <w:t>e</w:t>
      </w:r>
      <w:r>
        <w:rPr>
          <w:color w:val="000000"/>
          <w:sz w:val="24"/>
          <w:szCs w:val="24"/>
        </w:rPr>
        <w:t xml:space="preserve"> la competencia</w:t>
      </w:r>
      <w:r w:rsidR="000C0360">
        <w:rPr>
          <w:color w:val="000000"/>
          <w:sz w:val="24"/>
          <w:szCs w:val="24"/>
        </w:rPr>
        <w:t xml:space="preserve"> comunicativa</w:t>
      </w:r>
      <w:r w:rsidR="00E35BF8">
        <w:rPr>
          <w:color w:val="000000"/>
          <w:sz w:val="24"/>
          <w:szCs w:val="24"/>
        </w:rPr>
        <w:t>, es fundamental</w:t>
      </w:r>
      <w:r>
        <w:rPr>
          <w:color w:val="000000"/>
          <w:sz w:val="24"/>
          <w:szCs w:val="24"/>
        </w:rPr>
        <w:t xml:space="preserve">, </w:t>
      </w:r>
      <w:r w:rsidR="00E35BF8">
        <w:rPr>
          <w:color w:val="000000"/>
          <w:sz w:val="24"/>
          <w:szCs w:val="24"/>
        </w:rPr>
        <w:t>dado que estas sesiones</w:t>
      </w:r>
      <w:r>
        <w:rPr>
          <w:color w:val="000000"/>
          <w:sz w:val="24"/>
          <w:szCs w:val="24"/>
        </w:rPr>
        <w:t xml:space="preserve"> </w:t>
      </w:r>
      <w:r w:rsidR="000C0360">
        <w:rPr>
          <w:color w:val="000000"/>
          <w:sz w:val="24"/>
          <w:szCs w:val="24"/>
        </w:rPr>
        <w:t>son observadas como instancias</w:t>
      </w:r>
      <w:r>
        <w:rPr>
          <w:color w:val="000000"/>
          <w:sz w:val="24"/>
          <w:szCs w:val="24"/>
        </w:rPr>
        <w:t xml:space="preserve"> significativas para </w:t>
      </w:r>
      <w:r w:rsidR="000C0360">
        <w:rPr>
          <w:color w:val="000000"/>
          <w:sz w:val="24"/>
          <w:szCs w:val="24"/>
        </w:rPr>
        <w:t xml:space="preserve">el logro del aprendizaje de </w:t>
      </w:r>
      <w:r>
        <w:rPr>
          <w:color w:val="000000"/>
          <w:sz w:val="24"/>
          <w:szCs w:val="24"/>
        </w:rPr>
        <w:t>los estudiantes</w:t>
      </w:r>
      <w:r w:rsidR="000C0360">
        <w:rPr>
          <w:color w:val="000000"/>
          <w:sz w:val="24"/>
          <w:szCs w:val="24"/>
        </w:rPr>
        <w:t>,</w:t>
      </w:r>
      <w:r>
        <w:rPr>
          <w:color w:val="000000"/>
          <w:sz w:val="24"/>
          <w:szCs w:val="24"/>
        </w:rPr>
        <w:t xml:space="preserve"> lo cual se ve reflejado en su</w:t>
      </w:r>
      <w:r w:rsidR="000C0360">
        <w:rPr>
          <w:color w:val="000000"/>
          <w:sz w:val="24"/>
          <w:szCs w:val="24"/>
        </w:rPr>
        <w:t>s promedios finales del curso. Es decir, los estudiantes en situación de reprobados en las evaluaciones de diagnóstico presentan un progreso en el desarrollo de la lectura y</w:t>
      </w:r>
      <w:r w:rsidR="00F501A2">
        <w:rPr>
          <w:color w:val="000000"/>
          <w:sz w:val="24"/>
          <w:szCs w:val="24"/>
        </w:rPr>
        <w:t xml:space="preserve"> producción de textos</w:t>
      </w:r>
      <w:r w:rsidR="00E35BF8">
        <w:rPr>
          <w:color w:val="000000"/>
          <w:sz w:val="24"/>
          <w:szCs w:val="24"/>
        </w:rPr>
        <w:t>,</w:t>
      </w:r>
      <w:r w:rsidR="00F501A2">
        <w:rPr>
          <w:color w:val="000000"/>
          <w:sz w:val="24"/>
          <w:szCs w:val="24"/>
        </w:rPr>
        <w:t xml:space="preserve"> evidenciado </w:t>
      </w:r>
      <w:r w:rsidR="000C0360">
        <w:rPr>
          <w:color w:val="000000"/>
          <w:sz w:val="24"/>
          <w:szCs w:val="24"/>
        </w:rPr>
        <w:t>en las calificaciones de los productos evaluativos del curso que contemplaban la competencia (Lectura comprensiva: Matriz, Redacción experiencia escolar, redacción del informe)</w:t>
      </w:r>
      <w:r w:rsidR="00E35BF8">
        <w:rPr>
          <w:color w:val="000000"/>
          <w:sz w:val="24"/>
          <w:szCs w:val="24"/>
        </w:rPr>
        <w:t xml:space="preserve">, permitiéndoles seguir avanzando en su proceso académico. </w:t>
      </w:r>
    </w:p>
    <w:p w14:paraId="28C9EFC8" w14:textId="7AF5DBCC" w:rsidR="00605DBA" w:rsidRDefault="00605DBA" w:rsidP="00605DBA">
      <w:pPr>
        <w:keepNext/>
        <w:keepLines/>
        <w:pBdr>
          <w:top w:val="nil"/>
          <w:left w:val="nil"/>
          <w:bottom w:val="nil"/>
          <w:right w:val="nil"/>
          <w:between w:val="nil"/>
        </w:pBdr>
        <w:spacing w:line="240" w:lineRule="auto"/>
        <w:ind w:leftChars="0" w:left="0" w:firstLineChars="0" w:firstLine="0"/>
        <w:rPr>
          <w:color w:val="000000"/>
          <w:sz w:val="24"/>
          <w:szCs w:val="24"/>
        </w:rPr>
      </w:pPr>
      <w:r>
        <w:rPr>
          <w:sz w:val="24"/>
          <w:szCs w:val="24"/>
        </w:rPr>
        <w:t xml:space="preserve">Por </w:t>
      </w:r>
      <w:r>
        <w:rPr>
          <w:sz w:val="24"/>
          <w:szCs w:val="24"/>
        </w:rPr>
        <w:t>último</w:t>
      </w:r>
      <w:r>
        <w:rPr>
          <w:sz w:val="24"/>
          <w:szCs w:val="24"/>
        </w:rPr>
        <w:t>, se evidencia la relevancia de contar con itinerarios formativos que consideren el desarrollo de competencias para fortalecer la permanencia académica (Zamora, 2018), específicamente, la lectura y producción de textos, dimensiones que el algún caso se encuentra disminuida y podría ser un factor de deserción al tener dificultad para comunicarse siguiendo los códigos y lenguaje</w:t>
      </w:r>
      <w:r>
        <w:rPr>
          <w:sz w:val="24"/>
          <w:szCs w:val="24"/>
        </w:rPr>
        <w:t>s</w:t>
      </w:r>
      <w:r>
        <w:rPr>
          <w:sz w:val="24"/>
          <w:szCs w:val="24"/>
        </w:rPr>
        <w:t xml:space="preserve"> propios de</w:t>
      </w:r>
      <w:r w:rsidR="00A14ECE">
        <w:rPr>
          <w:sz w:val="24"/>
          <w:szCs w:val="24"/>
        </w:rPr>
        <w:t xml:space="preserve"> su</w:t>
      </w:r>
      <w:r>
        <w:rPr>
          <w:sz w:val="24"/>
          <w:szCs w:val="24"/>
        </w:rPr>
        <w:t xml:space="preserve"> contexto académico disciplinar. Est</w:t>
      </w:r>
      <w:r w:rsidR="00A14ECE">
        <w:rPr>
          <w:sz w:val="24"/>
          <w:szCs w:val="24"/>
        </w:rPr>
        <w:t>as estrategias</w:t>
      </w:r>
      <w:r>
        <w:rPr>
          <w:sz w:val="24"/>
          <w:szCs w:val="24"/>
        </w:rPr>
        <w:t xml:space="preserve"> contribuye al desarrollo integral y aumenta la satisfacción del programa de estudio que ofrece la institución de Educación Superior</w:t>
      </w:r>
      <w:r w:rsidR="00A14ECE">
        <w:rPr>
          <w:sz w:val="24"/>
          <w:szCs w:val="24"/>
        </w:rPr>
        <w:t>,</w:t>
      </w:r>
      <w:r>
        <w:rPr>
          <w:sz w:val="24"/>
          <w:szCs w:val="24"/>
        </w:rPr>
        <w:t xml:space="preserve"> disminuyendo la inclinación a suspender o abandonar su formación universitaria. </w:t>
      </w:r>
    </w:p>
    <w:p w14:paraId="726BB349" w14:textId="77777777" w:rsidR="00605DBA" w:rsidRDefault="00605DBA" w:rsidP="00E208B0">
      <w:pPr>
        <w:keepNext/>
        <w:keepLines/>
        <w:pBdr>
          <w:top w:val="nil"/>
          <w:left w:val="nil"/>
          <w:bottom w:val="nil"/>
          <w:right w:val="nil"/>
          <w:between w:val="nil"/>
        </w:pBdr>
        <w:spacing w:line="240" w:lineRule="auto"/>
        <w:ind w:leftChars="0" w:left="0" w:firstLineChars="0" w:firstLine="0"/>
        <w:rPr>
          <w:color w:val="000000"/>
          <w:sz w:val="24"/>
          <w:szCs w:val="24"/>
        </w:rPr>
      </w:pPr>
    </w:p>
    <w:p w14:paraId="05BF23D1" w14:textId="69D56E7C" w:rsidR="00BD04DB" w:rsidRDefault="00177CB2" w:rsidP="00F800F3">
      <w:pPr>
        <w:ind w:left="0" w:hanging="2"/>
        <w:rPr>
          <w:b/>
          <w:sz w:val="24"/>
          <w:szCs w:val="24"/>
        </w:rPr>
      </w:pPr>
      <w:r>
        <w:rPr>
          <w:b/>
          <w:sz w:val="24"/>
          <w:szCs w:val="24"/>
        </w:rPr>
        <w:t>Referencias</w:t>
      </w:r>
    </w:p>
    <w:p w14:paraId="6C44FECB" w14:textId="77777777" w:rsidR="00072F55" w:rsidRDefault="00AB4AFA" w:rsidP="00035A28">
      <w:pPr>
        <w:pStyle w:val="Textoindependiente"/>
        <w:spacing w:after="120"/>
        <w:ind w:left="5" w:hanging="5"/>
        <w:jc w:val="both"/>
        <w:rPr>
          <w:spacing w:val="1"/>
          <w:sz w:val="18"/>
          <w:szCs w:val="18"/>
        </w:rPr>
      </w:pPr>
      <w:r w:rsidRPr="008A0EAB">
        <w:rPr>
          <w:sz w:val="18"/>
          <w:szCs w:val="18"/>
        </w:rPr>
        <w:t>Cisneros, M., Olave, G. y Rojas, I. (2013). Alfabetización académica y lectura inferencial.</w:t>
      </w:r>
      <w:r w:rsidRPr="008A0EAB">
        <w:rPr>
          <w:spacing w:val="1"/>
          <w:sz w:val="18"/>
          <w:szCs w:val="18"/>
        </w:rPr>
        <w:t xml:space="preserve"> </w:t>
      </w:r>
    </w:p>
    <w:p w14:paraId="6F9CBA7B" w14:textId="1193C04D" w:rsidR="00AB4AFA" w:rsidRPr="008A0EAB" w:rsidRDefault="00AB4AFA" w:rsidP="00035A28">
      <w:pPr>
        <w:pStyle w:val="Textoindependiente"/>
        <w:spacing w:after="120"/>
        <w:ind w:left="5" w:hanging="5"/>
        <w:jc w:val="both"/>
        <w:rPr>
          <w:sz w:val="18"/>
          <w:szCs w:val="18"/>
        </w:rPr>
      </w:pPr>
      <w:r w:rsidRPr="008A0EAB">
        <w:rPr>
          <w:sz w:val="18"/>
          <w:szCs w:val="18"/>
        </w:rPr>
        <w:t>Dirección</w:t>
      </w:r>
      <w:r w:rsidRPr="008A0EAB">
        <w:rPr>
          <w:spacing w:val="-2"/>
          <w:sz w:val="18"/>
          <w:szCs w:val="18"/>
        </w:rPr>
        <w:t xml:space="preserve"> </w:t>
      </w:r>
      <w:r w:rsidRPr="008A0EAB">
        <w:rPr>
          <w:sz w:val="18"/>
          <w:szCs w:val="18"/>
        </w:rPr>
        <w:t>de Inclusión</w:t>
      </w:r>
      <w:r w:rsidRPr="008A0EAB">
        <w:rPr>
          <w:spacing w:val="-2"/>
          <w:sz w:val="18"/>
          <w:szCs w:val="18"/>
        </w:rPr>
        <w:t xml:space="preserve"> </w:t>
      </w:r>
      <w:r w:rsidRPr="008A0EAB">
        <w:rPr>
          <w:sz w:val="18"/>
          <w:szCs w:val="18"/>
        </w:rPr>
        <w:t>y</w:t>
      </w:r>
      <w:r w:rsidRPr="008A0EAB">
        <w:rPr>
          <w:spacing w:val="1"/>
          <w:sz w:val="18"/>
          <w:szCs w:val="18"/>
        </w:rPr>
        <w:t xml:space="preserve"> </w:t>
      </w:r>
      <w:r w:rsidRPr="008A0EAB">
        <w:rPr>
          <w:sz w:val="18"/>
          <w:szCs w:val="18"/>
        </w:rPr>
        <w:t>Acompañamiento</w:t>
      </w:r>
      <w:r w:rsidRPr="008A0EAB">
        <w:rPr>
          <w:spacing w:val="-2"/>
          <w:sz w:val="18"/>
          <w:szCs w:val="18"/>
        </w:rPr>
        <w:t xml:space="preserve"> </w:t>
      </w:r>
      <w:r w:rsidRPr="008A0EAB">
        <w:rPr>
          <w:sz w:val="18"/>
          <w:szCs w:val="18"/>
        </w:rPr>
        <w:t>Académico.</w:t>
      </w:r>
      <w:r w:rsidRPr="008A0EAB">
        <w:rPr>
          <w:spacing w:val="-1"/>
          <w:sz w:val="18"/>
          <w:szCs w:val="18"/>
        </w:rPr>
        <w:t xml:space="preserve"> </w:t>
      </w:r>
      <w:r w:rsidRPr="008A0EAB">
        <w:rPr>
          <w:sz w:val="18"/>
          <w:szCs w:val="18"/>
        </w:rPr>
        <w:t>(2022).</w:t>
      </w:r>
      <w:r w:rsidRPr="008A0EAB">
        <w:rPr>
          <w:spacing w:val="-2"/>
          <w:sz w:val="18"/>
          <w:szCs w:val="18"/>
        </w:rPr>
        <w:t xml:space="preserve"> </w:t>
      </w:r>
      <w:r w:rsidRPr="008A0EAB">
        <w:rPr>
          <w:sz w:val="18"/>
          <w:szCs w:val="18"/>
        </w:rPr>
        <w:t>Perfil</w:t>
      </w:r>
      <w:r w:rsidRPr="008A0EAB">
        <w:rPr>
          <w:spacing w:val="-1"/>
          <w:sz w:val="18"/>
          <w:szCs w:val="18"/>
        </w:rPr>
        <w:t xml:space="preserve"> </w:t>
      </w:r>
      <w:r w:rsidRPr="008A0EAB">
        <w:rPr>
          <w:sz w:val="18"/>
          <w:szCs w:val="18"/>
        </w:rPr>
        <w:t>de</w:t>
      </w:r>
      <w:r w:rsidRPr="008A0EAB">
        <w:rPr>
          <w:spacing w:val="-2"/>
          <w:sz w:val="18"/>
          <w:szCs w:val="18"/>
        </w:rPr>
        <w:t xml:space="preserve"> </w:t>
      </w:r>
      <w:r w:rsidRPr="008A0EAB">
        <w:rPr>
          <w:sz w:val="18"/>
          <w:szCs w:val="18"/>
        </w:rPr>
        <w:t>ingreso</w:t>
      </w:r>
      <w:r w:rsidRPr="008A0EAB">
        <w:rPr>
          <w:spacing w:val="-2"/>
          <w:sz w:val="18"/>
          <w:szCs w:val="18"/>
        </w:rPr>
        <w:t xml:space="preserve"> </w:t>
      </w:r>
      <w:r w:rsidRPr="008A0EAB">
        <w:rPr>
          <w:sz w:val="18"/>
          <w:szCs w:val="18"/>
        </w:rPr>
        <w:t>cohorte</w:t>
      </w:r>
      <w:r w:rsidRPr="008A0EAB">
        <w:rPr>
          <w:spacing w:val="-1"/>
          <w:sz w:val="18"/>
          <w:szCs w:val="18"/>
        </w:rPr>
        <w:t xml:space="preserve"> </w:t>
      </w:r>
      <w:r w:rsidRPr="008A0EAB">
        <w:rPr>
          <w:sz w:val="18"/>
          <w:szCs w:val="18"/>
        </w:rPr>
        <w:t>2022.</w:t>
      </w:r>
    </w:p>
    <w:p w14:paraId="3AB0146C" w14:textId="5E5F18E8" w:rsidR="00AB4AFA" w:rsidRPr="00780293" w:rsidRDefault="00AB4AFA" w:rsidP="00AB4AFA">
      <w:pPr>
        <w:pStyle w:val="Textoindependiente"/>
        <w:spacing w:after="120"/>
        <w:ind w:left="5" w:hanging="5"/>
        <w:jc w:val="both"/>
        <w:rPr>
          <w:color w:val="212121"/>
          <w:sz w:val="18"/>
          <w:szCs w:val="18"/>
          <w:lang w:val="en-US"/>
        </w:rPr>
      </w:pPr>
      <w:r w:rsidRPr="008A0EAB">
        <w:rPr>
          <w:color w:val="212121"/>
          <w:sz w:val="18"/>
          <w:szCs w:val="18"/>
        </w:rPr>
        <w:t>Ibáñez, R. (2015). Comprensión de textos académicos escritos en inglés: acceso discursivo al</w:t>
      </w:r>
      <w:r w:rsidRPr="008A0EAB">
        <w:rPr>
          <w:color w:val="212121"/>
          <w:spacing w:val="1"/>
          <w:sz w:val="18"/>
          <w:szCs w:val="18"/>
        </w:rPr>
        <w:t xml:space="preserve"> </w:t>
      </w:r>
      <w:r w:rsidRPr="008A0EAB">
        <w:rPr>
          <w:color w:val="212121"/>
          <w:sz w:val="18"/>
          <w:szCs w:val="18"/>
        </w:rPr>
        <w:t>ámbito disciplinar. En G. Parodi (Ed), Géneros académicos y géneros profesionales. Acceso</w:t>
      </w:r>
      <w:r w:rsidRPr="008A0EAB">
        <w:rPr>
          <w:color w:val="212121"/>
          <w:spacing w:val="-57"/>
          <w:sz w:val="18"/>
          <w:szCs w:val="18"/>
        </w:rPr>
        <w:t xml:space="preserve"> </w:t>
      </w:r>
      <w:r w:rsidRPr="008A0EAB">
        <w:rPr>
          <w:color w:val="212121"/>
          <w:sz w:val="18"/>
          <w:szCs w:val="18"/>
        </w:rPr>
        <w:t>discursivo</w:t>
      </w:r>
      <w:r w:rsidRPr="008A0EAB">
        <w:rPr>
          <w:color w:val="212121"/>
          <w:spacing w:val="-1"/>
          <w:sz w:val="18"/>
          <w:szCs w:val="18"/>
        </w:rPr>
        <w:t xml:space="preserve"> </w:t>
      </w:r>
      <w:r w:rsidRPr="008A0EAB">
        <w:rPr>
          <w:color w:val="212121"/>
          <w:sz w:val="18"/>
          <w:szCs w:val="18"/>
        </w:rPr>
        <w:t>para</w:t>
      </w:r>
      <w:r w:rsidRPr="008A0EAB">
        <w:rPr>
          <w:color w:val="212121"/>
          <w:spacing w:val="-3"/>
          <w:sz w:val="18"/>
          <w:szCs w:val="18"/>
        </w:rPr>
        <w:t xml:space="preserve"> </w:t>
      </w:r>
      <w:r w:rsidRPr="008A0EAB">
        <w:rPr>
          <w:color w:val="212121"/>
          <w:sz w:val="18"/>
          <w:szCs w:val="18"/>
        </w:rPr>
        <w:t>saber y</w:t>
      </w:r>
      <w:r w:rsidRPr="008A0EAB">
        <w:rPr>
          <w:color w:val="212121"/>
          <w:spacing w:val="-1"/>
          <w:sz w:val="18"/>
          <w:szCs w:val="18"/>
        </w:rPr>
        <w:t xml:space="preserve"> </w:t>
      </w:r>
      <w:r w:rsidRPr="008A0EAB">
        <w:rPr>
          <w:color w:val="212121"/>
          <w:sz w:val="18"/>
          <w:szCs w:val="18"/>
        </w:rPr>
        <w:t>hacer</w:t>
      </w:r>
      <w:r w:rsidRPr="008A0EAB">
        <w:rPr>
          <w:color w:val="212121"/>
          <w:spacing w:val="2"/>
          <w:sz w:val="18"/>
          <w:szCs w:val="18"/>
        </w:rPr>
        <w:t xml:space="preserve"> </w:t>
      </w:r>
      <w:r w:rsidRPr="008A0EAB">
        <w:rPr>
          <w:color w:val="212121"/>
          <w:sz w:val="18"/>
          <w:szCs w:val="18"/>
        </w:rPr>
        <w:t xml:space="preserve">(pp. 289-313). </w:t>
      </w:r>
      <w:r w:rsidRPr="00780293">
        <w:rPr>
          <w:color w:val="212121"/>
          <w:sz w:val="18"/>
          <w:szCs w:val="18"/>
          <w:lang w:val="en-US"/>
        </w:rPr>
        <w:t>Ediciones</w:t>
      </w:r>
      <w:r w:rsidRPr="00780293">
        <w:rPr>
          <w:color w:val="212121"/>
          <w:spacing w:val="-1"/>
          <w:sz w:val="18"/>
          <w:szCs w:val="18"/>
          <w:lang w:val="en-US"/>
        </w:rPr>
        <w:t xml:space="preserve"> </w:t>
      </w:r>
      <w:r w:rsidRPr="00780293">
        <w:rPr>
          <w:color w:val="212121"/>
          <w:sz w:val="18"/>
          <w:szCs w:val="18"/>
          <w:lang w:val="en-US"/>
        </w:rPr>
        <w:t>Universitarias de</w:t>
      </w:r>
      <w:r w:rsidRPr="00780293">
        <w:rPr>
          <w:color w:val="212121"/>
          <w:spacing w:val="-2"/>
          <w:sz w:val="18"/>
          <w:szCs w:val="18"/>
          <w:lang w:val="en-US"/>
        </w:rPr>
        <w:t xml:space="preserve"> </w:t>
      </w:r>
      <w:r w:rsidRPr="00780293">
        <w:rPr>
          <w:color w:val="212121"/>
          <w:sz w:val="18"/>
          <w:szCs w:val="18"/>
          <w:lang w:val="en-US"/>
        </w:rPr>
        <w:t>Valparaíso.</w:t>
      </w:r>
    </w:p>
    <w:p w14:paraId="014B620A" w14:textId="4B2532DF" w:rsidR="00C35225" w:rsidRPr="00780293" w:rsidRDefault="00C35225" w:rsidP="00AB4AFA">
      <w:pPr>
        <w:pStyle w:val="Textoindependiente"/>
        <w:spacing w:after="120"/>
        <w:ind w:left="5" w:hanging="5"/>
        <w:jc w:val="both"/>
        <w:rPr>
          <w:sz w:val="18"/>
          <w:szCs w:val="18"/>
          <w:lang w:val="en-US"/>
        </w:rPr>
      </w:pPr>
      <w:r w:rsidRPr="00780293">
        <w:rPr>
          <w:sz w:val="18"/>
          <w:szCs w:val="18"/>
          <w:lang w:val="en-US"/>
        </w:rPr>
        <w:t>Lillis, T., Scott, M. (2007). Defining Academic Literacies Research: Issues of Epistemology, Ideology and Strategy. Journal of Applied Linguistics, 4(1), 5-32.</w:t>
      </w:r>
    </w:p>
    <w:p w14:paraId="100C3553" w14:textId="1DF039E5" w:rsidR="00AB4AFA" w:rsidRPr="00605DBA" w:rsidRDefault="00AB4AFA" w:rsidP="00AB4AFA">
      <w:pPr>
        <w:pStyle w:val="Textoindependiente"/>
        <w:spacing w:after="120"/>
        <w:ind w:left="5" w:hanging="5"/>
        <w:jc w:val="both"/>
        <w:rPr>
          <w:sz w:val="18"/>
          <w:szCs w:val="18"/>
        </w:rPr>
      </w:pPr>
      <w:r w:rsidRPr="00605DBA">
        <w:rPr>
          <w:sz w:val="18"/>
          <w:szCs w:val="18"/>
          <w:lang w:val="en-US"/>
        </w:rPr>
        <w:t xml:space="preserve">Martínez, J. R. (2019). Torrego, JC, y Monge, C. (Coord.). </w:t>
      </w:r>
      <w:r w:rsidRPr="00605DBA">
        <w:rPr>
          <w:sz w:val="18"/>
          <w:szCs w:val="18"/>
        </w:rPr>
        <w:t>(2018). Inclusión educativa y</w:t>
      </w:r>
      <w:r w:rsidRPr="00605DBA">
        <w:rPr>
          <w:spacing w:val="1"/>
          <w:sz w:val="18"/>
          <w:szCs w:val="18"/>
        </w:rPr>
        <w:t xml:space="preserve"> </w:t>
      </w:r>
      <w:r w:rsidRPr="00605DBA">
        <w:rPr>
          <w:sz w:val="18"/>
          <w:szCs w:val="18"/>
        </w:rPr>
        <w:t>aprendizaje cooperativo. Madrid: Síntesis. 300 pp. ISBN: 9788491712503. Revista de</w:t>
      </w:r>
      <w:r w:rsidRPr="00605DBA">
        <w:rPr>
          <w:spacing w:val="-57"/>
          <w:sz w:val="18"/>
          <w:szCs w:val="18"/>
        </w:rPr>
        <w:t xml:space="preserve"> </w:t>
      </w:r>
      <w:r w:rsidRPr="00605DBA">
        <w:rPr>
          <w:sz w:val="18"/>
          <w:szCs w:val="18"/>
        </w:rPr>
        <w:t>educación,</w:t>
      </w:r>
      <w:r w:rsidRPr="00605DBA">
        <w:rPr>
          <w:spacing w:val="-1"/>
          <w:sz w:val="18"/>
          <w:szCs w:val="18"/>
        </w:rPr>
        <w:t xml:space="preserve"> </w:t>
      </w:r>
      <w:r w:rsidRPr="00605DBA">
        <w:rPr>
          <w:sz w:val="18"/>
          <w:szCs w:val="18"/>
        </w:rPr>
        <w:t>(385), 281-282.</w:t>
      </w:r>
      <w:r w:rsidR="00C35225" w:rsidRPr="00605DBA">
        <w:rPr>
          <w:sz w:val="18"/>
          <w:szCs w:val="18"/>
        </w:rPr>
        <w:t xml:space="preserve"> </w:t>
      </w:r>
    </w:p>
    <w:p w14:paraId="23E9CA61" w14:textId="7A5521DE" w:rsidR="00C35225" w:rsidRPr="008A0EAB" w:rsidRDefault="00C35225" w:rsidP="00AB4AFA">
      <w:pPr>
        <w:pStyle w:val="Textoindependiente"/>
        <w:spacing w:after="120"/>
        <w:ind w:left="5" w:hanging="5"/>
        <w:jc w:val="both"/>
        <w:rPr>
          <w:sz w:val="18"/>
          <w:szCs w:val="18"/>
        </w:rPr>
      </w:pPr>
      <w:r w:rsidRPr="008A0EAB">
        <w:rPr>
          <w:sz w:val="18"/>
          <w:szCs w:val="18"/>
        </w:rPr>
        <w:t>Muñoz, J. L., &amp; Gairín, J. (2013). Orientación y tutoría durante los estudios universitarios: el plan de acción tutorial. Revista Fuentes, 14, 171-192.</w:t>
      </w:r>
    </w:p>
    <w:p w14:paraId="2AD6BD28" w14:textId="19998C12" w:rsidR="00AB4AFA" w:rsidRPr="008A0EAB" w:rsidRDefault="00AB4AFA" w:rsidP="00035A28">
      <w:pPr>
        <w:spacing w:line="240" w:lineRule="auto"/>
        <w:ind w:leftChars="0" w:left="2" w:hanging="2"/>
        <w:rPr>
          <w:sz w:val="18"/>
          <w:szCs w:val="18"/>
        </w:rPr>
      </w:pPr>
      <w:r w:rsidRPr="008A0EAB">
        <w:rPr>
          <w:sz w:val="18"/>
          <w:szCs w:val="18"/>
        </w:rPr>
        <w:t>Peña, L. (2008). La competencia oral y escrita en la educación superior. Ministerio de Educación Nacional (MEN).</w:t>
      </w:r>
    </w:p>
    <w:p w14:paraId="329F4B4F" w14:textId="652F2AD0" w:rsidR="00C35225" w:rsidRPr="00780293" w:rsidRDefault="00C35225" w:rsidP="00035A28">
      <w:pPr>
        <w:spacing w:line="240" w:lineRule="auto"/>
        <w:ind w:leftChars="0" w:left="2" w:hanging="2"/>
        <w:rPr>
          <w:sz w:val="18"/>
          <w:szCs w:val="18"/>
          <w:lang w:val="en-US"/>
        </w:rPr>
      </w:pPr>
      <w:r w:rsidRPr="008A0EAB">
        <w:rPr>
          <w:sz w:val="18"/>
          <w:szCs w:val="18"/>
        </w:rPr>
        <w:t xml:space="preserve">Roland, N., Frenay, M., &amp; Boudrenghien, G. (2018). </w:t>
      </w:r>
      <w:r w:rsidRPr="00780293">
        <w:rPr>
          <w:sz w:val="18"/>
          <w:szCs w:val="18"/>
          <w:lang w:val="en-US"/>
        </w:rPr>
        <w:t xml:space="preserve">Understanding academic persistence through the theory of planned behavior: Normative factors under investigation. Journal of College Student Retention: Research, Theory and Practice, 20(2), 215–235. </w:t>
      </w:r>
      <w:hyperlink r:id="rId10" w:history="1">
        <w:r w:rsidRPr="00780293">
          <w:rPr>
            <w:rStyle w:val="Hipervnculo"/>
            <w:color w:val="auto"/>
            <w:sz w:val="18"/>
            <w:szCs w:val="18"/>
            <w:u w:val="none"/>
            <w:lang w:val="en-US"/>
          </w:rPr>
          <w:t>https://doi.org/10.1177/1521025116656632</w:t>
        </w:r>
      </w:hyperlink>
    </w:p>
    <w:p w14:paraId="299A33FC" w14:textId="4C851244" w:rsidR="00AB4AFA" w:rsidRDefault="00267F9A" w:rsidP="00035A28">
      <w:pPr>
        <w:spacing w:line="240" w:lineRule="auto"/>
        <w:ind w:leftChars="0" w:left="2" w:hanging="2"/>
        <w:rPr>
          <w:sz w:val="18"/>
          <w:szCs w:val="18"/>
        </w:rPr>
      </w:pPr>
      <w:r w:rsidRPr="008A0EAB">
        <w:rPr>
          <w:sz w:val="18"/>
          <w:szCs w:val="18"/>
        </w:rPr>
        <w:t>Suárez, P. A, Vélez, M. y Londoño, D. A. (2018). Las herramientas y recursos digitales para mejorar los niveles de literacidad y el rendimiento académico de los estudiantes de primaria. Revista Virtual Universidad Católica del Norte, (54), 184-198.</w:t>
      </w:r>
    </w:p>
    <w:p w14:paraId="6627DE09" w14:textId="570C928E" w:rsidR="00372060" w:rsidRPr="008A0EAB" w:rsidRDefault="00372060" w:rsidP="00D0742A">
      <w:pPr>
        <w:spacing w:line="240" w:lineRule="auto"/>
        <w:ind w:leftChars="0" w:left="2" w:hanging="2"/>
        <w:rPr>
          <w:sz w:val="18"/>
          <w:szCs w:val="18"/>
        </w:rPr>
      </w:pPr>
      <w:r w:rsidRPr="00372060">
        <w:rPr>
          <w:sz w:val="18"/>
          <w:szCs w:val="18"/>
        </w:rPr>
        <w:t xml:space="preserve">Zamora-Araya, J., &amp; Villalobos-Madrigal, J. (2018). El Enfoque Por Competencias En La Carrera De Enseñanza De La Matemática De La Universidad Nacional Y Su Relación Con El Abandono Escolar. </w:t>
      </w:r>
      <w:r w:rsidRPr="00372060">
        <w:rPr>
          <w:i/>
          <w:iCs/>
          <w:sz w:val="18"/>
          <w:szCs w:val="18"/>
        </w:rPr>
        <w:t>Congresos CLABES</w:t>
      </w:r>
      <w:r w:rsidRPr="00372060">
        <w:rPr>
          <w:sz w:val="18"/>
          <w:szCs w:val="18"/>
        </w:rPr>
        <w:t xml:space="preserve">. </w:t>
      </w:r>
      <w:hyperlink r:id="rId11" w:history="1">
        <w:r w:rsidRPr="00605DBA">
          <w:rPr>
            <w:rStyle w:val="Hipervnculo"/>
            <w:color w:val="auto"/>
            <w:sz w:val="18"/>
            <w:szCs w:val="18"/>
            <w:u w:val="none"/>
          </w:rPr>
          <w:t>https://revistas.utp.ac.pa/index.php/clabes/article/view/1897</w:t>
        </w:r>
      </w:hyperlink>
      <w:r w:rsidRPr="00605DBA">
        <w:rPr>
          <w:sz w:val="18"/>
          <w:szCs w:val="18"/>
        </w:rPr>
        <w:t xml:space="preserve">  </w:t>
      </w:r>
    </w:p>
    <w:sectPr w:rsidR="00372060" w:rsidRPr="008A0EAB" w:rsidSect="002F2D75">
      <w:headerReference w:type="even" r:id="rId12"/>
      <w:headerReference w:type="default" r:id="rId13"/>
      <w:footerReference w:type="even" r:id="rId14"/>
      <w:footerReference w:type="default" r:id="rId15"/>
      <w:headerReference w:type="first" r:id="rId16"/>
      <w:footerReference w:type="first" r:id="rId17"/>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900D" w14:textId="77777777" w:rsidR="00FA553E" w:rsidRDefault="00FA553E">
      <w:pPr>
        <w:spacing w:after="0" w:line="240" w:lineRule="auto"/>
        <w:ind w:left="0" w:hanging="2"/>
      </w:pPr>
      <w:r>
        <w:separator/>
      </w:r>
    </w:p>
  </w:endnote>
  <w:endnote w:type="continuationSeparator" w:id="0">
    <w:p w14:paraId="4E80825A" w14:textId="77777777" w:rsidR="00FA553E" w:rsidRDefault="00FA553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lang w:val="es-CL" w:eastAsia="es-CL"/>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lang w:val="es-CL" w:eastAsia="es-CL"/>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B54A" w14:textId="77777777" w:rsidR="00FA553E" w:rsidRDefault="00FA553E">
      <w:pPr>
        <w:spacing w:after="0" w:line="240" w:lineRule="auto"/>
        <w:ind w:left="0" w:hanging="2"/>
      </w:pPr>
      <w:r>
        <w:separator/>
      </w:r>
    </w:p>
  </w:footnote>
  <w:footnote w:type="continuationSeparator" w:id="0">
    <w:p w14:paraId="17CAF820" w14:textId="77777777" w:rsidR="00FA553E" w:rsidRDefault="00FA553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Encabezado"/>
      <w:ind w:leftChars="0" w:left="0" w:firstLineChars="0" w:firstLine="0"/>
    </w:pPr>
    <w:r w:rsidRPr="002839EF">
      <w:rPr>
        <w:noProof/>
        <w:lang w:val="es-CL" w:eastAsia="es-CL"/>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6EF"/>
    <w:multiLevelType w:val="hybridMultilevel"/>
    <w:tmpl w:val="4394EB42"/>
    <w:lvl w:ilvl="0" w:tplc="35848AA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6D36EEB"/>
    <w:multiLevelType w:val="hybridMultilevel"/>
    <w:tmpl w:val="0F7432AC"/>
    <w:lvl w:ilvl="0" w:tplc="340A0001">
      <w:start w:val="1"/>
      <w:numFmt w:val="bullet"/>
      <w:lvlText w:val=""/>
      <w:lvlJc w:val="left"/>
      <w:pPr>
        <w:ind w:left="362" w:hanging="360"/>
      </w:pPr>
      <w:rPr>
        <w:rFonts w:ascii="Symbol" w:hAnsi="Symbol" w:hint="default"/>
      </w:rPr>
    </w:lvl>
    <w:lvl w:ilvl="1" w:tplc="340A0003" w:tentative="1">
      <w:start w:val="1"/>
      <w:numFmt w:val="bullet"/>
      <w:lvlText w:val="o"/>
      <w:lvlJc w:val="left"/>
      <w:pPr>
        <w:ind w:left="1082" w:hanging="360"/>
      </w:pPr>
      <w:rPr>
        <w:rFonts w:ascii="Courier New" w:hAnsi="Courier New" w:cs="Courier New" w:hint="default"/>
      </w:rPr>
    </w:lvl>
    <w:lvl w:ilvl="2" w:tplc="340A0005" w:tentative="1">
      <w:start w:val="1"/>
      <w:numFmt w:val="bullet"/>
      <w:lvlText w:val=""/>
      <w:lvlJc w:val="left"/>
      <w:pPr>
        <w:ind w:left="1802" w:hanging="360"/>
      </w:pPr>
      <w:rPr>
        <w:rFonts w:ascii="Wingdings" w:hAnsi="Wingdings" w:hint="default"/>
      </w:rPr>
    </w:lvl>
    <w:lvl w:ilvl="3" w:tplc="340A0001" w:tentative="1">
      <w:start w:val="1"/>
      <w:numFmt w:val="bullet"/>
      <w:lvlText w:val=""/>
      <w:lvlJc w:val="left"/>
      <w:pPr>
        <w:ind w:left="2522" w:hanging="360"/>
      </w:pPr>
      <w:rPr>
        <w:rFonts w:ascii="Symbol" w:hAnsi="Symbol" w:hint="default"/>
      </w:rPr>
    </w:lvl>
    <w:lvl w:ilvl="4" w:tplc="340A0003" w:tentative="1">
      <w:start w:val="1"/>
      <w:numFmt w:val="bullet"/>
      <w:lvlText w:val="o"/>
      <w:lvlJc w:val="left"/>
      <w:pPr>
        <w:ind w:left="3242" w:hanging="360"/>
      </w:pPr>
      <w:rPr>
        <w:rFonts w:ascii="Courier New" w:hAnsi="Courier New" w:cs="Courier New" w:hint="default"/>
      </w:rPr>
    </w:lvl>
    <w:lvl w:ilvl="5" w:tplc="340A0005" w:tentative="1">
      <w:start w:val="1"/>
      <w:numFmt w:val="bullet"/>
      <w:lvlText w:val=""/>
      <w:lvlJc w:val="left"/>
      <w:pPr>
        <w:ind w:left="3962" w:hanging="360"/>
      </w:pPr>
      <w:rPr>
        <w:rFonts w:ascii="Wingdings" w:hAnsi="Wingdings" w:hint="default"/>
      </w:rPr>
    </w:lvl>
    <w:lvl w:ilvl="6" w:tplc="340A0001" w:tentative="1">
      <w:start w:val="1"/>
      <w:numFmt w:val="bullet"/>
      <w:lvlText w:val=""/>
      <w:lvlJc w:val="left"/>
      <w:pPr>
        <w:ind w:left="4682" w:hanging="360"/>
      </w:pPr>
      <w:rPr>
        <w:rFonts w:ascii="Symbol" w:hAnsi="Symbol" w:hint="default"/>
      </w:rPr>
    </w:lvl>
    <w:lvl w:ilvl="7" w:tplc="340A0003" w:tentative="1">
      <w:start w:val="1"/>
      <w:numFmt w:val="bullet"/>
      <w:lvlText w:val="o"/>
      <w:lvlJc w:val="left"/>
      <w:pPr>
        <w:ind w:left="5402" w:hanging="360"/>
      </w:pPr>
      <w:rPr>
        <w:rFonts w:ascii="Courier New" w:hAnsi="Courier New" w:cs="Courier New" w:hint="default"/>
      </w:rPr>
    </w:lvl>
    <w:lvl w:ilvl="8" w:tplc="340A0005" w:tentative="1">
      <w:start w:val="1"/>
      <w:numFmt w:val="bullet"/>
      <w:lvlText w:val=""/>
      <w:lvlJc w:val="left"/>
      <w:pPr>
        <w:ind w:left="6122" w:hanging="360"/>
      </w:pPr>
      <w:rPr>
        <w:rFonts w:ascii="Wingdings" w:hAnsi="Wingdings" w:hint="default"/>
      </w:rPr>
    </w:lvl>
  </w:abstractNum>
  <w:abstractNum w:abstractNumId="2"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0234066"/>
    <w:multiLevelType w:val="multilevel"/>
    <w:tmpl w:val="3EB40FC6"/>
    <w:lvl w:ilvl="0">
      <w:start w:val="1"/>
      <w:numFmt w:val="decimal"/>
      <w:lvlText w:val="%1."/>
      <w:lvlJc w:val="left"/>
      <w:pPr>
        <w:ind w:left="358" w:hanging="360"/>
      </w:pPr>
      <w:rPr>
        <w:rFonts w:hint="default"/>
      </w:rPr>
    </w:lvl>
    <w:lvl w:ilvl="1">
      <w:start w:val="1"/>
      <w:numFmt w:val="decimal"/>
      <w:isLgl/>
      <w:lvlText w:val="%1.%2"/>
      <w:lvlJc w:val="left"/>
      <w:pPr>
        <w:ind w:left="358" w:hanging="360"/>
      </w:pPr>
      <w:rPr>
        <w:rFonts w:hint="default"/>
      </w:rPr>
    </w:lvl>
    <w:lvl w:ilvl="2">
      <w:start w:val="1"/>
      <w:numFmt w:val="decimal"/>
      <w:isLgl/>
      <w:lvlText w:val="%1.%2.%3"/>
      <w:lvlJc w:val="left"/>
      <w:pPr>
        <w:ind w:left="718" w:hanging="720"/>
      </w:pPr>
      <w:rPr>
        <w:rFonts w:hint="default"/>
      </w:rPr>
    </w:lvl>
    <w:lvl w:ilvl="3">
      <w:start w:val="1"/>
      <w:numFmt w:val="decimal"/>
      <w:isLgl/>
      <w:lvlText w:val="%1.%2.%3.%4"/>
      <w:lvlJc w:val="left"/>
      <w:pPr>
        <w:ind w:left="718" w:hanging="72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78" w:hanging="1080"/>
      </w:pPr>
      <w:rPr>
        <w:rFonts w:hint="default"/>
      </w:rPr>
    </w:lvl>
    <w:lvl w:ilvl="6">
      <w:start w:val="1"/>
      <w:numFmt w:val="decimal"/>
      <w:isLgl/>
      <w:lvlText w:val="%1.%2.%3.%4.%5.%6.%7"/>
      <w:lvlJc w:val="left"/>
      <w:pPr>
        <w:ind w:left="1438" w:hanging="1440"/>
      </w:pPr>
      <w:rPr>
        <w:rFonts w:hint="default"/>
      </w:rPr>
    </w:lvl>
    <w:lvl w:ilvl="7">
      <w:start w:val="1"/>
      <w:numFmt w:val="decimal"/>
      <w:isLgl/>
      <w:lvlText w:val="%1.%2.%3.%4.%5.%6.%7.%8"/>
      <w:lvlJc w:val="left"/>
      <w:pPr>
        <w:ind w:left="1438" w:hanging="1440"/>
      </w:pPr>
      <w:rPr>
        <w:rFonts w:hint="default"/>
      </w:rPr>
    </w:lvl>
    <w:lvl w:ilvl="8">
      <w:start w:val="1"/>
      <w:numFmt w:val="decimal"/>
      <w:isLgl/>
      <w:lvlText w:val="%1.%2.%3.%4.%5.%6.%7.%8.%9"/>
      <w:lvlJc w:val="left"/>
      <w:pPr>
        <w:ind w:left="1798" w:hanging="1800"/>
      </w:pPr>
      <w:rPr>
        <w:rFonts w:hint="default"/>
      </w:rPr>
    </w:lvl>
  </w:abstractNum>
  <w:abstractNum w:abstractNumId="4" w15:restartNumberingAfterBreak="0">
    <w:nsid w:val="784A0884"/>
    <w:multiLevelType w:val="hybridMultilevel"/>
    <w:tmpl w:val="A440A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985160199">
    <w:abstractNumId w:val="2"/>
  </w:num>
  <w:num w:numId="2" w16cid:durableId="1866140761">
    <w:abstractNumId w:val="3"/>
  </w:num>
  <w:num w:numId="3" w16cid:durableId="1269463145">
    <w:abstractNumId w:val="4"/>
  </w:num>
  <w:num w:numId="4" w16cid:durableId="188615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78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17172"/>
    <w:rsid w:val="000200A2"/>
    <w:rsid w:val="0002308D"/>
    <w:rsid w:val="00024F4D"/>
    <w:rsid w:val="000312AF"/>
    <w:rsid w:val="00031CEB"/>
    <w:rsid w:val="00034E1E"/>
    <w:rsid w:val="00035A28"/>
    <w:rsid w:val="000636E4"/>
    <w:rsid w:val="00072F55"/>
    <w:rsid w:val="000733AE"/>
    <w:rsid w:val="00084AD7"/>
    <w:rsid w:val="0008673B"/>
    <w:rsid w:val="00086EC5"/>
    <w:rsid w:val="00090411"/>
    <w:rsid w:val="000C0360"/>
    <w:rsid w:val="001332A9"/>
    <w:rsid w:val="00165ABF"/>
    <w:rsid w:val="00177CB2"/>
    <w:rsid w:val="00185BB3"/>
    <w:rsid w:val="001C44B6"/>
    <w:rsid w:val="001F22B6"/>
    <w:rsid w:val="002077E7"/>
    <w:rsid w:val="00267F9A"/>
    <w:rsid w:val="002839EF"/>
    <w:rsid w:val="002B3F7C"/>
    <w:rsid w:val="002C1560"/>
    <w:rsid w:val="002F2D75"/>
    <w:rsid w:val="002F7861"/>
    <w:rsid w:val="00333B0B"/>
    <w:rsid w:val="00345A83"/>
    <w:rsid w:val="00353182"/>
    <w:rsid w:val="003615CE"/>
    <w:rsid w:val="003648E8"/>
    <w:rsid w:val="00372060"/>
    <w:rsid w:val="00380F3A"/>
    <w:rsid w:val="003839C9"/>
    <w:rsid w:val="0039276F"/>
    <w:rsid w:val="003C2E11"/>
    <w:rsid w:val="003E42B4"/>
    <w:rsid w:val="00413CD9"/>
    <w:rsid w:val="004810E4"/>
    <w:rsid w:val="00482AD4"/>
    <w:rsid w:val="00492730"/>
    <w:rsid w:val="0049721D"/>
    <w:rsid w:val="004D1B1C"/>
    <w:rsid w:val="00553B8E"/>
    <w:rsid w:val="005960C2"/>
    <w:rsid w:val="005C025A"/>
    <w:rsid w:val="0060141F"/>
    <w:rsid w:val="00605DBA"/>
    <w:rsid w:val="0062698F"/>
    <w:rsid w:val="00644F6E"/>
    <w:rsid w:val="00647E7D"/>
    <w:rsid w:val="00672631"/>
    <w:rsid w:val="00676674"/>
    <w:rsid w:val="006843BD"/>
    <w:rsid w:val="006A65FD"/>
    <w:rsid w:val="006C542D"/>
    <w:rsid w:val="006F09DF"/>
    <w:rsid w:val="0070236E"/>
    <w:rsid w:val="00705056"/>
    <w:rsid w:val="007303CD"/>
    <w:rsid w:val="0076373F"/>
    <w:rsid w:val="007673E7"/>
    <w:rsid w:val="007777FB"/>
    <w:rsid w:val="00780293"/>
    <w:rsid w:val="007806BE"/>
    <w:rsid w:val="0078211C"/>
    <w:rsid w:val="007B6944"/>
    <w:rsid w:val="007E5704"/>
    <w:rsid w:val="0081334D"/>
    <w:rsid w:val="00813B2B"/>
    <w:rsid w:val="00881B15"/>
    <w:rsid w:val="00885037"/>
    <w:rsid w:val="008A0EAB"/>
    <w:rsid w:val="008D322A"/>
    <w:rsid w:val="008D5379"/>
    <w:rsid w:val="008E0BA9"/>
    <w:rsid w:val="00927DD0"/>
    <w:rsid w:val="00945F26"/>
    <w:rsid w:val="00956429"/>
    <w:rsid w:val="009706B9"/>
    <w:rsid w:val="0097700B"/>
    <w:rsid w:val="00982B36"/>
    <w:rsid w:val="009A601A"/>
    <w:rsid w:val="009B347C"/>
    <w:rsid w:val="009D3FC6"/>
    <w:rsid w:val="00A14ECE"/>
    <w:rsid w:val="00A3629A"/>
    <w:rsid w:val="00A529A0"/>
    <w:rsid w:val="00A56ED2"/>
    <w:rsid w:val="00A64189"/>
    <w:rsid w:val="00A641B3"/>
    <w:rsid w:val="00A83462"/>
    <w:rsid w:val="00AB4AFA"/>
    <w:rsid w:val="00AD353A"/>
    <w:rsid w:val="00AF2C20"/>
    <w:rsid w:val="00AF5E0D"/>
    <w:rsid w:val="00B20143"/>
    <w:rsid w:val="00B30056"/>
    <w:rsid w:val="00B3201C"/>
    <w:rsid w:val="00B4266D"/>
    <w:rsid w:val="00B76B3C"/>
    <w:rsid w:val="00BA57A2"/>
    <w:rsid w:val="00BC7AA2"/>
    <w:rsid w:val="00BD04DB"/>
    <w:rsid w:val="00BE2436"/>
    <w:rsid w:val="00BF74B8"/>
    <w:rsid w:val="00C24957"/>
    <w:rsid w:val="00C33E5B"/>
    <w:rsid w:val="00C35225"/>
    <w:rsid w:val="00C51650"/>
    <w:rsid w:val="00C62F55"/>
    <w:rsid w:val="00C637C2"/>
    <w:rsid w:val="00C6430E"/>
    <w:rsid w:val="00CC3E54"/>
    <w:rsid w:val="00D0742A"/>
    <w:rsid w:val="00D66045"/>
    <w:rsid w:val="00DA64B7"/>
    <w:rsid w:val="00DF2662"/>
    <w:rsid w:val="00DF33D9"/>
    <w:rsid w:val="00E002A4"/>
    <w:rsid w:val="00E208B0"/>
    <w:rsid w:val="00E33626"/>
    <w:rsid w:val="00E35257"/>
    <w:rsid w:val="00E35BF8"/>
    <w:rsid w:val="00E44B83"/>
    <w:rsid w:val="00E52D38"/>
    <w:rsid w:val="00E94DCB"/>
    <w:rsid w:val="00EA3E19"/>
    <w:rsid w:val="00EC13BC"/>
    <w:rsid w:val="00ED32F6"/>
    <w:rsid w:val="00ED461F"/>
    <w:rsid w:val="00EE1CCD"/>
    <w:rsid w:val="00EE5B05"/>
    <w:rsid w:val="00EF610E"/>
    <w:rsid w:val="00F32770"/>
    <w:rsid w:val="00F501A2"/>
    <w:rsid w:val="00F66318"/>
    <w:rsid w:val="00F800F3"/>
    <w:rsid w:val="00F9086B"/>
    <w:rsid w:val="00F93AE3"/>
    <w:rsid w:val="00FA32A4"/>
    <w:rsid w:val="00FA40C0"/>
    <w:rsid w:val="00FA553E"/>
    <w:rsid w:val="00FB2413"/>
    <w:rsid w:val="00FF7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customStyle="1" w:styleId="Mencinsinresolver1">
    <w:name w:val="Mención sin resolver1"/>
    <w:basedOn w:val="Fuentedeprrafopredeter"/>
    <w:uiPriority w:val="99"/>
    <w:semiHidden/>
    <w:unhideWhenUsed/>
    <w:rsid w:val="00AF5E0D"/>
    <w:rPr>
      <w:color w:val="605E5C"/>
      <w:shd w:val="clear" w:color="auto" w:fill="E1DFDD"/>
    </w:rPr>
  </w:style>
  <w:style w:type="paragraph" w:styleId="Prrafodelista">
    <w:name w:val="List Paragraph"/>
    <w:basedOn w:val="Normal"/>
    <w:uiPriority w:val="34"/>
    <w:qFormat/>
    <w:rsid w:val="00B3201C"/>
    <w:pPr>
      <w:ind w:left="720"/>
      <w:contextualSpacing/>
    </w:pPr>
  </w:style>
  <w:style w:type="paragraph" w:styleId="Sinespaciado">
    <w:name w:val="No Spacing"/>
    <w:uiPriority w:val="1"/>
    <w:qFormat/>
    <w:rsid w:val="00086EC5"/>
    <w:pPr>
      <w:spacing w:after="0"/>
      <w:jc w:val="left"/>
    </w:pPr>
    <w:rPr>
      <w:rFonts w:asciiTheme="minorHAnsi" w:eastAsiaTheme="minorHAnsi" w:hAnsiTheme="minorHAnsi" w:cstheme="minorBidi"/>
      <w:sz w:val="22"/>
      <w:szCs w:val="22"/>
      <w:lang w:val="en-US" w:eastAsia="en-US"/>
    </w:rPr>
  </w:style>
  <w:style w:type="paragraph" w:styleId="Textoindependiente">
    <w:name w:val="Body Text"/>
    <w:basedOn w:val="Normal"/>
    <w:link w:val="TextoindependienteCar1"/>
    <w:uiPriority w:val="1"/>
    <w:qFormat/>
    <w:rsid w:val="00AB4AFA"/>
    <w:pPr>
      <w:widowControl w:val="0"/>
      <w:suppressAutoHyphens w:val="0"/>
      <w:autoSpaceDE w:val="0"/>
      <w:autoSpaceDN w:val="0"/>
      <w:spacing w:after="0" w:line="240" w:lineRule="auto"/>
      <w:ind w:leftChars="0" w:left="0" w:firstLineChars="0" w:firstLine="0"/>
      <w:jc w:val="left"/>
      <w:textDirection w:val="lrTb"/>
      <w:textAlignment w:val="auto"/>
      <w:outlineLvl w:val="9"/>
    </w:pPr>
    <w:rPr>
      <w:position w:val="0"/>
      <w:sz w:val="24"/>
      <w:szCs w:val="24"/>
      <w:lang w:eastAsia="en-US"/>
    </w:rPr>
  </w:style>
  <w:style w:type="character" w:customStyle="1" w:styleId="TextoindependienteCar1">
    <w:name w:val="Texto independiente Car1"/>
    <w:basedOn w:val="Fuentedeprrafopredeter"/>
    <w:link w:val="Textoindependiente"/>
    <w:uiPriority w:val="1"/>
    <w:rsid w:val="00AB4AFA"/>
    <w:rPr>
      <w:sz w:val="24"/>
      <w:szCs w:val="24"/>
      <w:lang w:eastAsia="en-US"/>
    </w:rPr>
  </w:style>
  <w:style w:type="character" w:styleId="Mencinsinresolver">
    <w:name w:val="Unresolved Mention"/>
    <w:basedOn w:val="Fuentedeprrafopredeter"/>
    <w:uiPriority w:val="99"/>
    <w:semiHidden/>
    <w:unhideWhenUsed/>
    <w:rsid w:val="00B30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7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vistas.utp.ac.pa/index.php/clabes/article/view/189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1177/152102511665663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35AEEC-1273-4DE4-A5F0-CF8FF93D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7</Pages>
  <Words>3896</Words>
  <Characters>21434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ED</cp:lastModifiedBy>
  <cp:revision>28</cp:revision>
  <dcterms:created xsi:type="dcterms:W3CDTF">2022-09-14T00:46:00Z</dcterms:created>
  <dcterms:modified xsi:type="dcterms:W3CDTF">2022-10-22T22:09:00Z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