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1749" w14:textId="5F699B2C" w:rsidR="00767098" w:rsidRDefault="00F34751" w:rsidP="00EF7D9D">
      <w:pPr>
        <w:tabs>
          <w:tab w:val="left" w:pos="9498"/>
        </w:tabs>
        <w:spacing w:line="360" w:lineRule="auto"/>
        <w:ind w:right="-10"/>
        <w:jc w:val="center"/>
        <w:rPr>
          <w:b/>
          <w:sz w:val="24"/>
        </w:rPr>
      </w:pPr>
      <w:r>
        <w:rPr>
          <w:b/>
          <w:sz w:val="24"/>
        </w:rPr>
        <w:t xml:space="preserve">TRATAMENTO EMERGENCIAL </w:t>
      </w:r>
      <w:r w:rsidR="00685EF1">
        <w:rPr>
          <w:b/>
          <w:sz w:val="24"/>
        </w:rPr>
        <w:t>NA HEMORRAGIA SUBARACNOIDEA</w:t>
      </w:r>
      <w:r w:rsidR="00B47871">
        <w:rPr>
          <w:b/>
          <w:sz w:val="24"/>
        </w:rPr>
        <w:t>:</w:t>
      </w:r>
      <w:r w:rsidR="00333E16">
        <w:rPr>
          <w:b/>
          <w:sz w:val="24"/>
        </w:rPr>
        <w:t xml:space="preserve"> UMA</w:t>
      </w:r>
      <w:r w:rsidR="00B47871">
        <w:rPr>
          <w:b/>
          <w:sz w:val="24"/>
        </w:rPr>
        <w:t xml:space="preserve"> REVISÃO DE LITERATURA.</w:t>
      </w:r>
    </w:p>
    <w:p w14:paraId="437D1D0B" w14:textId="77777777" w:rsidR="00767098" w:rsidRDefault="00767098">
      <w:pPr>
        <w:pStyle w:val="Corpodetexto"/>
        <w:spacing w:before="3"/>
        <w:ind w:left="0"/>
        <w:rPr>
          <w:b/>
          <w:sz w:val="35"/>
        </w:rPr>
      </w:pPr>
    </w:p>
    <w:p w14:paraId="31CFFA73" w14:textId="17FD0231" w:rsidR="00767098" w:rsidRPr="006D01D8" w:rsidRDefault="00685EF1" w:rsidP="00D70B63">
      <w:pPr>
        <w:pStyle w:val="Corpodetexto"/>
        <w:spacing w:line="254" w:lineRule="auto"/>
        <w:ind w:left="0" w:right="-10"/>
        <w:rPr>
          <w:lang w:val="pt-BR"/>
        </w:rPr>
      </w:pPr>
      <w:r>
        <w:t>Vinícius Antônio de Paula</w:t>
      </w:r>
      <w:r w:rsidR="007102B0" w:rsidRPr="007102B0">
        <w:rPr>
          <w:vertAlign w:val="superscript"/>
        </w:rPr>
        <w:t>1</w:t>
      </w:r>
      <w:r w:rsidR="007102B0">
        <w:t xml:space="preserve">, </w:t>
      </w:r>
      <w:r w:rsidR="00C06C88">
        <w:t>Livia Nogueira Coelho</w:t>
      </w:r>
      <w:r w:rsidR="0030352E" w:rsidRPr="00222FDC">
        <w:rPr>
          <w:vertAlign w:val="superscript"/>
        </w:rPr>
        <w:t>2</w:t>
      </w:r>
      <w:r w:rsidR="0030352E">
        <w:t>, Luanna Faria Mendonça</w:t>
      </w:r>
      <w:r w:rsidR="0089339E" w:rsidRPr="00222FDC">
        <w:rPr>
          <w:vertAlign w:val="superscript"/>
        </w:rPr>
        <w:t>3</w:t>
      </w:r>
      <w:r w:rsidR="0089339E">
        <w:t>, Larissa Gomes Pignatti</w:t>
      </w:r>
      <w:r w:rsidR="0089339E" w:rsidRPr="00222FDC">
        <w:rPr>
          <w:vertAlign w:val="superscript"/>
        </w:rPr>
        <w:t>1</w:t>
      </w:r>
      <w:r w:rsidR="00D110EC">
        <w:t>, Maria Clara Lopes Zamonaro</w:t>
      </w:r>
      <w:r w:rsidR="006F18B3" w:rsidRPr="00222FDC">
        <w:rPr>
          <w:vertAlign w:val="superscript"/>
        </w:rPr>
        <w:t>3</w:t>
      </w:r>
      <w:r w:rsidR="006F18B3">
        <w:t>, Nadiny Natalia Silva das Neves</w:t>
      </w:r>
      <w:r w:rsidR="00222FDC" w:rsidRPr="00222FDC">
        <w:rPr>
          <w:vertAlign w:val="superscript"/>
        </w:rPr>
        <w:t>4</w:t>
      </w:r>
      <w:r w:rsidR="00222FDC">
        <w:t>, Amanda de Fátima Oliveira</w:t>
      </w:r>
      <w:r w:rsidR="00222FDC" w:rsidRPr="00222FDC">
        <w:rPr>
          <w:vertAlign w:val="superscript"/>
        </w:rPr>
        <w:t>1</w:t>
      </w:r>
      <w:r w:rsidR="00222FDC">
        <w:t>.</w:t>
      </w:r>
    </w:p>
    <w:p w14:paraId="12C7E43F" w14:textId="77777777" w:rsidR="00767098" w:rsidRDefault="00767098">
      <w:pPr>
        <w:pStyle w:val="Corpodetexto"/>
        <w:spacing w:before="10"/>
        <w:ind w:left="0"/>
        <w:rPr>
          <w:sz w:val="33"/>
        </w:rPr>
      </w:pPr>
    </w:p>
    <w:p w14:paraId="57020F0F" w14:textId="07E84B14" w:rsidR="00FE200F" w:rsidRDefault="00FE200F" w:rsidP="00AD77C2">
      <w:pPr>
        <w:pStyle w:val="Corpodetexto"/>
        <w:tabs>
          <w:tab w:val="left" w:pos="10490"/>
        </w:tabs>
        <w:spacing w:line="254" w:lineRule="auto"/>
        <w:ind w:left="0" w:right="-10"/>
      </w:pPr>
      <w:r w:rsidRPr="00FE200F">
        <w:rPr>
          <w:vertAlign w:val="superscript"/>
        </w:rPr>
        <w:t>1</w:t>
      </w:r>
      <w:r w:rsidR="006D01D8">
        <w:t>Faculdade Zarns Itumbiara</w:t>
      </w:r>
      <w:r>
        <w:t xml:space="preserve">, </w:t>
      </w:r>
      <w:r w:rsidR="002210B6" w:rsidRPr="00E45D7E">
        <w:rPr>
          <w:vertAlign w:val="superscript"/>
        </w:rPr>
        <w:t>2</w:t>
      </w:r>
      <w:r w:rsidR="002210B6">
        <w:t xml:space="preserve">Universidade </w:t>
      </w:r>
      <w:r w:rsidR="00D15ED9">
        <w:t>Tiradentes</w:t>
      </w:r>
      <w:r w:rsidR="00780ADB">
        <w:t xml:space="preserve"> – UNIT Sergipe, </w:t>
      </w:r>
      <w:r w:rsidR="00780ADB" w:rsidRPr="006E1DBA">
        <w:rPr>
          <w:vertAlign w:val="superscript"/>
        </w:rPr>
        <w:t>3</w:t>
      </w:r>
      <w:r w:rsidR="004C1CA1">
        <w:t>Faculdade Morgana</w:t>
      </w:r>
      <w:r w:rsidR="00233EF4">
        <w:t xml:space="preserve"> </w:t>
      </w:r>
      <w:r w:rsidR="004C1CA1">
        <w:t>Potrich</w:t>
      </w:r>
      <w:r w:rsidR="00424589">
        <w:t xml:space="preserve">, </w:t>
      </w:r>
      <w:r w:rsidR="00743260" w:rsidRPr="00743260">
        <w:rPr>
          <w:vertAlign w:val="superscript"/>
        </w:rPr>
        <w:t>4</w:t>
      </w:r>
      <w:r w:rsidR="00743260">
        <w:t>Centro Universitário Alfredo Nasser.</w:t>
      </w:r>
    </w:p>
    <w:p w14:paraId="2B04F360" w14:textId="77777777" w:rsidR="00FE200F" w:rsidRDefault="00FE200F" w:rsidP="00FE200F">
      <w:pPr>
        <w:pStyle w:val="Corpodetexto"/>
        <w:spacing w:line="254" w:lineRule="auto"/>
        <w:ind w:right="1077"/>
      </w:pPr>
    </w:p>
    <w:p w14:paraId="2D4A70DA" w14:textId="6A0C7B55" w:rsidR="00767098" w:rsidRDefault="00B47871" w:rsidP="00D70B63">
      <w:pPr>
        <w:pStyle w:val="Corpodetexto"/>
        <w:spacing w:line="254" w:lineRule="auto"/>
        <w:ind w:left="0" w:right="1077"/>
      </w:pPr>
      <w:r>
        <w:t>(</w:t>
      </w:r>
      <w:r w:rsidR="007C7CA1">
        <w:t>viniciusantonio-paula@hotmail.com</w:t>
      </w:r>
      <w:r>
        <w:t>)</w:t>
      </w:r>
    </w:p>
    <w:p w14:paraId="4B9C7900" w14:textId="77777777" w:rsidR="00FE200F" w:rsidRDefault="00FE200F" w:rsidP="00FE200F">
      <w:pPr>
        <w:pStyle w:val="Corpodetexto"/>
        <w:spacing w:line="254" w:lineRule="auto"/>
        <w:ind w:right="1077"/>
      </w:pPr>
    </w:p>
    <w:p w14:paraId="170D44E2" w14:textId="7D03359C" w:rsidR="00F34751" w:rsidRPr="00685EF1" w:rsidRDefault="00685EF1" w:rsidP="00BB7F40">
      <w:pPr>
        <w:spacing w:line="360" w:lineRule="auto"/>
        <w:jc w:val="both"/>
        <w:rPr>
          <w:sz w:val="24"/>
          <w:szCs w:val="24"/>
        </w:rPr>
      </w:pPr>
      <w:r w:rsidRPr="00685EF1">
        <w:rPr>
          <w:b/>
          <w:bCs/>
          <w:sz w:val="24"/>
          <w:szCs w:val="24"/>
        </w:rPr>
        <w:t>Introdução:</w:t>
      </w:r>
      <w:r w:rsidRPr="00685EF1">
        <w:rPr>
          <w:sz w:val="24"/>
          <w:szCs w:val="24"/>
        </w:rPr>
        <w:t xml:space="preserve"> A hemorragia subaracn</w:t>
      </w:r>
      <w:r w:rsidR="00945860">
        <w:rPr>
          <w:sz w:val="24"/>
          <w:szCs w:val="24"/>
        </w:rPr>
        <w:t>ó</w:t>
      </w:r>
      <w:r w:rsidRPr="00685EF1">
        <w:rPr>
          <w:sz w:val="24"/>
          <w:szCs w:val="24"/>
        </w:rPr>
        <w:t>idea (HSA) é uma condição neurológica aguda caracterizada pelo extravasamento de sangue no espaço subaracn</w:t>
      </w:r>
      <w:r w:rsidR="00D65FB0">
        <w:rPr>
          <w:sz w:val="24"/>
          <w:szCs w:val="24"/>
        </w:rPr>
        <w:t>ó</w:t>
      </w:r>
      <w:r w:rsidRPr="00685EF1">
        <w:rPr>
          <w:sz w:val="24"/>
          <w:szCs w:val="24"/>
        </w:rPr>
        <w:t xml:space="preserve">ideo, frequentemente resultante da ruptura de aneurismas intracranianos. Esta condição neurovascular apresenta-se clinicamente com cefaleia súbita e intensa, podendo evoluir para complicações graves, demandando abordagens terapêuticas específicas. </w:t>
      </w:r>
      <w:r w:rsidRPr="00685EF1">
        <w:rPr>
          <w:b/>
          <w:bCs/>
          <w:sz w:val="24"/>
          <w:szCs w:val="24"/>
        </w:rPr>
        <w:t>Objetivo:</w:t>
      </w:r>
      <w:r w:rsidRPr="00685EF1">
        <w:rPr>
          <w:sz w:val="24"/>
          <w:szCs w:val="24"/>
        </w:rPr>
        <w:t xml:space="preserve"> </w:t>
      </w:r>
      <w:r w:rsidR="00D70B63">
        <w:rPr>
          <w:sz w:val="24"/>
          <w:szCs w:val="24"/>
        </w:rPr>
        <w:t>E</w:t>
      </w:r>
      <w:r w:rsidRPr="00685EF1">
        <w:rPr>
          <w:sz w:val="24"/>
          <w:szCs w:val="24"/>
        </w:rPr>
        <w:t xml:space="preserve">xaminar os aspectos atuais relacionados à HSA, destacando métodos de diagnóstico, opções terapêuticas e desafios no manejo clínico. </w:t>
      </w:r>
      <w:r w:rsidRPr="00685EF1">
        <w:rPr>
          <w:b/>
          <w:bCs/>
          <w:sz w:val="24"/>
          <w:szCs w:val="24"/>
        </w:rPr>
        <w:t>Metodologia:</w:t>
      </w:r>
      <w:r w:rsidRPr="00685EF1">
        <w:rPr>
          <w:sz w:val="24"/>
          <w:szCs w:val="24"/>
        </w:rPr>
        <w:t xml:space="preserve"> </w:t>
      </w:r>
      <w:r w:rsidR="00D70B63">
        <w:rPr>
          <w:sz w:val="24"/>
          <w:szCs w:val="24"/>
        </w:rPr>
        <w:t xml:space="preserve">Esta revisão de literatura </w:t>
      </w:r>
      <w:r w:rsidRPr="00685EF1">
        <w:rPr>
          <w:sz w:val="24"/>
          <w:szCs w:val="24"/>
        </w:rPr>
        <w:t>abrangeu artigos científicos, revisões sistemáticas e estudos clínicos publicados nos últimos dez anos, obtidos por meio de bases de dados como PubMed e Scopus. A seleção criteriosa considerou a relevância dos estudos para a compreensão da fisiopatologia da HSA e as modalidades terapêuticas disponíveis. Descritores utilizados incluíram “Hemorragia Subaracn</w:t>
      </w:r>
      <w:r w:rsidR="00945860">
        <w:rPr>
          <w:sz w:val="24"/>
          <w:szCs w:val="24"/>
        </w:rPr>
        <w:t>ó</w:t>
      </w:r>
      <w:r w:rsidRPr="00685EF1">
        <w:rPr>
          <w:sz w:val="24"/>
          <w:szCs w:val="24"/>
        </w:rPr>
        <w:t>idea”, “Diagnóstico”, e “Tratamento”</w:t>
      </w:r>
      <w:r>
        <w:rPr>
          <w:sz w:val="24"/>
          <w:szCs w:val="24"/>
        </w:rPr>
        <w:t xml:space="preserve"> juntamente com o operador booleano “AND”</w:t>
      </w:r>
      <w:r w:rsidRPr="00685EF1">
        <w:rPr>
          <w:sz w:val="24"/>
          <w:szCs w:val="24"/>
        </w:rPr>
        <w:t xml:space="preserve">. Foram </w:t>
      </w:r>
      <w:r w:rsidR="00645A04">
        <w:rPr>
          <w:sz w:val="24"/>
          <w:szCs w:val="24"/>
        </w:rPr>
        <w:t xml:space="preserve">utilizados como critérios de </w:t>
      </w:r>
      <w:r w:rsidRPr="00685EF1">
        <w:rPr>
          <w:sz w:val="24"/>
          <w:szCs w:val="24"/>
        </w:rPr>
        <w:t>excl</w:t>
      </w:r>
      <w:r w:rsidR="00645A04">
        <w:rPr>
          <w:sz w:val="24"/>
          <w:szCs w:val="24"/>
        </w:rPr>
        <w:t>usão</w:t>
      </w:r>
      <w:r w:rsidRPr="00685EF1">
        <w:rPr>
          <w:sz w:val="24"/>
          <w:szCs w:val="24"/>
        </w:rPr>
        <w:t xml:space="preserve"> estudos com metodologias inadequadas</w:t>
      </w:r>
      <w:r w:rsidR="007C7CA1">
        <w:rPr>
          <w:sz w:val="24"/>
          <w:szCs w:val="24"/>
        </w:rPr>
        <w:t xml:space="preserve">, artigos que ultrapassaram </w:t>
      </w:r>
      <w:r w:rsidR="009D72AA">
        <w:rPr>
          <w:sz w:val="24"/>
          <w:szCs w:val="24"/>
        </w:rPr>
        <w:t>dez</w:t>
      </w:r>
      <w:r w:rsidR="007C7CA1">
        <w:rPr>
          <w:sz w:val="24"/>
          <w:szCs w:val="24"/>
        </w:rPr>
        <w:t xml:space="preserve"> ano</w:t>
      </w:r>
      <w:r w:rsidR="00CF20D3">
        <w:rPr>
          <w:sz w:val="24"/>
          <w:szCs w:val="24"/>
        </w:rPr>
        <w:t>s</w:t>
      </w:r>
      <w:r w:rsidR="007C7CA1">
        <w:rPr>
          <w:sz w:val="24"/>
          <w:szCs w:val="24"/>
        </w:rPr>
        <w:t xml:space="preserve"> de publicação</w:t>
      </w:r>
      <w:r w:rsidRPr="00685EF1">
        <w:rPr>
          <w:sz w:val="24"/>
          <w:szCs w:val="24"/>
        </w:rPr>
        <w:t xml:space="preserve"> e aqueles que não contribuíram para os objetivos específicos desta revisão.</w:t>
      </w:r>
      <w:r>
        <w:rPr>
          <w:sz w:val="24"/>
          <w:szCs w:val="24"/>
        </w:rPr>
        <w:t xml:space="preserve"> Ao final foram selecionados </w:t>
      </w:r>
      <w:r w:rsidR="00C53D49">
        <w:rPr>
          <w:sz w:val="24"/>
          <w:szCs w:val="24"/>
        </w:rPr>
        <w:t>dez</w:t>
      </w:r>
      <w:r>
        <w:rPr>
          <w:sz w:val="24"/>
          <w:szCs w:val="24"/>
        </w:rPr>
        <w:t xml:space="preserve"> artigos, dos quais </w:t>
      </w:r>
      <w:r w:rsidR="00C53D49">
        <w:rPr>
          <w:sz w:val="24"/>
          <w:szCs w:val="24"/>
        </w:rPr>
        <w:t>quatro</w:t>
      </w:r>
      <w:r>
        <w:rPr>
          <w:sz w:val="24"/>
          <w:szCs w:val="24"/>
        </w:rPr>
        <w:t xml:space="preserve"> </w:t>
      </w:r>
      <w:r w:rsidR="0010011C">
        <w:rPr>
          <w:sz w:val="24"/>
          <w:szCs w:val="24"/>
        </w:rPr>
        <w:t xml:space="preserve">trabalhos </w:t>
      </w:r>
      <w:r w:rsidR="00563EA4">
        <w:rPr>
          <w:sz w:val="24"/>
          <w:szCs w:val="24"/>
        </w:rPr>
        <w:t>foram selecionados, sendo utílizado como critério de inclusão artigo</w:t>
      </w:r>
      <w:r w:rsidR="003667CE">
        <w:rPr>
          <w:sz w:val="24"/>
          <w:szCs w:val="24"/>
        </w:rPr>
        <w:t xml:space="preserve">s completos e revisões sistemáticas </w:t>
      </w:r>
      <w:r w:rsidR="0010011C">
        <w:rPr>
          <w:sz w:val="24"/>
          <w:szCs w:val="24"/>
        </w:rPr>
        <w:t>escritos em inglês e português</w:t>
      </w:r>
      <w:r w:rsidR="00BB7F40">
        <w:rPr>
          <w:sz w:val="24"/>
          <w:szCs w:val="24"/>
        </w:rPr>
        <w:t>.</w:t>
      </w:r>
      <w:r w:rsidRPr="00685EF1">
        <w:rPr>
          <w:sz w:val="24"/>
          <w:szCs w:val="24"/>
        </w:rPr>
        <w:t xml:space="preserve"> </w:t>
      </w:r>
      <w:r w:rsidRPr="00685EF1">
        <w:rPr>
          <w:b/>
          <w:bCs/>
          <w:sz w:val="24"/>
          <w:szCs w:val="24"/>
        </w:rPr>
        <w:t>Resultados:</w:t>
      </w:r>
      <w:r w:rsidRPr="00685EF1">
        <w:rPr>
          <w:sz w:val="24"/>
          <w:szCs w:val="24"/>
        </w:rPr>
        <w:t xml:space="preserve"> A literatura destaca avanços significativos no diagnóstico precoce da HSA, com ênfase em métodos de imagem avançados, como a angiografia por tomografia computadorizada (angio-TC).</w:t>
      </w:r>
      <w:r>
        <w:rPr>
          <w:sz w:val="24"/>
          <w:szCs w:val="24"/>
        </w:rPr>
        <w:t xml:space="preserve"> A utilização da alteplase está indicada na maioria dos casos, podendo ser utilizada nas primeiras 24 horas de tratamento</w:t>
      </w:r>
      <w:r w:rsidR="00615B2A">
        <w:rPr>
          <w:sz w:val="24"/>
          <w:szCs w:val="24"/>
        </w:rPr>
        <w:t xml:space="preserve">. </w:t>
      </w:r>
      <w:r w:rsidRPr="00685EF1">
        <w:rPr>
          <w:sz w:val="24"/>
          <w:szCs w:val="24"/>
        </w:rPr>
        <w:t xml:space="preserve">No âmbito terapêutico, abordagens endovasculares têm ganhado destaque, oferecendo alternativas menos invasivas para o tratamento de aneurismas. </w:t>
      </w:r>
      <w:r w:rsidRPr="00685EF1">
        <w:rPr>
          <w:b/>
          <w:bCs/>
          <w:sz w:val="24"/>
          <w:szCs w:val="24"/>
        </w:rPr>
        <w:t>Considerações Finais:</w:t>
      </w:r>
      <w:r w:rsidRPr="00685EF1">
        <w:rPr>
          <w:sz w:val="24"/>
          <w:szCs w:val="24"/>
        </w:rPr>
        <w:t xml:space="preserve"> Esta revisão destaca a complexidade do manejo da HSA, enfatizando a importância de estratégias diagnósticas avançadas e terapêuticas personalizadas. A interdisciplinaridade entre neurologistas, neurocirurgiões e neurorradiologistas emerge como fundamental. A pesquisa contínua é essencial para aprimorar a compreensão da HSA, visando melhorias nas opções terapêuticas e, consequentemente, na sobrevida e qualidade de vida dos pacientes afetados por essa condição crítica.</w:t>
      </w:r>
    </w:p>
    <w:p w14:paraId="66C6443A" w14:textId="77777777" w:rsidR="00685EF1" w:rsidRPr="00F34751" w:rsidRDefault="00685EF1" w:rsidP="00F34751">
      <w:pPr>
        <w:jc w:val="both"/>
        <w:rPr>
          <w:color w:val="000000"/>
          <w:sz w:val="24"/>
          <w:szCs w:val="24"/>
        </w:rPr>
      </w:pPr>
    </w:p>
    <w:p w14:paraId="2819C9A2" w14:textId="6683970D" w:rsidR="000D1436" w:rsidRDefault="000D1436" w:rsidP="003C7714">
      <w:pPr>
        <w:pStyle w:val="Corpodetexto"/>
        <w:spacing w:before="51"/>
        <w:ind w:left="0"/>
        <w:jc w:val="both"/>
      </w:pPr>
      <w:r>
        <w:t xml:space="preserve">Palavras-chave: </w:t>
      </w:r>
      <w:r w:rsidR="009E13F6">
        <w:t>Cefaleia</w:t>
      </w:r>
      <w:r>
        <w:t>.</w:t>
      </w:r>
      <w:r w:rsidR="00F34751">
        <w:t xml:space="preserve"> </w:t>
      </w:r>
      <w:r w:rsidR="00035444">
        <w:t>Neurologia</w:t>
      </w:r>
      <w:r w:rsidR="00F34751">
        <w:t>.</w:t>
      </w:r>
      <w:r>
        <w:t xml:space="preserve"> </w:t>
      </w:r>
      <w:r w:rsidR="00BC3117">
        <w:t>Manejo</w:t>
      </w:r>
      <w:r>
        <w:t>.</w:t>
      </w:r>
    </w:p>
    <w:p w14:paraId="4F406BFB" w14:textId="77777777" w:rsidR="000D1436" w:rsidRDefault="000D1436" w:rsidP="000D1436">
      <w:pPr>
        <w:pStyle w:val="Corpodetexto"/>
        <w:spacing w:before="51"/>
        <w:jc w:val="both"/>
      </w:pPr>
    </w:p>
    <w:p w14:paraId="2C8DB9A8" w14:textId="06FA00E7" w:rsidR="00767098" w:rsidRDefault="000D1436" w:rsidP="003C7714">
      <w:pPr>
        <w:pStyle w:val="Corpodetexto"/>
        <w:spacing w:before="69"/>
        <w:ind w:left="0"/>
        <w:jc w:val="both"/>
      </w:pPr>
      <w:r>
        <w:t xml:space="preserve">Área Temática: </w:t>
      </w:r>
      <w:r w:rsidR="00FE75A0">
        <w:t xml:space="preserve">Emergências </w:t>
      </w:r>
      <w:r w:rsidR="00C219C0">
        <w:t xml:space="preserve">Neurológicas </w:t>
      </w:r>
    </w:p>
    <w:p w14:paraId="611C5583" w14:textId="77777777" w:rsidR="00767098" w:rsidRDefault="00767098" w:rsidP="00E766CE">
      <w:pPr>
        <w:pStyle w:val="Corpodetexto"/>
        <w:spacing w:before="4"/>
        <w:ind w:left="0"/>
        <w:rPr>
          <w:sz w:val="17"/>
        </w:rPr>
      </w:pPr>
    </w:p>
    <w:sectPr w:rsidR="00767098" w:rsidSect="00E002A1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4688"/>
    <w:multiLevelType w:val="hybridMultilevel"/>
    <w:tmpl w:val="2F24C656"/>
    <w:lvl w:ilvl="0" w:tplc="87CC2EF0">
      <w:start w:val="1"/>
      <w:numFmt w:val="upperRoman"/>
      <w:lvlText w:val="%1)"/>
      <w:lvlJc w:val="left"/>
      <w:pPr>
        <w:ind w:left="715" w:hanging="51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1" w:tplc="120A719C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DE10A57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90BAB554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F2AC6A40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8156294E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BDE5DC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0E0AF4BE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AB78C3D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1" w15:restartNumberingAfterBreak="0">
    <w:nsid w:val="0EA21794"/>
    <w:multiLevelType w:val="multilevel"/>
    <w:tmpl w:val="981E639C"/>
    <w:lvl w:ilvl="0">
      <w:start w:val="8"/>
      <w:numFmt w:val="decimal"/>
      <w:lvlText w:val="%1"/>
      <w:lvlJc w:val="left"/>
      <w:pPr>
        <w:ind w:left="205" w:hanging="51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51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2" w15:restartNumberingAfterBreak="0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rFonts w:hint="default"/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rFonts w:hint="default"/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23617977"/>
    <w:multiLevelType w:val="multilevel"/>
    <w:tmpl w:val="20861064"/>
    <w:lvl w:ilvl="0">
      <w:start w:val="1"/>
      <w:numFmt w:val="decimal"/>
      <w:lvlText w:val="%1."/>
      <w:lvlJc w:val="left"/>
      <w:pPr>
        <w:ind w:left="715" w:hanging="5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1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0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81A0822"/>
    <w:multiLevelType w:val="hybridMultilevel"/>
    <w:tmpl w:val="80DE5F28"/>
    <w:lvl w:ilvl="0" w:tplc="FE186DE2">
      <w:numFmt w:val="bullet"/>
      <w:lvlText w:val="●"/>
      <w:lvlJc w:val="left"/>
      <w:pPr>
        <w:ind w:left="205" w:hanging="510"/>
      </w:pPr>
      <w:rPr>
        <w:rFonts w:ascii="Arial" w:eastAsia="Arial" w:hAnsi="Arial" w:cs="Arial" w:hint="default"/>
        <w:spacing w:val="-9"/>
        <w:w w:val="100"/>
        <w:sz w:val="24"/>
        <w:szCs w:val="24"/>
        <w:lang w:val="pt-PT" w:eastAsia="en-US" w:bidi="ar-SA"/>
      </w:rPr>
    </w:lvl>
    <w:lvl w:ilvl="1" w:tplc="DBCE1E22">
      <w:numFmt w:val="bullet"/>
      <w:lvlText w:val="•"/>
      <w:lvlJc w:val="left"/>
      <w:pPr>
        <w:ind w:left="1228" w:hanging="510"/>
      </w:pPr>
      <w:rPr>
        <w:rFonts w:hint="default"/>
        <w:lang w:val="pt-PT" w:eastAsia="en-US" w:bidi="ar-SA"/>
      </w:rPr>
    </w:lvl>
    <w:lvl w:ilvl="2" w:tplc="71F8BEA6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 w:tplc="7FA08EF6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 w:tplc="ECDC5DFC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 w:tplc="14A0BCC8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 w:tplc="D00CDF3A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 w:tplc="32AC5E5A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 w:tplc="0886504A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6" w15:restartNumberingAfterBreak="0">
    <w:nsid w:val="626F77B8"/>
    <w:multiLevelType w:val="hybridMultilevel"/>
    <w:tmpl w:val="5FAA53DA"/>
    <w:lvl w:ilvl="0" w:tplc="3BC09720">
      <w:start w:val="1"/>
      <w:numFmt w:val="upperRoman"/>
      <w:lvlText w:val="%1)"/>
      <w:lvlJc w:val="left"/>
      <w:pPr>
        <w:ind w:left="715" w:hanging="5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EAA912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9A146FC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E61418DA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BD9ED5C8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F468ED82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A1285F4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49F6B0A4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F2EAAB86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7" w15:restartNumberingAfterBreak="0">
    <w:nsid w:val="64A267C0"/>
    <w:multiLevelType w:val="multilevel"/>
    <w:tmpl w:val="E662E9CA"/>
    <w:lvl w:ilvl="0">
      <w:start w:val="7"/>
      <w:numFmt w:val="decimal"/>
      <w:lvlText w:val="%1"/>
      <w:lvlJc w:val="left"/>
      <w:pPr>
        <w:ind w:left="715" w:hanging="51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5" w:hanging="510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8" w15:restartNumberingAfterBreak="0">
    <w:nsid w:val="77D73DC8"/>
    <w:multiLevelType w:val="multilevel"/>
    <w:tmpl w:val="E22C41F8"/>
    <w:lvl w:ilvl="0">
      <w:start w:val="8"/>
      <w:numFmt w:val="decimal"/>
      <w:lvlText w:val="%1"/>
      <w:lvlJc w:val="left"/>
      <w:pPr>
        <w:ind w:left="715" w:hanging="510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1" w:hanging="720"/>
      </w:pPr>
      <w:rPr>
        <w:rFonts w:hint="default"/>
        <w:lang w:val="pt-PT" w:eastAsia="en-US" w:bidi="ar-SA"/>
      </w:rPr>
    </w:lvl>
  </w:abstractNum>
  <w:num w:numId="1" w16cid:durableId="2051106960">
    <w:abstractNumId w:val="0"/>
  </w:num>
  <w:num w:numId="2" w16cid:durableId="129329652">
    <w:abstractNumId w:val="1"/>
  </w:num>
  <w:num w:numId="3" w16cid:durableId="1277520791">
    <w:abstractNumId w:val="8"/>
  </w:num>
  <w:num w:numId="4" w16cid:durableId="397870844">
    <w:abstractNumId w:val="2"/>
  </w:num>
  <w:num w:numId="5" w16cid:durableId="943344463">
    <w:abstractNumId w:val="4"/>
  </w:num>
  <w:num w:numId="6" w16cid:durableId="601642405">
    <w:abstractNumId w:val="7"/>
  </w:num>
  <w:num w:numId="7" w16cid:durableId="798183645">
    <w:abstractNumId w:val="5"/>
  </w:num>
  <w:num w:numId="8" w16cid:durableId="1090153044">
    <w:abstractNumId w:val="6"/>
  </w:num>
  <w:num w:numId="9" w16cid:durableId="1140918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98"/>
    <w:rsid w:val="0002201A"/>
    <w:rsid w:val="00035444"/>
    <w:rsid w:val="00092B39"/>
    <w:rsid w:val="000D1436"/>
    <w:rsid w:val="000F1A8F"/>
    <w:rsid w:val="000F32B9"/>
    <w:rsid w:val="0010011C"/>
    <w:rsid w:val="001863A1"/>
    <w:rsid w:val="001F4B81"/>
    <w:rsid w:val="0021236E"/>
    <w:rsid w:val="002210B6"/>
    <w:rsid w:val="00222FDC"/>
    <w:rsid w:val="00233EF4"/>
    <w:rsid w:val="00277E06"/>
    <w:rsid w:val="00297A09"/>
    <w:rsid w:val="002B2BF0"/>
    <w:rsid w:val="002D77F8"/>
    <w:rsid w:val="00300ED8"/>
    <w:rsid w:val="00301356"/>
    <w:rsid w:val="0030352E"/>
    <w:rsid w:val="00303C8B"/>
    <w:rsid w:val="003179C6"/>
    <w:rsid w:val="00333E16"/>
    <w:rsid w:val="003667CE"/>
    <w:rsid w:val="003C7714"/>
    <w:rsid w:val="003D2B4E"/>
    <w:rsid w:val="00424589"/>
    <w:rsid w:val="00470900"/>
    <w:rsid w:val="004826C2"/>
    <w:rsid w:val="00490D62"/>
    <w:rsid w:val="004C1CA1"/>
    <w:rsid w:val="00563EA4"/>
    <w:rsid w:val="005A5DE1"/>
    <w:rsid w:val="005C1494"/>
    <w:rsid w:val="005C7C35"/>
    <w:rsid w:val="00615B2A"/>
    <w:rsid w:val="00645A04"/>
    <w:rsid w:val="0065595E"/>
    <w:rsid w:val="00685EF1"/>
    <w:rsid w:val="006D01D8"/>
    <w:rsid w:val="006E1DBA"/>
    <w:rsid w:val="006F18B3"/>
    <w:rsid w:val="007102B0"/>
    <w:rsid w:val="00743260"/>
    <w:rsid w:val="00767098"/>
    <w:rsid w:val="00780ADB"/>
    <w:rsid w:val="00783317"/>
    <w:rsid w:val="007B1F84"/>
    <w:rsid w:val="007C26F0"/>
    <w:rsid w:val="007C7CA1"/>
    <w:rsid w:val="0089339E"/>
    <w:rsid w:val="008E4245"/>
    <w:rsid w:val="00945860"/>
    <w:rsid w:val="0096442A"/>
    <w:rsid w:val="00976ABD"/>
    <w:rsid w:val="009D72AA"/>
    <w:rsid w:val="009E13F6"/>
    <w:rsid w:val="00A208A2"/>
    <w:rsid w:val="00A22277"/>
    <w:rsid w:val="00A73B9E"/>
    <w:rsid w:val="00AB4757"/>
    <w:rsid w:val="00AD189D"/>
    <w:rsid w:val="00AD77C2"/>
    <w:rsid w:val="00AF73CC"/>
    <w:rsid w:val="00B06191"/>
    <w:rsid w:val="00B47871"/>
    <w:rsid w:val="00BA1ECA"/>
    <w:rsid w:val="00BB7F40"/>
    <w:rsid w:val="00BC3117"/>
    <w:rsid w:val="00BE05BD"/>
    <w:rsid w:val="00BE36FD"/>
    <w:rsid w:val="00C0166D"/>
    <w:rsid w:val="00C06C88"/>
    <w:rsid w:val="00C219C0"/>
    <w:rsid w:val="00C53D49"/>
    <w:rsid w:val="00C73D4A"/>
    <w:rsid w:val="00CB50D2"/>
    <w:rsid w:val="00CB7099"/>
    <w:rsid w:val="00CF20D3"/>
    <w:rsid w:val="00D110EC"/>
    <w:rsid w:val="00D15ED9"/>
    <w:rsid w:val="00D65FB0"/>
    <w:rsid w:val="00D70B63"/>
    <w:rsid w:val="00DB59F4"/>
    <w:rsid w:val="00E002A1"/>
    <w:rsid w:val="00E143C9"/>
    <w:rsid w:val="00E25285"/>
    <w:rsid w:val="00E45D7E"/>
    <w:rsid w:val="00E766CE"/>
    <w:rsid w:val="00E83E47"/>
    <w:rsid w:val="00E90D95"/>
    <w:rsid w:val="00E97794"/>
    <w:rsid w:val="00EA360A"/>
    <w:rsid w:val="00EA5E55"/>
    <w:rsid w:val="00EF7D9D"/>
    <w:rsid w:val="00F16580"/>
    <w:rsid w:val="00F34751"/>
    <w:rsid w:val="00F66412"/>
    <w:rsid w:val="00F73C17"/>
    <w:rsid w:val="00FB1EF9"/>
    <w:rsid w:val="00FE200F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420D"/>
  <w15:docId w15:val="{8C0095C7-EF33-437C-9B9E-1B6EA45B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734" w:right="2810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22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9"/>
      <w:ind w:left="715" w:hanging="5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D2B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2B4E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A222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table" w:customStyle="1" w:styleId="TableNormal1">
    <w:name w:val="Table Normal1"/>
    <w:uiPriority w:val="2"/>
    <w:semiHidden/>
    <w:unhideWhenUsed/>
    <w:qFormat/>
    <w:rsid w:val="001863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EDITAL SUBMISSÃO DE TRABALHOS.docx</vt:lpstr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EDITAL SUBMISSÃO DE TRABALHOS.docx</dc:title>
  <dc:subject/>
  <dc:creator>Vinícius de Paula</dc:creator>
  <cp:keywords/>
  <cp:lastModifiedBy>Júlia Dourado</cp:lastModifiedBy>
  <cp:revision>49</cp:revision>
  <dcterms:created xsi:type="dcterms:W3CDTF">2024-01-20T20:12:00Z</dcterms:created>
  <dcterms:modified xsi:type="dcterms:W3CDTF">2024-02-15T03:14:00Z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