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widowControl w:val="0"/>
        <w:spacing w:after="0" w:before="0" w:line="240" w:lineRule="auto"/>
        <w:jc w:val="center"/>
        <w:rPr>
          <w:rFonts w:ascii="Times New Roman" w:cs="Times New Roman" w:eastAsia="Times New Roman" w:hAnsi="Times New Roman"/>
          <w:b w:val="0"/>
          <w:i w:val="0"/>
          <w:smallCaps w:val="0"/>
          <w:color w:val="000000"/>
          <w:sz w:val="28"/>
          <w:szCs w:val="28"/>
        </w:rPr>
      </w:pPr>
      <w:r w:rsidDel="00000000" w:rsidR="00000000" w:rsidRPr="00000000">
        <w:rPr>
          <w:rFonts w:ascii="Times New Roman" w:cs="Times New Roman" w:eastAsia="Times New Roman" w:hAnsi="Times New Roman"/>
          <w:b w:val="1"/>
          <w:i w:val="0"/>
          <w:smallCaps w:val="0"/>
          <w:color w:val="000000"/>
          <w:sz w:val="28"/>
          <w:szCs w:val="28"/>
          <w:rtl w:val="0"/>
        </w:rPr>
        <w:t xml:space="preserve">Da Paixão ao Lucro: A Perda de Identidade do Clube de Futebol com a SAF e os Desafios Jurídicos da Lei nº 14.193/2021 </w:t>
      </w:r>
      <w:r w:rsidDel="00000000" w:rsidR="00000000" w:rsidRPr="00000000">
        <w:rPr>
          <w:rtl w:val="0"/>
        </w:rPr>
      </w:r>
    </w:p>
    <w:p w:rsidR="00000000" w:rsidDel="00000000" w:rsidP="00000000" w:rsidRDefault="00000000" w:rsidRPr="00000000" w14:paraId="0000000D">
      <w:pPr>
        <w:widowControl w:val="0"/>
        <w:spacing w:after="0" w:before="0" w:line="240" w:lineRule="auto"/>
        <w:jc w:val="center"/>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00E">
      <w:pPr>
        <w:widowControl w:val="0"/>
        <w:spacing w:after="0" w:before="0" w:line="240" w:lineRule="auto"/>
        <w:jc w:val="center"/>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00F">
      <w:pPr>
        <w:widowControl w:val="0"/>
        <w:spacing w:after="0" w:before="0" w:line="240" w:lineRule="auto"/>
        <w:jc w:val="center"/>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010">
      <w:pPr>
        <w:widowControl w:val="0"/>
        <w:spacing w:after="0" w:before="0" w:line="240" w:lineRule="auto"/>
        <w:jc w:val="center"/>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011">
      <w:pPr>
        <w:widowControl w:val="0"/>
        <w:spacing w:after="0" w:before="0" w:line="240" w:lineRule="auto"/>
        <w:jc w:val="center"/>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012">
      <w:pPr>
        <w:widowControl w:val="0"/>
        <w:spacing w:after="0" w:before="0" w:line="240" w:lineRule="auto"/>
        <w:jc w:val="center"/>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013">
      <w:pPr>
        <w:widowControl w:val="0"/>
        <w:spacing w:after="0" w:before="0" w:line="240" w:lineRule="auto"/>
        <w:jc w:val="center"/>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014">
      <w:pPr>
        <w:widowControl w:val="0"/>
        <w:spacing w:after="0" w:before="0" w:line="240" w:lineRule="auto"/>
        <w:jc w:val="center"/>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015">
      <w:pPr>
        <w:widowControl w:val="0"/>
        <w:spacing w:after="0" w:before="0" w:line="240" w:lineRule="auto"/>
        <w:jc w:val="center"/>
        <w:rPr>
          <w:rFonts w:ascii="Times New Roman" w:cs="Times New Roman" w:eastAsia="Times New Roman" w:hAnsi="Times New Roman"/>
          <w:b w:val="0"/>
          <w:i w:val="0"/>
          <w:smallCaps w:val="0"/>
          <w:color w:val="000000"/>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Emily de Souza Ramos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Discente - Centro Universitário Fametro – Unifametro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1"/>
          <w:sz w:val="20"/>
          <w:szCs w:val="20"/>
        </w:rPr>
      </w:pPr>
      <w:hyperlink r:id="rId7">
        <w:r w:rsidDel="00000000" w:rsidR="00000000" w:rsidRPr="00000000">
          <w:rPr>
            <w:rFonts w:ascii="Times New Roman" w:cs="Times New Roman" w:eastAsia="Times New Roman" w:hAnsi="Times New Roman"/>
            <w:b w:val="1"/>
            <w:i w:val="0"/>
            <w:smallCaps w:val="0"/>
            <w:strike w:val="0"/>
            <w:color w:val="1155cc"/>
            <w:sz w:val="20"/>
            <w:szCs w:val="20"/>
            <w:u w:val="single"/>
            <w:shd w:fill="auto" w:val="clear"/>
            <w:vertAlign w:val="baseline"/>
            <w:rtl w:val="0"/>
          </w:rPr>
          <w:t xml:space="preserve">emily.ramos@aluno.unifametro.edu.br</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Thiago Barreto Portela</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Docente - Centro Universitário Fametro - Unifametro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thiago.portela@professor.unifametro.edu.br</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Área Temática: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808080"/>
          <w:sz w:val="24"/>
          <w:szCs w:val="24"/>
          <w:u w:val="none"/>
          <w:shd w:fill="auto" w:val="clear"/>
          <w:vertAlign w:val="baseline"/>
          <w:rtl w:val="0"/>
        </w:rPr>
        <w:t xml:space="preserve">Constituição, Cidadania, Políticas Públicas e Efetivação de Direitos</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Área de Conhecimento: </w:t>
      </w:r>
      <w:r w:rsidDel="00000000" w:rsidR="00000000" w:rsidRPr="00000000">
        <w:rPr>
          <w:rFonts w:ascii="Liberation Serif" w:cs="Liberation Serif" w:eastAsia="Liberation Serif" w:hAnsi="Liberation Serif"/>
          <w:b w:val="0"/>
          <w:i w:val="0"/>
          <w:smallCaps w:val="0"/>
          <w:strike w:val="0"/>
          <w:color w:val="808080"/>
          <w:sz w:val="24"/>
          <w:szCs w:val="24"/>
          <w:u w:val="none"/>
          <w:shd w:fill="auto" w:val="clear"/>
          <w:vertAlign w:val="baseline"/>
          <w:rtl w:val="0"/>
        </w:rPr>
        <w:t xml:space="preserve">Ciências Sociais Aplicadas</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Encontro Científico: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Liberation Serif" w:cs="Liberation Serif" w:eastAsia="Liberation Serif" w:hAnsi="Liberation Serif"/>
          <w:b w:val="0"/>
          <w:i w:val="0"/>
          <w:smallCaps w:val="0"/>
          <w:strike w:val="0"/>
          <w:color w:val="808080"/>
          <w:sz w:val="24"/>
          <w:szCs w:val="24"/>
          <w:u w:val="none"/>
          <w:shd w:fill="auto" w:val="clear"/>
          <w:vertAlign w:val="baseline"/>
          <w:rtl w:val="0"/>
        </w:rPr>
        <w:t xml:space="preserve">XIII Encontro de Iniciação à Pesquisa</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auto" w:val="clear"/>
        <w:spacing w:after="120" w:before="200" w:line="288"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artigo tem por finalidade contribuir com reflexões sobre a transição de clubes de futebol de associações civis para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Sociedades Anônimas de Futebol (SAFs)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as possíveis consequências para a identidade institucional. Visa este estudo analisar a forma como a lógica de mercado e a busca por lucro podem se sobrepor à tradição e paixão que definem a cultura de um clube. O presente trabalho se classifica enquanto pesquisa descritiva com uma abordagem qualitativa, em que foi realizada uma revisão de literatura e análise documental sobre a crise financeira dos clubes e a Lei n.º 14.193/2021. Faz-se necessária a compreensão dessa problemática, objetivando um maior conhecimento sobre os desafios jurídicos e sociais decorrentes da conversão dos clubes em empresas.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Podemos identificar que a transição para a SAF, embora possa ser um caminho para a sustentabilidade financeira, acarreta a dissolução da identidade do clube, gerando um conflito fundamental.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Sociedade Anônima de Futebol; Clube de Futebol; Identidade Institucional; Direito Esportivo.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auto" w:val="clear"/>
        <w:spacing w:after="120" w:before="200" w:line="288"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identidade de um clube de futebol vai muito além de seu balanço financeiro. Ela é construída por títulos, pela paixão da torcida, estádios icônicos, símbolos, hinos e uma história singular.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Essa dimensão cultural e social encontra amparo direto na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6"/>
          <w:szCs w:val="26"/>
          <w:rtl w:val="0"/>
        </w:rPr>
        <w:t xml:space="preserve">Constituição Federal</w:t>
      </w:r>
      <w:r w:rsidDel="00000000" w:rsidR="00000000" w:rsidRPr="00000000">
        <w:rPr>
          <w:rFonts w:ascii="Times New Roman" w:cs="Times New Roman" w:eastAsia="Times New Roman" w:hAnsi="Times New Roman"/>
          <w:sz w:val="26"/>
          <w:szCs w:val="26"/>
          <w:rtl w:val="0"/>
        </w:rPr>
        <w:t xml:space="preserve">. Os </w:t>
      </w:r>
      <w:r w:rsidDel="00000000" w:rsidR="00000000" w:rsidRPr="00000000">
        <w:rPr>
          <w:rFonts w:ascii="Times New Roman" w:cs="Times New Roman" w:eastAsia="Times New Roman" w:hAnsi="Times New Roman"/>
          <w:sz w:val="26"/>
          <w:szCs w:val="26"/>
          <w:rtl w:val="0"/>
        </w:rPr>
        <w:t xml:space="preserve">arts. 215 e 216 estabelecem que o Estado deve garantir o pleno exercício dos direitos culturais e proteger o patrimônio cultural brasileiro, incluindo o imaterial. A memória coletiva, as cores, os hinos e as tradições de um clube são manifestações diretas desse patrimônio, que deve ser tutelado. A Lei Geral do Esporte (Lei nº 14.597/2023) reforça esse entendimento ao reconhecer o esporte como uma manifestação da cultura e do patrimônio nacional.</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Além disso, o art. 217 da Constituição trata a prática desportiva como um direito social, reforçando que o futebol não é apenas uma atividade de mercado, mas também um bem público com profunda relevância social e cultural. Essa perspectiva se conecta ao princípio da dignidade da pessoa humana (art. 1º, III), que pode ser entendido</w:t>
      </w:r>
      <w:r w:rsidDel="00000000" w:rsidR="00000000" w:rsidRPr="00000000">
        <w:rPr>
          <w:rFonts w:ascii="Times New Roman" w:cs="Times New Roman" w:eastAsia="Times New Roman" w:hAnsi="Times New Roman"/>
          <w:sz w:val="26"/>
          <w:szCs w:val="26"/>
          <w:rtl w:val="0"/>
        </w:rPr>
        <w:t xml:space="preserve"> em sua dimensão coletiva, uma vez que a identidade e o senso de pertencimento de uma pessoa muitas vezes estão intrinsecamente ligados à sua torcida e ao seu clube.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Por fim, a </w:t>
      </w:r>
      <w:r w:rsidDel="00000000" w:rsidR="00000000" w:rsidRPr="00000000">
        <w:rPr>
          <w:rFonts w:ascii="Times New Roman" w:cs="Times New Roman" w:eastAsia="Times New Roman" w:hAnsi="Times New Roman"/>
          <w:sz w:val="26"/>
          <w:szCs w:val="26"/>
          <w:rtl w:val="0"/>
        </w:rPr>
        <w:t xml:space="preserve">liberdade de associação (art. 5º, XVII), </w:t>
      </w:r>
      <w:r w:rsidDel="00000000" w:rsidR="00000000" w:rsidRPr="00000000">
        <w:rPr>
          <w:rFonts w:ascii="Times New Roman" w:cs="Times New Roman" w:eastAsia="Times New Roman" w:hAnsi="Times New Roman"/>
          <w:sz w:val="26"/>
          <w:szCs w:val="26"/>
          <w:rtl w:val="0"/>
        </w:rPr>
        <w:t xml:space="preserve">historicamente exercida pelos sócios dos clubes, entra em debate com a transformação em SAF. A nova legislação e o modelo de gestão empresarial podem, em tese, restringir a participação dos associados, transferindo o poder de decisão para investidores. Isso levanta questões sobre a preservação do caráter democrático e associativo que, por décadas, definiu a gestão do futebol no país.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Historicamente, no Brasil, os clubes se estabeleceram como associações civis sem fins lucrativos, verdadeiros patrimônios sociais e culturais, profundamente enraizados na comunidade. Contudo, essa tradição colide com uma realidade financeira insustentável. Conforme apontado pela revista Exame, o futebol brasileiro apresenta uma contradição evidente, com clubes faturando milhões, mas permanecendo afogados em dívidas bilionárias, operando em um ciclo vicioso de desequilíbrio fiscal, onde receitas crescentes não são suficientes para cobrir os passivos acumulados por décadas de gestão ineficiente (EXAME, 2024).</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color w:val="000000"/>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32" w:before="0" w:line="360" w:lineRule="auto"/>
        <w:ind w:left="0" w:right="0"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Nesse cenário de falência iminente, legisladores, por meio da Lei n.º 14.193/2021, criaram a Sociedade Anônima de Futebol (SAF), a </w:t>
      </w:r>
      <w:r w:rsidDel="00000000" w:rsidR="00000000" w:rsidRPr="00000000">
        <w:rPr>
          <w:rFonts w:ascii="Times New Roman" w:cs="Times New Roman" w:eastAsia="Times New Roman" w:hAnsi="Times New Roman"/>
          <w:rtl w:val="0"/>
        </w:rPr>
        <w:t xml:space="preserve">mesma é apresentada como uma vía de escape para sanear as finanças e atrair capital privado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entan</w:t>
      </w:r>
      <w:r w:rsidDel="00000000" w:rsidR="00000000" w:rsidRPr="00000000">
        <w:rPr>
          <w:rFonts w:ascii="Times New Roman" w:cs="Times New Roman" w:eastAsia="Times New Roman" w:hAnsi="Times New Roman"/>
          <w:rtl w:val="0"/>
        </w:rPr>
        <w:t xml:space="preserve">to, a transição para um modelo empresarial pode gerar um conflito fundamental: a busca por lucro em desgaste da identidade cultural e da paixão que historicamente definem os clubes.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32"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ova legislação permite que essas instituições se transformem em empresas, prometendo sanear finanças e atrair o capital privado. Nas palavras do Senador Rodrigo Pacheco (um dos autores da lei):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32" w:before="0" w:line="360" w:lineRule="auto"/>
        <w:ind w:left="2832" w:right="0" w:firstLine="1134.000000000000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tônica do projeto, e agora da lei, é criar um novo sistema do futebol brasileiro, mediante a regulamentação da SAF, estabelecer normas de governança, controle e transparência, instituir meios de financiamento da atividade futebolística e prever um sistema tributário próprio”.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32"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lei não é apenas um instrumento de direito privado, mas um ato de Direito Administrativo que estabelece um novo regime jurídico para o futebol brasileiro, com normas de governança, transparência e controle (PACHECO, 2021). Embora a SAF se apresente como uma solução para a crise fiscal, a transição para um modelo empresarial impõe um desafio fundamental à administração pública: a gestão de um ativo que é, ao mesmo tempo, um bem cultural e uma entidade de mercado. A tese aqui defendida é que o novo regime jurídico, apesar de necessário para a saúde financeira, acarreta a dissolução da identidade do clube, gerando desafios para a fiscalização e o controle administrativo. Este artigo tem por objetivo analisar as implicações dessa transição sob a ótica do Direito Administrativo, examinando a forma como o Estado regula e se relaciona com as novas entidades do futebol, uma vez que a transição para a SAF pode gerar um conflito de identidade, onde a lógica de mercado e a busca por lucro podem se sobrepor aos valores e à paixão que definem a cultura de um clube (INCTFUTEBOL, 2022)."</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32"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auto" w:val="clear"/>
        <w:spacing w:after="120" w:before="200" w:line="288"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METODOLOGIA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metodologia adotada neste estudo teve como base a pesquisa bibliográfica, seguindo uma abordagem dedutiva e comparativa. A pesquisa ocorreu por meio de uma análise documental que incluiu relatórios técnicos, a legislação pertinente (com ênfase na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Lei n.º 14.193/2021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além de artigos especializados em Direito Esportivo, Societário e Administrativo.</w:t>
      </w:r>
    </w:p>
    <w:p w:rsidR="00000000" w:rsidDel="00000000" w:rsidP="00000000" w:rsidRDefault="00000000" w:rsidRPr="00000000" w14:paraId="00000040">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auto" w:val="clear"/>
        <w:spacing w:after="120" w:before="200" w:line="288"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E DISCUSSÃO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caso do </w:t>
      </w:r>
      <w:r w:rsidDel="00000000" w:rsidR="00000000" w:rsidRPr="00000000">
        <w:rPr>
          <w:rFonts w:ascii="Times New Roman" w:cs="Times New Roman" w:eastAsia="Times New Roman" w:hAnsi="Times New Roman"/>
          <w:b w:val="1"/>
          <w:rtl w:val="0"/>
        </w:rPr>
        <w:t xml:space="preserve">Corinthians</w:t>
      </w:r>
      <w:r w:rsidDel="00000000" w:rsidR="00000000" w:rsidRPr="00000000">
        <w:rPr>
          <w:rFonts w:ascii="Times New Roman" w:cs="Times New Roman" w:eastAsia="Times New Roman" w:hAnsi="Times New Roman"/>
          <w:rtl w:val="0"/>
        </w:rPr>
        <w:t xml:space="preserve"> é o mais simbólico desse dilema. Com uma dívida bilionária, o clube precisa de uma solução financeira, mas sua torcida, que se orgulha do slogan "o time do povo", resiste à SAF. Essa resistência não é meramente financeira, mas a manifestação de um medo social: a perda da essência de um clube com raízes em comunidades pobres e periféricas (artigo do site MEU TIMÃO).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 caso demonstra que a problemática vai além dos números e atinge o cerne da identidade coletiva. Um exemplo notável dessa profunda conexão é a Democracia Corinthian</w:t>
      </w: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um movimento de autogestão e engajamento político liderado pelos jogadores, com apoio da gestão do clube na década de 1980, em meio à Ditadura Militar. Com frases estampadas em suas camisas como "Diretas Já", o clube utilizou sua plataforma para se manifestar em apoio à redemocratização do país e à aprovação da emenda das eleições diretas.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Esse episódio histórico reforça a ideia de que a identidade do Corinthians está ligada a valores democráticos e sociais, e não apenas ao seu desempenho esportivo ou situação financeira (globoesporte).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exemplo concreto da atuação do Direito Administrativo na SAF é a criação do Conselho Fiscal. Conforme o artigo do IBDD (2024), diferentemente do modelo associativo, onde a fiscalização era reativa e esporádica, a Lei da SAF torna o Conselho Fiscal um órgão permanente e obrigatório. Sua finalidade é prevenir o descontrole orçamentário e o endividamento, fiscalizando a atuação dos administradores e emitindo pareceres sobre balanços financeiros. A obrigatoriedade desse órgão, composto por membros independentes, reflete a preocupação do Estado em assegurar a transparência e a boa governança, protegendo o interesse público e dos acionistas (ainda que minoritários) em uma entidade que, embora tenha natureza empresarial, lida com um patrimônio cultural e social.</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Fortaleza, apesar de ter se tornado uma SAF, planeja manter o controle acionário, o que o diferencia de outros clubes. Segundo o CEO Marcelo Paz, o clube pretende vender apenas uma participação minoritária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 a 20% das ações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objetivo não é apenas sanar dívidas, já que o clube está financeiramente saudável, mas atrair um parceiro estratégico que injete capital, assim o clube consegue manter suas características histórias e populares ao mesmo tempo de se abre para o novo mercado que se populariza.</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32" w:before="0" w:line="360" w:lineRule="auto"/>
        <w:ind w:left="2832" w:right="0" w:firstLine="1134.000000000000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Nesse momento a gente não quer perder o controle do clube. É exatamente por isso que entendemos que temos uma capacidade de gestão que não precisamos agora entregar o controle do clube para um terceiro, para um investidor. E não estou aqui criticando quem fez isso, é apenas a escolha do Fortaleza de momento, entendemos que a gente consegue tocar junto com o parceiro.”.</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32" w:before="0" w:line="360" w:lineRule="auto"/>
        <w:ind w:left="2832" w:right="0" w:firstLine="1134.0000000000005"/>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Marcelo Paz, CEO do fortaleza.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32" w:before="0" w:line="360" w:lineRule="auto"/>
        <w:ind w:left="2832" w:right="0" w:firstLine="1134.0000000000005"/>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Botafogo é um dos casos mais emblemáticos de sucesso inicial e, mais recentemente, de controvérsias na implementação do modelo SAF. Em 2022, o clube carioca concluiu a venda de 90% de sua SAF para o empresário norte-americano John Textor, do grupo Eagle Football. A chegada de Textor marcou um ponto de virada, com promessas de reestruturação financeira e investimentos robustos no futebol.</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estratégia de Textor incluiu a quitação de dívidas, a contratação de novos jogadores e a melhoria da infraestrutura, o que, em um primeiro momento, gerou resultados positivos em campo. O Botafogo liderou o Campeonato Brasileiro de 2023 por grande parte da competição, alimentando a esperança de um título que não vinha há décadas. No entanto, o desfecho da temporada, com a perda da liderança, demonstrou a volatilidade e as pressões inerentes ao modelo de gestão empresarial.</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Mais recentemente, a relação entre a SAF e o clube social do Botafogo, bem como a própria gestão de Textor, entrou em um novo estágio de conflito. Relatórios recentes (CNN Brasil, 2024) apontam uma tentativa por parte da SAF de reassumir o controle de aspectos administrativos do futebol que ainda estavam sob a alçada do clube-associação. Essas tensões são um claro exemplo de como a transição para a SAF não se trata apenas de uma mudança jurídica e financeira, mas de uma reconfiguração completa de poder e responsabilidade.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Diante desse cenário, o papel do Estado, por meio do </w:t>
      </w:r>
      <w:r w:rsidDel="00000000" w:rsidR="00000000" w:rsidRPr="00000000">
        <w:rPr>
          <w:rFonts w:ascii="Times New Roman" w:cs="Times New Roman" w:eastAsia="Times New Roman" w:hAnsi="Times New Roman"/>
          <w:b w:val="1"/>
          <w:rtl w:val="0"/>
        </w:rPr>
        <w:t xml:space="preserve">Direito Administrativo</w:t>
      </w:r>
      <w:r w:rsidDel="00000000" w:rsidR="00000000" w:rsidRPr="00000000">
        <w:rPr>
          <w:rFonts w:ascii="Times New Roman" w:cs="Times New Roman" w:eastAsia="Times New Roman" w:hAnsi="Times New Roman"/>
          <w:rtl w:val="0"/>
        </w:rPr>
        <w:t xml:space="preserve">, não pode se restringir apenas a regular as finanças. A criação de instrumentos como o </w:t>
      </w:r>
      <w:r w:rsidDel="00000000" w:rsidR="00000000" w:rsidRPr="00000000">
        <w:rPr>
          <w:rFonts w:ascii="Times New Roman" w:cs="Times New Roman" w:eastAsia="Times New Roman" w:hAnsi="Times New Roman"/>
          <w:b w:val="1"/>
          <w:rtl w:val="0"/>
        </w:rPr>
        <w:t xml:space="preserve">Conselho Fiscal</w:t>
      </w:r>
      <w:r w:rsidDel="00000000" w:rsidR="00000000" w:rsidRPr="00000000">
        <w:rPr>
          <w:rFonts w:ascii="Times New Roman" w:cs="Times New Roman" w:eastAsia="Times New Roman" w:hAnsi="Times New Roman"/>
          <w:rtl w:val="0"/>
        </w:rPr>
        <w:t xml:space="preserve">, obrigatório na SAF é composto por membros independentes, é um avanço na busca por governança e transparência. No entanto, a fiscalização e o controle administrativo também devem se estender à proteção do </w:t>
      </w:r>
      <w:r w:rsidDel="00000000" w:rsidR="00000000" w:rsidRPr="00000000">
        <w:rPr>
          <w:rFonts w:ascii="Times New Roman" w:cs="Times New Roman" w:eastAsia="Times New Roman" w:hAnsi="Times New Roman"/>
          <w:b w:val="1"/>
          <w:rtl w:val="0"/>
        </w:rPr>
        <w:t xml:space="preserve">patrimônio imaterial</w:t>
      </w:r>
      <w:r w:rsidDel="00000000" w:rsidR="00000000" w:rsidRPr="00000000">
        <w:rPr>
          <w:rFonts w:ascii="Times New Roman" w:cs="Times New Roman" w:eastAsia="Times New Roman" w:hAnsi="Times New Roman"/>
          <w:rtl w:val="0"/>
        </w:rPr>
        <w:t xml:space="preserve"> dos clubes, como seus símbolos, hinos e histórias.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tutelar a identidade dos clubes como um </w:t>
      </w:r>
      <w:r w:rsidDel="00000000" w:rsidR="00000000" w:rsidRPr="00000000">
        <w:rPr>
          <w:rFonts w:ascii="Times New Roman" w:cs="Times New Roman" w:eastAsia="Times New Roman" w:hAnsi="Times New Roman"/>
          <w:b w:val="1"/>
          <w:rtl w:val="0"/>
        </w:rPr>
        <w:t xml:space="preserve">bem jurídico difuso ou coletivo</w:t>
      </w:r>
      <w:r w:rsidDel="00000000" w:rsidR="00000000" w:rsidRPr="00000000">
        <w:rPr>
          <w:rFonts w:ascii="Times New Roman" w:cs="Times New Roman" w:eastAsia="Times New Roman" w:hAnsi="Times New Roman"/>
          <w:rtl w:val="0"/>
        </w:rPr>
        <w:t xml:space="preserve">, instrumentos legais como a </w:t>
      </w:r>
      <w:r w:rsidDel="00000000" w:rsidR="00000000" w:rsidRPr="00000000">
        <w:rPr>
          <w:rFonts w:ascii="Times New Roman" w:cs="Times New Roman" w:eastAsia="Times New Roman" w:hAnsi="Times New Roman"/>
          <w:b w:val="1"/>
          <w:rtl w:val="0"/>
        </w:rPr>
        <w:t xml:space="preserve">ação civil pública</w:t>
      </w:r>
      <w:r w:rsidDel="00000000" w:rsidR="00000000" w:rsidRPr="00000000">
        <w:rPr>
          <w:rFonts w:ascii="Times New Roman" w:cs="Times New Roman" w:eastAsia="Times New Roman" w:hAnsi="Times New Roman"/>
          <w:rtl w:val="0"/>
        </w:rPr>
        <w:t xml:space="preserve"> podem ser mobilizados. O Estado, por meio da regulação, deve garantir que o novo modelo de gestão não desrespeite os direitos culturais e sociais da comunidade torcedora. Além disso, a </w:t>
      </w:r>
      <w:r w:rsidDel="00000000" w:rsidR="00000000" w:rsidRPr="00000000">
        <w:rPr>
          <w:rFonts w:ascii="Times New Roman" w:cs="Times New Roman" w:eastAsia="Times New Roman" w:hAnsi="Times New Roman"/>
          <w:b w:val="1"/>
          <w:rtl w:val="0"/>
        </w:rPr>
        <w:t xml:space="preserve">Lei de Incentivo ao Esporte (Lei nº 11.438/2006)</w:t>
      </w:r>
      <w:r w:rsidDel="00000000" w:rsidR="00000000" w:rsidRPr="00000000">
        <w:rPr>
          <w:rFonts w:ascii="Times New Roman" w:cs="Times New Roman" w:eastAsia="Times New Roman" w:hAnsi="Times New Roman"/>
          <w:rtl w:val="0"/>
        </w:rPr>
        <w:t xml:space="preserve"> demonstra o compromisso do Estado com o desenvolvimento do esporte, reforçando seu papel na promoção de políticas públicas que conciliem o interesse privado com o bem-estar social.</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auto" w:val="clear"/>
        <w:spacing w:after="120" w:before="200" w:line="288"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CONSIDERAÇÕES FINAIS</w:t>
      </w:r>
    </w:p>
    <w:p w:rsidR="00000000" w:rsidDel="00000000" w:rsidP="00000000" w:rsidRDefault="00000000" w:rsidRPr="00000000" w14:paraId="00000051">
      <w:pPr>
        <w:widowControl w:val="1"/>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mudança de clubes de futebol de associações civis para Sociedades Anônimas de Futebol (SAF), permitida pela </w:t>
      </w:r>
      <w:r w:rsidDel="00000000" w:rsidR="00000000" w:rsidRPr="00000000">
        <w:rPr>
          <w:rFonts w:ascii="Times New Roman" w:cs="Times New Roman" w:eastAsia="Times New Roman" w:hAnsi="Times New Roman"/>
          <w:b w:val="1"/>
          <w:rtl w:val="0"/>
        </w:rPr>
        <w:t xml:space="preserve">Lei n.º 14.193/2021</w:t>
      </w:r>
      <w:r w:rsidDel="00000000" w:rsidR="00000000" w:rsidRPr="00000000">
        <w:rPr>
          <w:rFonts w:ascii="Times New Roman" w:cs="Times New Roman" w:eastAsia="Times New Roman" w:hAnsi="Times New Roman"/>
          <w:rtl w:val="0"/>
        </w:rPr>
        <w:t xml:space="preserve">, representa um marco na história do futebol brasileiro. A pesquisa e a análise documental realizadas demonstraram que essa mudança, embora necessária para combater a crise financeira, acarreta uma tensão fundamental entre a lógica de mercado e a </w:t>
      </w:r>
      <w:r w:rsidDel="00000000" w:rsidR="00000000" w:rsidRPr="00000000">
        <w:rPr>
          <w:rFonts w:ascii="Times New Roman" w:cs="Times New Roman" w:eastAsia="Times New Roman" w:hAnsi="Times New Roman"/>
          <w:b w:val="1"/>
          <w:rtl w:val="0"/>
        </w:rPr>
        <w:t xml:space="preserve">identidade cultural dos clubes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2">
      <w:pPr>
        <w:widowControl w:val="1"/>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 caso do </w:t>
      </w:r>
      <w:r w:rsidDel="00000000" w:rsidR="00000000" w:rsidRPr="00000000">
        <w:rPr>
          <w:rFonts w:ascii="Times New Roman" w:cs="Times New Roman" w:eastAsia="Times New Roman" w:hAnsi="Times New Roman"/>
          <w:b w:val="1"/>
          <w:rtl w:val="0"/>
        </w:rPr>
        <w:t xml:space="preserve">Fortaleza</w:t>
      </w:r>
      <w:r w:rsidDel="00000000" w:rsidR="00000000" w:rsidRPr="00000000">
        <w:rPr>
          <w:rFonts w:ascii="Times New Roman" w:cs="Times New Roman" w:eastAsia="Times New Roman" w:hAnsi="Times New Roman"/>
          <w:rtl w:val="0"/>
        </w:rPr>
        <w:t xml:space="preserve"> aponta um possível caminho para conciliar esses interesses. Ao planejar a venda de uma participação minoritária, o clube busca atrair capital sem perder o controle acionário, preservando suas características históricas e populares.</w:t>
      </w:r>
    </w:p>
    <w:p w:rsidR="00000000" w:rsidDel="00000000" w:rsidP="00000000" w:rsidRDefault="00000000" w:rsidRPr="00000000" w14:paraId="00000053">
      <w:pPr>
        <w:widowControl w:val="1"/>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 desafio final para legisladores e gestores é encontrar um ponto de equilíbrio. A SAF pode, de fato, ser o caminho para a sustentabilidade, mas seu sucesso dependerá de como o modelo consegue conciliar o lucro com a paixão, garantindo que o futebol, como um </w:t>
      </w:r>
      <w:r w:rsidDel="00000000" w:rsidR="00000000" w:rsidRPr="00000000">
        <w:rPr>
          <w:rFonts w:ascii="Times New Roman" w:cs="Times New Roman" w:eastAsia="Times New Roman" w:hAnsi="Times New Roman"/>
          <w:b w:val="1"/>
          <w:rtl w:val="0"/>
        </w:rPr>
        <w:t xml:space="preserve">bem cultural</w:t>
      </w:r>
      <w:r w:rsidDel="00000000" w:rsidR="00000000" w:rsidRPr="00000000">
        <w:rPr>
          <w:rFonts w:ascii="Times New Roman" w:cs="Times New Roman" w:eastAsia="Times New Roman" w:hAnsi="Times New Roman"/>
          <w:rtl w:val="0"/>
        </w:rPr>
        <w:t xml:space="preserve"> e </w:t>
      </w:r>
      <w:r w:rsidDel="00000000" w:rsidR="00000000" w:rsidRPr="00000000">
        <w:rPr>
          <w:rFonts w:ascii="Times New Roman" w:cs="Times New Roman" w:eastAsia="Times New Roman" w:hAnsi="Times New Roman"/>
          <w:b w:val="1"/>
          <w:rtl w:val="0"/>
        </w:rPr>
        <w:t xml:space="preserve">direito social</w:t>
      </w:r>
      <w:r w:rsidDel="00000000" w:rsidR="00000000" w:rsidRPr="00000000">
        <w:rPr>
          <w:rFonts w:ascii="Times New Roman" w:cs="Times New Roman" w:eastAsia="Times New Roman" w:hAnsi="Times New Roman"/>
          <w:rtl w:val="0"/>
        </w:rPr>
        <w:t xml:space="preserve">, não perca sua identidade em favor de uma visão puramente empresarial. A atuação do Estado e a mobilização de instrumentos jurídicos para proteger a identidade dos clubes, à luz dos princípios constitucionais, são essenciais para assegurar que a transição seja benéfica não apenas para as finanças, mas também para a cultura e a sociedade brasileiras.</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color="800000" w:space="0" w:sz="8" w:val="single"/>
          <w:left w:color="800000" w:space="1" w:sz="8" w:val="single"/>
          <w:bottom w:color="800000" w:space="1" w:sz="8" w:val="single"/>
          <w:right w:color="800000" w:space="1" w:sz="8" w:val="single"/>
          <w:between w:space="0" w:sz="0" w:val="nil"/>
        </w:pBdr>
        <w:shd w:fill="auto" w:val="clear"/>
        <w:spacing w:after="120" w:before="200" w:line="288"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BRASIL. </w:t>
      </w: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Lei nº 14.193, de 6 de agosto de 2021</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Dispõe sobre a Sociedade Anônima do Futebol e dá outras providências. Diário Oficial da União, Brasília, DF, 9 ago. 2021. Disponível em: </w:t>
      </w:r>
      <w:hyperlink r:id="rId8">
        <w:r w:rsidDel="00000000" w:rsidR="00000000" w:rsidRPr="00000000">
          <w:rPr>
            <w:rFonts w:ascii="Liberation Serif" w:cs="Liberation Serif" w:eastAsia="Liberation Serif" w:hAnsi="Liberation Serif"/>
            <w:b w:val="0"/>
            <w:i w:val="0"/>
            <w:smallCaps w:val="0"/>
            <w:strike w:val="0"/>
            <w:color w:val="0000ff"/>
            <w:sz w:val="24"/>
            <w:szCs w:val="24"/>
            <w:u w:val="single"/>
            <w:shd w:fill="auto" w:val="clear"/>
            <w:vertAlign w:val="baseline"/>
            <w:rtl w:val="0"/>
          </w:rPr>
          <w:t xml:space="preserve">http://www.planalto.gov.br/ccivil_03/_Ato2019-2022/2021/Lei/L14193.htm</w:t>
        </w:r>
      </w:hyperlink>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Acesso em: 22 set. 2025.</w:t>
      </w:r>
    </w:p>
    <w:p w:rsidR="00000000" w:rsidDel="00000000" w:rsidP="00000000" w:rsidRDefault="00000000" w:rsidRPr="00000000" w14:paraId="00000057">
      <w:pPr>
        <w:spacing w:after="240" w:before="240" w:lineRule="auto"/>
        <w:rPr/>
      </w:pPr>
      <w:r w:rsidDel="00000000" w:rsidR="00000000" w:rsidRPr="00000000">
        <w:rPr>
          <w:rtl w:val="0"/>
        </w:rPr>
        <w:t xml:space="preserve">EXAME. </w:t>
      </w:r>
      <w:r w:rsidDel="00000000" w:rsidR="00000000" w:rsidRPr="00000000">
        <w:rPr>
          <w:b w:val="1"/>
          <w:rtl w:val="0"/>
        </w:rPr>
        <w:t xml:space="preserve">Por que clubes de futebol brasileiros faturam bilhões e continuam com dívidas</w:t>
      </w:r>
      <w:r w:rsidDel="00000000" w:rsidR="00000000" w:rsidRPr="00000000">
        <w:rPr>
          <w:rtl w:val="0"/>
        </w:rPr>
        <w:t xml:space="preserve">. 2024. Disponível em: </w:t>
      </w:r>
      <w:hyperlink r:id="rId9">
        <w:r w:rsidDel="00000000" w:rsidR="00000000" w:rsidRPr="00000000">
          <w:rPr>
            <w:color w:val="0000ff"/>
            <w:u w:val="single"/>
            <w:rtl w:val="0"/>
          </w:rPr>
          <w:t xml:space="preserve">https://exame.com/invest/guia/por-que-clubes-de-futebol-brasileiros-faturam-bilhoes-e-continuam-com-dividas/</w:t>
        </w:r>
      </w:hyperlink>
      <w:r w:rsidDel="00000000" w:rsidR="00000000" w:rsidRPr="00000000">
        <w:rPr>
          <w:rtl w:val="0"/>
        </w:rPr>
        <w:t xml:space="preserve">. Acesso em: 22 set. 2025.</w:t>
      </w:r>
    </w:p>
    <w:p w:rsidR="00000000" w:rsidDel="00000000" w:rsidP="00000000" w:rsidRDefault="00000000" w:rsidRPr="00000000" w14:paraId="00000058">
      <w:pPr>
        <w:spacing w:after="240" w:before="240" w:lineRule="auto"/>
        <w:rPr/>
      </w:pPr>
      <w:r w:rsidDel="00000000" w:rsidR="00000000" w:rsidRPr="00000000">
        <w:rPr>
          <w:rtl w:val="0"/>
        </w:rPr>
        <w:t xml:space="preserve">INSTITUTO NACIONAL DE CIÊNCIA E TECNOLOGIA EM FUTEBOL (INCTFUTEBOL). </w:t>
      </w:r>
      <w:r w:rsidDel="00000000" w:rsidR="00000000" w:rsidRPr="00000000">
        <w:rPr>
          <w:b w:val="1"/>
          <w:rtl w:val="0"/>
        </w:rPr>
        <w:t xml:space="preserve">Entre a paixão e o lucro</w:t>
      </w:r>
      <w:r w:rsidDel="00000000" w:rsidR="00000000" w:rsidRPr="00000000">
        <w:rPr>
          <w:rtl w:val="0"/>
        </w:rPr>
        <w:t xml:space="preserve">: impactos da SAF na identidade dos clubes brasileiros. 2022. Disponível em: </w:t>
      </w:r>
      <w:hyperlink r:id="rId10">
        <w:r w:rsidDel="00000000" w:rsidR="00000000" w:rsidRPr="00000000">
          <w:rPr>
            <w:color w:val="0000ff"/>
            <w:u w:val="single"/>
            <w:rtl w:val="0"/>
          </w:rPr>
          <w:t xml:space="preserve">https://www.inctfutebol.com.br/post/entre-a-paix%C3%A3o-e-o-lucro-impactos-da-saf-na-identidade-dos-clubes-brasileiros</w:t>
        </w:r>
      </w:hyperlink>
      <w:r w:rsidDel="00000000" w:rsidR="00000000" w:rsidRPr="00000000">
        <w:rPr>
          <w:rtl w:val="0"/>
        </w:rPr>
        <w:t xml:space="preserve">. Acesso em: 22 set. 2025.</w:t>
      </w:r>
    </w:p>
    <w:p w:rsidR="00000000" w:rsidDel="00000000" w:rsidP="00000000" w:rsidRDefault="00000000" w:rsidRPr="00000000" w14:paraId="00000059">
      <w:pPr>
        <w:spacing w:after="240" w:before="240" w:lineRule="auto"/>
        <w:rPr/>
      </w:pPr>
      <w:r w:rsidDel="00000000" w:rsidR="00000000" w:rsidRPr="00000000">
        <w:rPr>
          <w:rtl w:val="0"/>
        </w:rPr>
        <w:t xml:space="preserve">MEU TIMÃO. </w:t>
      </w:r>
      <w:r w:rsidDel="00000000" w:rsidR="00000000" w:rsidRPr="00000000">
        <w:rPr>
          <w:b w:val="1"/>
          <w:rtl w:val="0"/>
        </w:rPr>
        <w:t xml:space="preserve">Torcida do Corinthians se divide sobre SAF em meio à crise política e dívida bilionária do clube</w:t>
      </w:r>
      <w:r w:rsidDel="00000000" w:rsidR="00000000" w:rsidRPr="00000000">
        <w:rPr>
          <w:rtl w:val="0"/>
        </w:rPr>
        <w:t xml:space="preserve">. 2024. Disponível em: </w:t>
      </w:r>
      <w:hyperlink r:id="rId11">
        <w:r w:rsidDel="00000000" w:rsidR="00000000" w:rsidRPr="00000000">
          <w:rPr>
            <w:color w:val="0000ff"/>
            <w:u w:val="single"/>
            <w:rtl w:val="0"/>
          </w:rPr>
          <w:t xml:space="preserve">https://www.meutimao.com.br/noticias-do-corinthians/510660/torcida-do-corinthians-se-divide-sobre-saf-em-meio-a-crise-politica-e-divida-bilionaria-do-clube</w:t>
        </w:r>
      </w:hyperlink>
      <w:r w:rsidDel="00000000" w:rsidR="00000000" w:rsidRPr="00000000">
        <w:rPr>
          <w:rtl w:val="0"/>
        </w:rPr>
        <w:t xml:space="preserve">. Acesso em: 22 set. 2025.</w:t>
      </w:r>
    </w:p>
    <w:p w:rsidR="00000000" w:rsidDel="00000000" w:rsidP="00000000" w:rsidRDefault="00000000" w:rsidRPr="00000000" w14:paraId="0000005A">
      <w:pPr>
        <w:spacing w:after="240" w:before="240" w:lineRule="auto"/>
        <w:rPr/>
      </w:pPr>
      <w:r w:rsidDel="00000000" w:rsidR="00000000" w:rsidRPr="00000000">
        <w:rPr>
          <w:rtl w:val="0"/>
        </w:rPr>
      </w:r>
    </w:p>
    <w:p w:rsidR="00000000" w:rsidDel="00000000" w:rsidP="00000000" w:rsidRDefault="00000000" w:rsidRPr="00000000" w14:paraId="0000005B">
      <w:pPr>
        <w:spacing w:after="240" w:before="240" w:lineRule="auto"/>
        <w:rPr/>
      </w:pPr>
      <w:r w:rsidDel="00000000" w:rsidR="00000000" w:rsidRPr="00000000">
        <w:rPr>
          <w:rtl w:val="0"/>
        </w:rPr>
        <w:t xml:space="preserve">BARROS, Jussara de. A Democracia Corinthiana. </w:t>
      </w:r>
      <w:r w:rsidDel="00000000" w:rsidR="00000000" w:rsidRPr="00000000">
        <w:rPr>
          <w:b w:val="1"/>
          <w:rtl w:val="0"/>
        </w:rPr>
        <w:t xml:space="preserve">Globo Esporte</w:t>
      </w:r>
      <w:r w:rsidDel="00000000" w:rsidR="00000000" w:rsidRPr="00000000">
        <w:rPr>
          <w:rtl w:val="0"/>
        </w:rPr>
        <w:t xml:space="preserve">, [S. l.], 23 set. 2025. Disponível em:</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https://ge.globo.com/futebol/times/corinthians/noticia/ultimas-noticias-corinthians-democracia-corinthiana-movimento-contra-ditadura.ghtml</w:t>
        </w:r>
      </w:hyperlink>
      <w:r w:rsidDel="00000000" w:rsidR="00000000" w:rsidRPr="00000000">
        <w:rPr>
          <w:rtl w:val="0"/>
        </w:rPr>
        <w:t xml:space="preserve">. Acesso em: 23 set. 2025.</w:t>
      </w:r>
    </w:p>
    <w:p w:rsidR="00000000" w:rsidDel="00000000" w:rsidP="00000000" w:rsidRDefault="00000000" w:rsidRPr="00000000" w14:paraId="0000005C">
      <w:pPr>
        <w:spacing w:after="240" w:before="240" w:lineRule="auto"/>
        <w:rPr/>
      </w:pPr>
      <w:r w:rsidDel="00000000" w:rsidR="00000000" w:rsidRPr="00000000">
        <w:rPr>
          <w:rtl w:val="0"/>
        </w:rPr>
        <w:t xml:space="preserve">ESPN. Fortaleza SAF: Conversas iniciais para venda de dois fatores que não abre mão. ESPN Brasil, [S. l.], 16 jul. 2025. Disponível em: https://www.espn.com.br/futebol/artigo/_/id/13492144/fortaleza-saf-conversas-iniciais-venda-dois-fatores-nao-abre-mao. Acesso em: 22 set. 2025.</w:t>
      </w:r>
    </w:p>
    <w:p w:rsidR="00000000" w:rsidDel="00000000" w:rsidP="00000000" w:rsidRDefault="00000000" w:rsidRPr="00000000" w14:paraId="0000005D">
      <w:pPr>
        <w:spacing w:after="0" w:before="0" w:lineRule="auto"/>
        <w:ind w:left="0" w:firstLine="0"/>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rtl w:val="0"/>
        </w:rPr>
        <w:t xml:space="preserve">CNN BRASIL. Botafogo tenta reassumir SAF em meio a polêmica entre Eagle e John Textor. CNN Brasil, [S. l.], 14 ago. 2025. Disponível em: </w:t>
      </w:r>
      <w:hyperlink r:id="rId14">
        <w:r w:rsidDel="00000000" w:rsidR="00000000" w:rsidRPr="00000000">
          <w:rPr>
            <w:rFonts w:ascii="Liberation Serif" w:cs="Liberation Serif" w:eastAsia="Liberation Serif" w:hAnsi="Liberation Serif"/>
            <w:color w:val="0000ff"/>
            <w:sz w:val="24"/>
            <w:szCs w:val="24"/>
            <w:u w:val="single"/>
            <w:rtl w:val="0"/>
          </w:rPr>
          <w:t xml:space="preserve">https://www.cnnbrasil.com.br/esportes/futebol/botafogo/botafogo-tenta-reassumir-saf-em-meio-a-polemica-entre-eagle-e-john-textor/</w:t>
        </w:r>
      </w:hyperlink>
      <w:r w:rsidDel="00000000" w:rsidR="00000000" w:rsidRPr="00000000">
        <w:rPr>
          <w:rFonts w:ascii="Liberation Serif" w:cs="Liberation Serif" w:eastAsia="Liberation Serif" w:hAnsi="Liberation Serif"/>
          <w:sz w:val="24"/>
          <w:szCs w:val="24"/>
          <w:rtl w:val="0"/>
        </w:rPr>
        <w:t xml:space="preserve">. Acesso em: 22 set. 2025.</w:t>
      </w:r>
    </w:p>
    <w:p w:rsidR="00000000" w:rsidDel="00000000" w:rsidP="00000000" w:rsidRDefault="00000000" w:rsidRPr="00000000" w14:paraId="0000005E">
      <w:pPr>
        <w:spacing w:after="240" w:before="240" w:lineRule="auto"/>
        <w:rPr/>
      </w:pPr>
      <w:r w:rsidDel="00000000" w:rsidR="00000000" w:rsidRPr="00000000">
        <w:rPr>
          <w:rtl w:val="0"/>
        </w:rPr>
        <w:t xml:space="preserve">BRASIL. </w:t>
      </w:r>
      <w:r w:rsidDel="00000000" w:rsidR="00000000" w:rsidRPr="00000000">
        <w:rPr>
          <w:b w:val="1"/>
          <w:rtl w:val="0"/>
        </w:rPr>
        <w:t xml:space="preserve">Lei n.º 14.597, de 14 de junho de 2023.</w:t>
      </w:r>
      <w:r w:rsidDel="00000000" w:rsidR="00000000" w:rsidRPr="00000000">
        <w:rPr>
          <w:rtl w:val="0"/>
        </w:rPr>
        <w:t xml:space="preserve"> Lei Geral do Esporte. Disponível em:</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https://www.planalto.gov.br/ccivil_03/_ato2023-2026/2023/lei/l14597.htm</w:t>
        </w:r>
      </w:hyperlink>
      <w:r w:rsidDel="00000000" w:rsidR="00000000" w:rsidRPr="00000000">
        <w:rPr>
          <w:rtl w:val="0"/>
        </w:rPr>
        <w:t xml:space="preserve">. Acesso em: 23 set. 2025.</w:t>
      </w:r>
    </w:p>
    <w:p w:rsidR="00000000" w:rsidDel="00000000" w:rsidP="00000000" w:rsidRDefault="00000000" w:rsidRPr="00000000" w14:paraId="0000005F">
      <w:pPr>
        <w:spacing w:after="240" w:before="240" w:lineRule="auto"/>
        <w:rPr/>
      </w:pPr>
      <w:r w:rsidDel="00000000" w:rsidR="00000000" w:rsidRPr="00000000">
        <w:rPr>
          <w:rtl w:val="0"/>
        </w:rPr>
        <w:t xml:space="preserve">BRASIL. </w:t>
      </w:r>
      <w:r w:rsidDel="00000000" w:rsidR="00000000" w:rsidRPr="00000000">
        <w:rPr>
          <w:b w:val="1"/>
          <w:rtl w:val="0"/>
        </w:rPr>
        <w:t xml:space="preserve">Lei n.º 11.438, de 29 de dezembro de 2006.</w:t>
      </w:r>
      <w:r w:rsidDel="00000000" w:rsidR="00000000" w:rsidRPr="00000000">
        <w:rPr>
          <w:rtl w:val="0"/>
        </w:rPr>
        <w:t xml:space="preserve"> Lei de Incentivo ao Esporte. Disponível em:</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https://www.gov.br/esporte/pt-br/acoes-e-programas/lei-de-incentivo-ao-esporte</w:t>
        </w:r>
      </w:hyperlink>
      <w:r w:rsidDel="00000000" w:rsidR="00000000" w:rsidRPr="00000000">
        <w:rPr>
          <w:rtl w:val="0"/>
        </w:rPr>
        <w:t xml:space="preserve">. Acesso em: 23 set. 2025.</w:t>
      </w:r>
    </w:p>
    <w:p w:rsidR="00000000" w:rsidDel="00000000" w:rsidP="00000000" w:rsidRDefault="00000000" w:rsidRPr="00000000" w14:paraId="00000060">
      <w:pPr>
        <w:spacing w:after="240" w:before="240" w:lineRule="auto"/>
        <w:rPr/>
      </w:pPr>
      <w:r w:rsidDel="00000000" w:rsidR="00000000" w:rsidRPr="00000000">
        <w:rPr>
          <w:rtl w:val="0"/>
        </w:rPr>
        <w:t xml:space="preserve">SOUZA, João Pedro da Silva. A Sociedade Anônima de Futebol e a transformação cultural: uma análise à luz dos direitos fundamentais. </w:t>
      </w:r>
      <w:r w:rsidDel="00000000" w:rsidR="00000000" w:rsidRPr="00000000">
        <w:rPr>
          <w:b w:val="1"/>
          <w:rtl w:val="0"/>
        </w:rPr>
        <w:t xml:space="preserve">Revista Brasileira de Futebol Feminino</w:t>
      </w:r>
      <w:r w:rsidDel="00000000" w:rsidR="00000000" w:rsidRPr="00000000">
        <w:rPr>
          <w:rtl w:val="0"/>
        </w:rPr>
        <w:t xml:space="preserve">, v. 3, n. 2, p. 1-15, dez. 2022. Disponível em:</w:t>
      </w:r>
      <w:hyperlink r:id="rId19">
        <w:r w:rsidDel="00000000" w:rsidR="00000000" w:rsidRPr="00000000">
          <w:rPr>
            <w:rtl w:val="0"/>
          </w:rPr>
          <w:t xml:space="preserve"> </w:t>
        </w:r>
      </w:hyperlink>
      <w:hyperlink r:id="rId20">
        <w:r w:rsidDel="00000000" w:rsidR="00000000" w:rsidRPr="00000000">
          <w:rPr>
            <w:color w:val="1155cc"/>
            <w:u w:val="single"/>
            <w:rtl w:val="0"/>
          </w:rPr>
          <w:t xml:space="preserve">https://www.rbff.com.br/index.php/rbff/article/view/1275</w:t>
        </w:r>
      </w:hyperlink>
      <w:r w:rsidDel="00000000" w:rsidR="00000000" w:rsidRPr="00000000">
        <w:rPr>
          <w:rtl w:val="0"/>
        </w:rPr>
        <w:t xml:space="preserve">. Acesso em: 23 set. 2025.</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21" w:type="default"/>
      <w:footerReference r:id="rId22" w:type="default"/>
      <w:pgSz w:h="16838" w:w="11906" w:orient="portrait"/>
      <w:pgMar w:bottom="1134" w:top="1701" w:left="1701" w:right="1134" w:header="56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1920557</wp:posOffset>
          </wp:positionH>
          <wp:positionV relativeFrom="paragraph">
            <wp:posOffset>0</wp:posOffset>
          </wp:positionV>
          <wp:extent cx="1918970" cy="704850"/>
          <wp:effectExtent b="0" l="0" r="0" t="0"/>
          <wp:wrapSquare wrapText="bothSides" distB="0" distT="0" distL="114300" distR="114300"/>
          <wp:docPr descr="Unifametro | Formar para transformar" id="3" name="image1.png"/>
          <a:graphic>
            <a:graphicData uri="http://schemas.openxmlformats.org/drawingml/2006/picture">
              <pic:pic>
                <pic:nvPicPr>
                  <pic:cNvPr descr="Unifametro | Formar para transformar" id="0" name="image1.png"/>
                  <pic:cNvPicPr preferRelativeResize="0"/>
                </pic:nvPicPr>
                <pic:blipFill>
                  <a:blip r:embed="rId1"/>
                  <a:srcRect b="0" l="0" r="0" t="0"/>
                  <a:stretch>
                    <a:fillRect/>
                  </a:stretch>
                </pic:blipFill>
                <pic:spPr>
                  <a:xfrm>
                    <a:off x="0" y="0"/>
                    <a:ext cx="1918970" cy="7048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3402" w:right="-143"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CONEXÃO UNIFAMETRO 2025</w:t>
    </w:r>
    <w:r w:rsidDel="00000000" w:rsidR="00000000" w:rsidRPr="00000000">
      <w:drawing>
        <wp:anchor allowOverlap="1" behindDoc="0" distB="0" distT="0" distL="114300" distR="114300" hidden="0" layoutInCell="1" locked="0" relativeHeight="0" simplePos="0">
          <wp:simplePos x="0" y="0"/>
          <wp:positionH relativeFrom="column">
            <wp:posOffset>481965</wp:posOffset>
          </wp:positionH>
          <wp:positionV relativeFrom="paragraph">
            <wp:posOffset>-131444</wp:posOffset>
          </wp:positionV>
          <wp:extent cx="1976120" cy="718820"/>
          <wp:effectExtent b="0" l="0" r="0" t="0"/>
          <wp:wrapSquare wrapText="bothSides" distB="0" distT="0" distL="114300" distR="11430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976120" cy="718820"/>
                  </a:xfrm>
                  <a:prstGeom prst="rect"/>
                  <a:ln/>
                </pic:spPr>
              </pic:pic>
            </a:graphicData>
          </a:graphic>
        </wp:anchor>
      </w:drawing>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3402" w:right="-143"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XXI SEMANA ACADÊMICA</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120" w:before="0" w:line="240" w:lineRule="auto"/>
      <w:ind w:left="3402" w:right="-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ISSN: 2357-8645</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qFormat w:val="1"/>
    <w:rPr/>
  </w:style>
  <w:style w:type="character" w:styleId="CorpodetextoChar" w:customStyle="1">
    <w:name w:val="Corpo de texto Char"/>
    <w:basedOn w:val="DefaultParagraphFont"/>
    <w:qFormat w:val="1"/>
    <w:rsid w:val="005F28FC"/>
    <w:rPr>
      <w:rFonts w:ascii="Liberation Serif" w:cs="Mangal" w:eastAsia="Lucida Sans Unicode" w:hAnsi="Liberation Serif"/>
      <w:kern w:val="2"/>
      <w:sz w:val="24"/>
      <w:szCs w:val="24"/>
      <w:lang w:bidi="hi-IN" w:eastAsia="zh-CN"/>
    </w:rPr>
  </w:style>
  <w:style w:type="character" w:styleId="LinkdaInternet">
    <w:name w:val="Hyperlink"/>
    <w:uiPriority w:val="99"/>
    <w:unhideWhenUsed w:val="1"/>
    <w:rsid w:val="005F28FC"/>
    <w:rPr>
      <w:color w:val="0000ff"/>
      <w:u w:val="single"/>
    </w:rPr>
  </w:style>
  <w:style w:type="character" w:styleId="CabealhoChar" w:customStyle="1">
    <w:name w:val="Cabeçalho Char"/>
    <w:basedOn w:val="DefaultParagraphFont"/>
    <w:uiPriority w:val="99"/>
    <w:qFormat w:val="1"/>
    <w:rsid w:val="005F28FC"/>
    <w:rPr>
      <w:rFonts w:ascii="Liberation Serif" w:cs="Mangal" w:eastAsia="Lucida Sans Unicode" w:hAnsi="Liberation Serif"/>
      <w:kern w:val="2"/>
      <w:sz w:val="24"/>
      <w:szCs w:val="21"/>
      <w:lang w:bidi="hi-IN" w:eastAsia="zh-CN"/>
    </w:rPr>
  </w:style>
  <w:style w:type="character" w:styleId="RodapChar" w:customStyle="1">
    <w:name w:val="Rodapé Char"/>
    <w:basedOn w:val="DefaultParagraphFont"/>
    <w:uiPriority w:val="99"/>
    <w:qFormat w:val="1"/>
    <w:rsid w:val="005F28FC"/>
    <w:rPr>
      <w:rFonts w:ascii="Liberation Serif" w:cs="Mangal" w:eastAsia="Lucida Sans Unicode" w:hAnsi="Liberation Serif"/>
      <w:kern w:val="2"/>
      <w:sz w:val="24"/>
      <w:szCs w:val="21"/>
      <w:lang w:bidi="hi-IN" w:eastAsia="zh-CN"/>
    </w:rPr>
  </w:style>
  <w:style w:type="character" w:styleId="PlaceholderText">
    <w:name w:val="Placeholder Text"/>
    <w:basedOn w:val="DefaultParagraphFont"/>
    <w:uiPriority w:val="99"/>
    <w:semiHidden w:val="1"/>
    <w:qFormat w:val="1"/>
    <w:rsid w:val="002C73D2"/>
    <w:rPr>
      <w:color w:val="808080"/>
    </w:rPr>
  </w:style>
  <w:style w:type="paragraph" w:styleId="Ttulo">
    <w:name w:val="Título"/>
    <w:basedOn w:val="Normal"/>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basedOn w:val="Normal"/>
    <w:link w:val="CorpodetextoChar"/>
    <w:rsid w:val="005F28FC"/>
    <w:pPr>
      <w:spacing w:after="140" w:before="0" w:line="288" w:lineRule="auto"/>
    </w:pPr>
    <w:rPr/>
  </w:style>
  <w:style w:type="paragraph" w:styleId="Lista">
    <w:name w:val="List"/>
    <w:basedOn w:val="Corpodotexto"/>
    <w:pPr/>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CabealhoeRodap">
    <w:name w:val="Cabeçalho e Rodapé"/>
    <w:basedOn w:val="Normal"/>
    <w:qFormat w:val="1"/>
    <w:pPr/>
    <w:rPr/>
  </w:style>
  <w:style w:type="paragraph" w:styleId="Cabealho">
    <w:name w:val="Header"/>
    <w:basedOn w:val="Normal"/>
    <w:link w:val="CabealhoChar"/>
    <w:uiPriority w:val="99"/>
    <w:unhideWhenUsed w:val="1"/>
    <w:rsid w:val="005F28FC"/>
    <w:pPr>
      <w:tabs>
        <w:tab w:val="clear" w:pos="708"/>
        <w:tab w:val="center" w:leader="none" w:pos="4252"/>
        <w:tab w:val="right" w:leader="none" w:pos="8504"/>
      </w:tabs>
    </w:pPr>
    <w:rPr>
      <w:szCs w:val="21"/>
    </w:rPr>
  </w:style>
  <w:style w:type="paragraph" w:styleId="Rodap">
    <w:name w:val="Footer"/>
    <w:basedOn w:val="Normal"/>
    <w:link w:val="RodapChar"/>
    <w:uiPriority w:val="99"/>
    <w:unhideWhenUsed w:val="1"/>
    <w:rsid w:val="005F28FC"/>
    <w:pPr>
      <w:tabs>
        <w:tab w:val="clear" w:pos="708"/>
        <w:tab w:val="center" w:leader="none" w:pos="4252"/>
        <w:tab w:val="right" w:leader="none" w:pos="8504"/>
      </w:tabs>
    </w:pPr>
    <w:rPr>
      <w:szCs w:val="21"/>
    </w:rPr>
  </w:style>
  <w:style w:type="paragraph" w:styleId="NormalWeb">
    <w:name w:val="Normal (Web)"/>
    <w:basedOn w:val="Normal"/>
    <w:uiPriority w:val="99"/>
    <w:unhideWhenUsed w:val="1"/>
    <w:qFormat w:val="1"/>
    <w:rsid w:val="005F28FC"/>
    <w:pPr>
      <w:widowControl w:val="1"/>
      <w:suppressAutoHyphens w:val="0"/>
      <w:spacing w:afterAutospacing="1" w:beforeAutospacing="1"/>
    </w:pPr>
    <w:rPr>
      <w:rFonts w:ascii="Times New Roman" w:cs="Times New Roman" w:eastAsia="Times New Roman" w:hAnsi="Times New Roman"/>
      <w:kern w:val="0"/>
      <w:lang w:bidi="ar-SA" w:eastAsia="pt-BR"/>
    </w:rPr>
  </w:style>
  <w:style w:type="paragraph" w:styleId="Default" w:customStyle="1">
    <w:name w:val="Default"/>
    <w:qFormat w:val="1"/>
    <w:rsid w:val="009D129B"/>
    <w:pPr>
      <w:widowControl w:val="1"/>
      <w:bidi w:val="0"/>
      <w:spacing w:after="0" w:before="0" w:line="240" w:lineRule="auto"/>
      <w:jc w:val="left"/>
    </w:pPr>
    <w:rPr>
      <w:rFonts w:ascii="Arial" w:cs="Arial" w:eastAsia="Times New Roman" w:hAnsi="Arial"/>
      <w:color w:val="000000"/>
      <w:kern w:val="0"/>
      <w:sz w:val="24"/>
      <w:szCs w:val="24"/>
      <w:lang w:bidi="ar-SA" w:eastAsia="pt-BR" w:val="pt-B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paragraph" w:styleId="NoSpacing">
    <w:name w:val="No Spacing"/>
    <w:uiPriority w:val="1"/>
    <w:qFormat w:val="1"/>
    <w:rsid w:val="5930D1CF"/>
    <w:pPr>
      <w:spacing w:after="0" w:line="240" w:lineRule="auto"/>
    </w:pPr>
  </w:style>
  <w:style w:type="paragraph" w:styleId="ListParagraph">
    <w:name w:val="List Paragraph"/>
    <w:basedOn w:val="Normal"/>
    <w:uiPriority w:val="34"/>
    <w:qFormat w:val="1"/>
    <w:rsid w:val="5930D1CF"/>
    <w:pPr>
      <w:spacing/>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bff.com.br/index.php/rbff/article/view/1275" TargetMode="External"/><Relationship Id="rId11" Type="http://schemas.openxmlformats.org/officeDocument/2006/relationships/hyperlink" Target="https://www.meutimao.com.br/noticias-do-corinthians/510660/torcida-do-corinthians-se-divide-sobre-saf-em-meio-a-crise-politica-e-divida-bilionaria-do-clube" TargetMode="External"/><Relationship Id="rId22" Type="http://schemas.openxmlformats.org/officeDocument/2006/relationships/footer" Target="footer1.xml"/><Relationship Id="rId10" Type="http://schemas.openxmlformats.org/officeDocument/2006/relationships/hyperlink" Target="https://www.inctfutebol.com.br/post/entre-a-paix%C3%A3o-e-o-lucro-impactos-da-saf-na-identidade-dos-clubes-brasileiros" TargetMode="External"/><Relationship Id="rId21" Type="http://schemas.openxmlformats.org/officeDocument/2006/relationships/header" Target="header1.xml"/><Relationship Id="rId13" Type="http://schemas.openxmlformats.org/officeDocument/2006/relationships/hyperlink" Target="https://ge.globo.com/futebol/times/corinthians/noticia/ultimas-noticias-corinthians-democracia-corinthiana-movimento-contra-ditadura.ghtml" TargetMode="External"/><Relationship Id="rId12" Type="http://schemas.openxmlformats.org/officeDocument/2006/relationships/hyperlink" Target="https://ge.globo.com/futebol/times/corinthians/noticia/ultimas-noticias-corinthians-democracia-corinthiana-movimento-contra-ditadura.g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xame.com/invest/guia/por-que-clubes-de-futebol-brasileiros-faturam-bilhoes-e-continuam-com-dividas/" TargetMode="External"/><Relationship Id="rId15" Type="http://schemas.openxmlformats.org/officeDocument/2006/relationships/hyperlink" Target="https://www.planalto.gov.br/ccivil_03/_ato2023-2026/2023/lei/l14597.htm" TargetMode="External"/><Relationship Id="rId14" Type="http://schemas.openxmlformats.org/officeDocument/2006/relationships/hyperlink" Target="https://www.cnnbrasil.com.br/esportes/futebol/botafogo/botafogo-tenta-reassumir-saf-em-meio-a-polemica-entre-eagle-e-john-textor/" TargetMode="External"/><Relationship Id="rId17" Type="http://schemas.openxmlformats.org/officeDocument/2006/relationships/hyperlink" Target="https://www.gov.br/esporte/pt-br/acoes-e-programas/lei-de-incentivo-ao-esporte" TargetMode="External"/><Relationship Id="rId16" Type="http://schemas.openxmlformats.org/officeDocument/2006/relationships/hyperlink" Target="https://www.planalto.gov.br/ccivil_03/_ato2023-2026/2023/lei/l14597.htm" TargetMode="External"/><Relationship Id="rId5" Type="http://schemas.openxmlformats.org/officeDocument/2006/relationships/styles" Target="styles.xml"/><Relationship Id="rId19" Type="http://schemas.openxmlformats.org/officeDocument/2006/relationships/hyperlink" Target="https://www.rbff.com.br/index.php/rbff/article/view/1275" TargetMode="External"/><Relationship Id="rId6" Type="http://schemas.openxmlformats.org/officeDocument/2006/relationships/customXml" Target="../customXML/item1.xml"/><Relationship Id="rId18" Type="http://schemas.openxmlformats.org/officeDocument/2006/relationships/hyperlink" Target="https://www.gov.br/esporte/pt-br/acoes-e-programas/lei-de-incentivo-ao-esporte" TargetMode="External"/><Relationship Id="rId7" Type="http://schemas.openxmlformats.org/officeDocument/2006/relationships/hyperlink" Target="mailto:emily.ramos@aluno.unifametro.edu.br" TargetMode="External"/><Relationship Id="rId8" Type="http://schemas.openxmlformats.org/officeDocument/2006/relationships/hyperlink" Target="http://www.planalto.gov.br/ccivil_03/_Ato2019-2022/2021/Lei/L1419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Tema do Office">
  <a:themeElements>
    <a:clrScheme name="Personalizada 4">
      <a:dk1>
        <a:srgbClr val="FFFFFF"/>
      </a:dk1>
      <a:lt1>
        <a:sysClr val="window" lastClr="FFFFFF"/>
      </a:lt1>
      <a:dk2>
        <a:srgbClr val="FFFFFF"/>
      </a:dk2>
      <a:lt2>
        <a:srgbClr val="FFFFFF"/>
      </a:lt2>
      <a:accent1>
        <a:srgbClr val="AB73D5"/>
      </a:accent1>
      <a:accent2>
        <a:srgbClr val="AB73D5"/>
      </a:accent2>
      <a:accent3>
        <a:srgbClr val="AB73D5"/>
      </a:accent3>
      <a:accent4>
        <a:srgbClr val="AB73D5"/>
      </a:accent4>
      <a:accent5>
        <a:srgbClr val="AB73D5"/>
      </a:accent5>
      <a:accent6>
        <a:srgbClr val="AB73D5"/>
      </a:accent6>
      <a:hlink>
        <a:srgbClr val="AB73D5"/>
      </a:hlink>
      <a:folHlink>
        <a:srgbClr val="AB73D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QmE00dPKUgIOCqaXRKVGljUnA==">CgMxLjA4AHIhMUg0eG5LelhIWGdZV2NCV0I0RnN2MTJ4SzBpcGljVXg0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2022-09-06T20:45:00.0000000Z</dcterms:created>
  <dc:creator>Ana Ciléia Henriques</dc:creator>
</cp:coreProperties>
</file>

<file path=docProps/custom.xml><?xml version="1.0" encoding="utf-8"?>
<Properties xmlns="http://schemas.openxmlformats.org/officeDocument/2006/custom-properties" xmlns:vt="http://schemas.openxmlformats.org/officeDocument/2006/docPropsVTypes"/>
</file>