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4087" w14:textId="55BF5B61" w:rsidR="00107A77" w:rsidRPr="00107A77" w:rsidRDefault="00107A77" w:rsidP="004E28B0">
      <w:pPr>
        <w:spacing w:after="160" w:line="240" w:lineRule="auto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ATUALIZAÇÃO</w:t>
      </w:r>
      <w:r w:rsidRPr="00107A77">
        <w:rPr>
          <w:rFonts w:eastAsia="Calibri" w:cs="Arial"/>
          <w:b/>
          <w:bCs/>
        </w:rPr>
        <w:t xml:space="preserve"> </w:t>
      </w:r>
      <w:r>
        <w:rPr>
          <w:rFonts w:eastAsia="Calibri" w:cs="Arial"/>
          <w:b/>
          <w:bCs/>
        </w:rPr>
        <w:t>DA CLASSIFICAÇÃO CEAP DE 2020 PARA DOENÇA VENOSA CRÔNICA DE MEMBROS INFERIORES</w:t>
      </w:r>
      <w:r w:rsidRPr="00107A77">
        <w:rPr>
          <w:rFonts w:eastAsia="Calibri" w:cs="Arial"/>
          <w:b/>
          <w:bCs/>
        </w:rPr>
        <w:t xml:space="preserve"> </w:t>
      </w:r>
    </w:p>
    <w:p w14:paraId="52C86239" w14:textId="528E9834" w:rsidR="004E28B0" w:rsidRDefault="004E28B0" w:rsidP="004E28B0">
      <w:pPr>
        <w:spacing w:after="160" w:line="240" w:lineRule="auto"/>
        <w:rPr>
          <w:rFonts w:eastAsia="Calibri" w:cs="Arial"/>
        </w:rPr>
      </w:pPr>
      <w:proofErr w:type="spellStart"/>
      <w:r w:rsidRPr="00107A77">
        <w:rPr>
          <w:rFonts w:eastAsia="Calibri" w:cs="Arial"/>
          <w:b/>
          <w:bCs/>
          <w:u w:val="single"/>
        </w:rPr>
        <w:t>Sulany</w:t>
      </w:r>
      <w:proofErr w:type="spellEnd"/>
      <w:r w:rsidRPr="00107A77">
        <w:rPr>
          <w:rFonts w:eastAsia="Calibri" w:cs="Arial"/>
          <w:b/>
          <w:bCs/>
          <w:u w:val="single"/>
        </w:rPr>
        <w:t xml:space="preserve"> Ferreira Feitosa D’Almeida*</w:t>
      </w:r>
      <w:r w:rsidRPr="00107A77">
        <w:rPr>
          <w:rFonts w:eastAsia="Calibri" w:cs="Arial"/>
          <w:b/>
          <w:bCs/>
          <w:u w:val="single"/>
          <w:vertAlign w:val="superscript"/>
        </w:rPr>
        <w:t>1</w:t>
      </w:r>
      <w:r w:rsidRPr="004E28B0">
        <w:rPr>
          <w:rFonts w:eastAsia="Calibri" w:cs="Arial"/>
          <w:b/>
          <w:bCs/>
          <w:sz w:val="28"/>
          <w:szCs w:val="28"/>
        </w:rPr>
        <w:t xml:space="preserve">; </w:t>
      </w:r>
      <w:r w:rsidRPr="004E28B0">
        <w:rPr>
          <w:rFonts w:eastAsia="Calibri" w:cs="Arial"/>
          <w:sz w:val="28"/>
          <w:szCs w:val="28"/>
        </w:rPr>
        <w:t>Larissa Gabrielle De S</w:t>
      </w:r>
      <w:r>
        <w:rPr>
          <w:rFonts w:eastAsia="Calibri" w:cs="Arial"/>
          <w:sz w:val="28"/>
          <w:szCs w:val="28"/>
        </w:rPr>
        <w:t xml:space="preserve">ouza </w:t>
      </w:r>
      <w:r w:rsidRPr="004E28B0">
        <w:rPr>
          <w:rFonts w:eastAsia="Calibri" w:cs="Arial"/>
          <w:sz w:val="28"/>
          <w:szCs w:val="28"/>
        </w:rPr>
        <w:t>Bomfim</w:t>
      </w:r>
      <w:r w:rsidR="00534CB2" w:rsidRPr="004E28B0">
        <w:rPr>
          <w:rFonts w:eastAsia="Calibri" w:cs="Arial"/>
          <w:sz w:val="28"/>
          <w:szCs w:val="28"/>
          <w:vertAlign w:val="superscript"/>
        </w:rPr>
        <w:t>2</w:t>
      </w:r>
      <w:r w:rsidRPr="004E28B0">
        <w:rPr>
          <w:rFonts w:eastAsia="Calibri" w:cs="Arial"/>
          <w:sz w:val="28"/>
          <w:szCs w:val="28"/>
        </w:rPr>
        <w:t xml:space="preserve">; </w:t>
      </w:r>
      <w:proofErr w:type="spellStart"/>
      <w:r w:rsidRPr="004E28B0">
        <w:rPr>
          <w:rFonts w:eastAsia="Calibri" w:cs="Arial"/>
          <w:sz w:val="28"/>
          <w:szCs w:val="28"/>
        </w:rPr>
        <w:t>Anaiza</w:t>
      </w:r>
      <w:proofErr w:type="spellEnd"/>
      <w:r w:rsidRPr="004E28B0">
        <w:rPr>
          <w:rFonts w:eastAsia="Calibri" w:cs="Arial"/>
          <w:sz w:val="28"/>
          <w:szCs w:val="28"/>
        </w:rPr>
        <w:t xml:space="preserve"> Pacheco Simões; </w:t>
      </w:r>
      <w:proofErr w:type="spellStart"/>
      <w:r w:rsidRPr="004E28B0">
        <w:rPr>
          <w:rFonts w:eastAsia="Calibri" w:cs="Arial"/>
          <w:sz w:val="28"/>
          <w:szCs w:val="28"/>
        </w:rPr>
        <w:t>Joselita</w:t>
      </w:r>
      <w:proofErr w:type="spellEnd"/>
      <w:r w:rsidRPr="004E28B0">
        <w:rPr>
          <w:rFonts w:eastAsia="Calibri" w:cs="Arial"/>
          <w:sz w:val="28"/>
          <w:szCs w:val="28"/>
        </w:rPr>
        <w:t xml:space="preserve"> Camila </w:t>
      </w:r>
      <w:proofErr w:type="spellStart"/>
      <w:r w:rsidRPr="004E28B0">
        <w:rPr>
          <w:rFonts w:eastAsia="Calibri" w:cs="Arial"/>
          <w:sz w:val="28"/>
          <w:szCs w:val="28"/>
        </w:rPr>
        <w:t>Bianor</w:t>
      </w:r>
      <w:proofErr w:type="spellEnd"/>
      <w:r w:rsidRPr="004E28B0">
        <w:rPr>
          <w:rFonts w:eastAsia="Calibri" w:cs="Arial"/>
          <w:sz w:val="28"/>
          <w:szCs w:val="28"/>
        </w:rPr>
        <w:t xml:space="preserve"> Farias Cansanção</w:t>
      </w:r>
      <w:r w:rsidR="00534CB2" w:rsidRPr="004E28B0">
        <w:rPr>
          <w:rFonts w:eastAsia="Calibri" w:cs="Arial"/>
          <w:sz w:val="28"/>
          <w:szCs w:val="28"/>
          <w:vertAlign w:val="superscript"/>
        </w:rPr>
        <w:t>4</w:t>
      </w:r>
      <w:r w:rsidRPr="004E28B0">
        <w:rPr>
          <w:rFonts w:eastAsia="Calibri" w:cs="Arial"/>
          <w:sz w:val="28"/>
          <w:szCs w:val="28"/>
        </w:rPr>
        <w:t xml:space="preserve">; </w:t>
      </w:r>
      <w:r w:rsidR="00107A77" w:rsidRPr="00107A77">
        <w:rPr>
          <w:rFonts w:eastAsia="Calibri" w:cs="Arial"/>
          <w:sz w:val="28"/>
          <w:szCs w:val="28"/>
        </w:rPr>
        <w:t>Raquel Teixeira Silva Celestino</w:t>
      </w:r>
      <w:r>
        <w:rPr>
          <w:rFonts w:eastAsia="Calibri" w:cs="Arial"/>
          <w:sz w:val="28"/>
          <w:szCs w:val="28"/>
        </w:rPr>
        <w:t>*</w:t>
      </w:r>
      <w:r w:rsidRPr="004E28B0">
        <w:rPr>
          <w:rFonts w:eastAsia="Calibri" w:cs="Arial"/>
          <w:sz w:val="28"/>
          <w:szCs w:val="28"/>
          <w:vertAlign w:val="superscript"/>
        </w:rPr>
        <w:t>5</w:t>
      </w:r>
    </w:p>
    <w:p w14:paraId="20A45DCD" w14:textId="77777777" w:rsidR="004E28B0" w:rsidRDefault="00534CB2" w:rsidP="004E28B0">
      <w:pPr>
        <w:spacing w:after="160"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vertAlign w:val="superscript"/>
        </w:rPr>
        <w:t xml:space="preserve">1 </w:t>
      </w:r>
      <w:r w:rsidR="004E28B0">
        <w:rPr>
          <w:rFonts w:eastAsia="Calibri" w:cs="Arial"/>
        </w:rPr>
        <w:t>CESMAC</w:t>
      </w:r>
      <w:r w:rsidRPr="50192890">
        <w:rPr>
          <w:rFonts w:eastAsia="Calibri" w:cs="Arial"/>
        </w:rPr>
        <w:t>;</w:t>
      </w:r>
      <w:r w:rsidRPr="50192890">
        <w:rPr>
          <w:rFonts w:eastAsia="Calibri" w:cs="Arial"/>
          <w:vertAlign w:val="superscript"/>
        </w:rPr>
        <w:t xml:space="preserve">2 </w:t>
      </w:r>
      <w:r w:rsidR="004E28B0">
        <w:rPr>
          <w:rFonts w:eastAsia="Calibri" w:cs="Arial"/>
        </w:rPr>
        <w:t>CESMAC</w:t>
      </w:r>
      <w:r w:rsidRPr="50192890">
        <w:rPr>
          <w:rFonts w:eastAsia="Calibri" w:cs="Arial"/>
        </w:rPr>
        <w:t>;</w:t>
      </w:r>
      <w:r w:rsidRPr="50192890">
        <w:rPr>
          <w:rFonts w:eastAsia="Calibri" w:cs="Arial"/>
          <w:vertAlign w:val="superscript"/>
        </w:rPr>
        <w:t xml:space="preserve">3 </w:t>
      </w:r>
      <w:r w:rsidR="004E28B0">
        <w:rPr>
          <w:rFonts w:eastAsia="Calibri" w:cs="Arial"/>
        </w:rPr>
        <w:t>CESMAC</w:t>
      </w:r>
      <w:r w:rsidRPr="50192890">
        <w:rPr>
          <w:rFonts w:eastAsia="Calibri" w:cs="Arial"/>
        </w:rPr>
        <w:t>;</w:t>
      </w:r>
      <w:r w:rsidRPr="50192890">
        <w:rPr>
          <w:rFonts w:eastAsia="Calibri" w:cs="Arial"/>
          <w:vertAlign w:val="superscript"/>
        </w:rPr>
        <w:t xml:space="preserve">4 </w:t>
      </w:r>
      <w:r w:rsidR="004E28B0">
        <w:rPr>
          <w:rFonts w:eastAsia="Calibri" w:cs="Arial"/>
        </w:rPr>
        <w:t>CESMAC</w:t>
      </w:r>
      <w:r w:rsidR="004E28B0">
        <w:rPr>
          <w:rFonts w:eastAsia="Calibri" w:cs="Arial"/>
          <w:sz w:val="20"/>
          <w:szCs w:val="20"/>
        </w:rPr>
        <w:t>;</w:t>
      </w:r>
      <w:r w:rsidR="004E28B0" w:rsidRPr="004E28B0">
        <w:rPr>
          <w:rFonts w:eastAsia="Calibri" w:cs="Arial"/>
          <w:sz w:val="28"/>
          <w:szCs w:val="28"/>
          <w:vertAlign w:val="superscript"/>
        </w:rPr>
        <w:t xml:space="preserve"> 5</w:t>
      </w:r>
      <w:r w:rsidR="004E28B0">
        <w:rPr>
          <w:rFonts w:eastAsia="Calibri" w:cs="Arial"/>
        </w:rPr>
        <w:t>CESMAC</w:t>
      </w:r>
      <w:r w:rsidR="004E28B0" w:rsidRPr="50192890">
        <w:rPr>
          <w:rFonts w:eastAsia="Calibri" w:cs="Arial"/>
          <w:sz w:val="20"/>
          <w:szCs w:val="20"/>
        </w:rPr>
        <w:t xml:space="preserve"> </w:t>
      </w:r>
    </w:p>
    <w:p w14:paraId="597BFFDF" w14:textId="360B2F5E" w:rsidR="00534CB2" w:rsidRPr="00534CB2" w:rsidRDefault="00534CB2" w:rsidP="004E28B0">
      <w:pPr>
        <w:spacing w:after="160"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proofErr w:type="spellStart"/>
      <w:r w:rsidR="6A842BA2" w:rsidRPr="50192890">
        <w:rPr>
          <w:rFonts w:eastAsia="Calibri" w:cs="Arial"/>
          <w:sz w:val="20"/>
          <w:szCs w:val="20"/>
        </w:rPr>
        <w:t>Email</w:t>
      </w:r>
      <w:proofErr w:type="spellEnd"/>
      <w:r w:rsidR="6A842BA2" w:rsidRPr="50192890">
        <w:rPr>
          <w:rFonts w:eastAsia="Calibri" w:cs="Arial"/>
          <w:sz w:val="20"/>
          <w:szCs w:val="20"/>
        </w:rPr>
        <w:t xml:space="preserve"> do primeiro autor</w:t>
      </w:r>
      <w:r w:rsidR="004E28B0">
        <w:rPr>
          <w:rFonts w:eastAsia="Calibri" w:cs="Arial"/>
          <w:sz w:val="20"/>
          <w:szCs w:val="20"/>
        </w:rPr>
        <w:t xml:space="preserve">: </w:t>
      </w:r>
      <w:r w:rsidR="004E28B0" w:rsidRPr="004E28B0">
        <w:rPr>
          <w:rFonts w:eastAsia="Calibri" w:cs="Arial"/>
          <w:sz w:val="20"/>
          <w:szCs w:val="20"/>
        </w:rPr>
        <w:t>sulanyferreira@yahoo.com.br</w:t>
      </w:r>
      <w:r w:rsidR="005E2B5F">
        <w:rPr>
          <w:rFonts w:eastAsia="Calibri" w:cs="Arial"/>
          <w:sz w:val="20"/>
          <w:szCs w:val="20"/>
        </w:rPr>
        <w:t xml:space="preserve"> </w:t>
      </w:r>
      <w:r w:rsidR="6A842BA2" w:rsidRPr="50192890">
        <w:rPr>
          <w:rFonts w:eastAsia="Calibri" w:cs="Arial"/>
          <w:sz w:val="20"/>
          <w:szCs w:val="20"/>
        </w:rPr>
        <w:t>*</w:t>
      </w:r>
      <w:r w:rsidRPr="50192890">
        <w:rPr>
          <w:rFonts w:eastAsia="Calibri" w:cs="Arial"/>
          <w:sz w:val="20"/>
          <w:szCs w:val="20"/>
        </w:rPr>
        <w:t xml:space="preserve">E-mail: </w:t>
      </w:r>
      <w:hyperlink r:id="rId8" w:history="1">
        <w:r w:rsidR="00107A77" w:rsidRPr="00E344ED">
          <w:rPr>
            <w:rStyle w:val="Hyperlink"/>
            <w:rFonts w:eastAsia="Calibri" w:cs="Arial"/>
            <w:sz w:val="20"/>
            <w:szCs w:val="20"/>
          </w:rPr>
          <w:t>raquel.silva@cesmac.edu.br</w:t>
        </w:r>
      </w:hyperlink>
      <w:r w:rsidR="00107A77">
        <w:rPr>
          <w:rFonts w:eastAsia="Calibri" w:cs="Arial"/>
          <w:sz w:val="20"/>
          <w:szCs w:val="20"/>
        </w:rPr>
        <w:t xml:space="preserve"> 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10E65E50" w:rsidR="00534CB2" w:rsidRPr="001825F4" w:rsidRDefault="00534CB2" w:rsidP="00A134F5">
      <w:pPr>
        <w:spacing w:after="160" w:line="259" w:lineRule="auto"/>
        <w:rPr>
          <w:rFonts w:cs="Arial"/>
          <w:b/>
          <w:bCs/>
          <w:color w:val="000000" w:themeColor="text1"/>
          <w:lang w:val="pt-PT"/>
        </w:rPr>
      </w:pPr>
      <w:r w:rsidRPr="005E2B5F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C003CF" w:rsidRPr="00B3288D">
        <w:rPr>
          <w:rFonts w:cs="Arial"/>
          <w:lang w:val="pt-PT"/>
        </w:rPr>
        <w:t>A classificação CEAP (Clinical-Etiology-Anatomy-Pathophysiology)</w:t>
      </w:r>
      <w:r w:rsidR="00107A77">
        <w:rPr>
          <w:rFonts w:cs="Arial"/>
          <w:lang w:val="pt-PT"/>
        </w:rPr>
        <w:t xml:space="preserve"> </w:t>
      </w:r>
      <w:r w:rsidR="00107A77" w:rsidRPr="00107A77">
        <w:rPr>
          <w:rFonts w:cs="Arial"/>
          <w:lang w:val="pt-PT"/>
        </w:rPr>
        <w:t xml:space="preserve">é utilizada internacionalmente em pacientes com doença venosa crônica de membros inferiores, descrevendo os </w:t>
      </w:r>
      <w:r w:rsidR="00107A77" w:rsidRPr="00107A77">
        <w:rPr>
          <w:rFonts w:cs="Arial"/>
          <w:lang w:val="pt-PT"/>
        </w:rPr>
        <w:t>aspetos</w:t>
      </w:r>
      <w:r w:rsidR="00107A77" w:rsidRPr="00107A77">
        <w:rPr>
          <w:rFonts w:cs="Arial"/>
          <w:lang w:val="pt-PT"/>
        </w:rPr>
        <w:t xml:space="preserve"> clínicos etiológicos, anatômicos e fisiopatológicos do acometimento venoso instalado. Esse padrão foi desenvolvido em 1993 e, assim como o conhecimento das injúrias ligadas a essa doença vão se aprofundando, surge a necessidade de uma nova atualização desta classificação, a fim de promover um melhor </w:t>
      </w:r>
      <w:proofErr w:type="spellStart"/>
      <w:r w:rsidR="00107A77" w:rsidRPr="00107A77">
        <w:rPr>
          <w:rFonts w:cs="Arial"/>
          <w:lang w:val="pt-PT"/>
        </w:rPr>
        <w:t>estadiamento</w:t>
      </w:r>
      <w:proofErr w:type="spellEnd"/>
      <w:r w:rsidR="00107A77" w:rsidRPr="00107A77">
        <w:rPr>
          <w:rFonts w:cs="Arial"/>
          <w:lang w:val="pt-PT"/>
        </w:rPr>
        <w:t xml:space="preserve"> situacional do paciente</w:t>
      </w:r>
      <w:r w:rsidR="00C003CF" w:rsidRPr="00B3288D">
        <w:rPr>
          <w:rFonts w:cs="Arial"/>
          <w:lang w:val="pt-PT"/>
        </w:rPr>
        <w:t>.</w:t>
      </w:r>
      <w:r w:rsidR="00107A77">
        <w:rPr>
          <w:rFonts w:cs="Arial"/>
          <w:lang w:val="pt-PT"/>
        </w:rPr>
        <w:t xml:space="preserve"> </w:t>
      </w:r>
      <w:r w:rsidR="00A134F5" w:rsidRPr="00A134F5">
        <w:rPr>
          <w:rFonts w:cs="Arial"/>
          <w:b/>
          <w:bCs/>
          <w:lang w:val="pt-PT"/>
        </w:rPr>
        <w:t>Objetivo:</w:t>
      </w:r>
      <w:r w:rsidR="00A134F5">
        <w:rPr>
          <w:rFonts w:cs="Arial"/>
          <w:lang w:val="pt-PT"/>
        </w:rPr>
        <w:t xml:space="preserve"> Descrever a última atualização da Classificação CEAP para avaliaç</w:t>
      </w:r>
      <w:r w:rsidR="004E28B0">
        <w:rPr>
          <w:rFonts w:cs="Arial"/>
          <w:lang w:val="pt-PT"/>
        </w:rPr>
        <w:t>ã</w:t>
      </w:r>
      <w:r w:rsidR="00A134F5">
        <w:rPr>
          <w:rFonts w:cs="Arial"/>
          <w:lang w:val="pt-PT"/>
        </w:rPr>
        <w:t xml:space="preserve">o de pacientes com Insuficiência Venosa Crônica. 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A134F5">
        <w:rPr>
          <w:rFonts w:cs="Arial"/>
          <w:b/>
          <w:bCs/>
          <w:color w:val="000000"/>
          <w:sz w:val="22"/>
          <w:szCs w:val="22"/>
        </w:rPr>
        <w:t> </w:t>
      </w:r>
      <w:r w:rsidR="00A134F5" w:rsidRPr="00A134F5">
        <w:rPr>
          <w:rFonts w:cs="Arial"/>
          <w:color w:val="000000"/>
        </w:rPr>
        <w:t xml:space="preserve">A revisão integrativa da literatura foi realizada nas bases de dados Medline (via </w:t>
      </w:r>
      <w:proofErr w:type="spellStart"/>
      <w:r w:rsidR="00A134F5" w:rsidRPr="00A134F5">
        <w:rPr>
          <w:rFonts w:cs="Arial"/>
          <w:color w:val="000000"/>
        </w:rPr>
        <w:t>PubMed</w:t>
      </w:r>
      <w:proofErr w:type="spellEnd"/>
      <w:r w:rsidR="00A134F5" w:rsidRPr="00A134F5">
        <w:rPr>
          <w:rFonts w:cs="Arial"/>
          <w:color w:val="000000"/>
        </w:rPr>
        <w:t xml:space="preserve">) e </w:t>
      </w:r>
      <w:proofErr w:type="spellStart"/>
      <w:r w:rsidR="00A134F5" w:rsidRPr="00A134F5">
        <w:rPr>
          <w:rFonts w:cs="Arial"/>
          <w:color w:val="000000"/>
        </w:rPr>
        <w:t>Scielo</w:t>
      </w:r>
      <w:proofErr w:type="spellEnd"/>
      <w:r w:rsidR="00A134F5" w:rsidRPr="00A134F5">
        <w:rPr>
          <w:rFonts w:cs="Arial"/>
          <w:color w:val="000000"/>
        </w:rPr>
        <w:t>. Utilizou-se a estratégia de busca através dos termos:</w:t>
      </w:r>
      <w:r w:rsidR="00A134F5" w:rsidRPr="00A134F5">
        <w:rPr>
          <w:rFonts w:cs="Arial"/>
          <w:lang w:val="pt-PT"/>
        </w:rPr>
        <w:t xml:space="preserve"> </w:t>
      </w:r>
      <w:r w:rsidR="00A134F5" w:rsidRPr="00B3288D">
        <w:rPr>
          <w:rFonts w:cs="Arial"/>
          <w:lang w:val="pt-PT"/>
        </w:rPr>
        <w:t>Doença venosa crônica; Classificação de doenças</w:t>
      </w:r>
      <w:r w:rsidR="001825F4">
        <w:rPr>
          <w:rFonts w:cs="Arial"/>
          <w:lang w:val="pt-PT"/>
        </w:rPr>
        <w:t xml:space="preserve"> </w:t>
      </w:r>
      <w:r w:rsidR="00250875">
        <w:rPr>
          <w:rFonts w:cs="Arial"/>
          <w:lang w:val="pt-PT"/>
        </w:rPr>
        <w:t xml:space="preserve">e </w:t>
      </w:r>
      <w:r w:rsidR="00A134F5" w:rsidRPr="00B3288D">
        <w:rPr>
          <w:rFonts w:cs="Arial"/>
          <w:lang w:val="pt-PT"/>
        </w:rPr>
        <w:t>Varizes</w:t>
      </w:r>
      <w:r w:rsidR="00A134F5" w:rsidRPr="00A134F5">
        <w:rPr>
          <w:rFonts w:cs="Arial"/>
          <w:color w:val="000000"/>
        </w:rPr>
        <w:t>, associados ao operador booleano AND, com a seleção de artigos de</w:t>
      </w:r>
      <w:r w:rsidR="00250875">
        <w:rPr>
          <w:rFonts w:cs="Arial"/>
          <w:color w:val="000000"/>
        </w:rPr>
        <w:t xml:space="preserve"> </w:t>
      </w:r>
      <w:r w:rsidR="00A134F5" w:rsidRPr="00A134F5">
        <w:rPr>
          <w:rFonts w:cs="Arial"/>
          <w:color w:val="000000"/>
        </w:rPr>
        <w:t>20</w:t>
      </w:r>
      <w:r w:rsidR="00250875">
        <w:rPr>
          <w:rFonts w:cs="Arial"/>
          <w:color w:val="000000"/>
        </w:rPr>
        <w:t>1</w:t>
      </w:r>
      <w:r w:rsidR="00022F78">
        <w:rPr>
          <w:rFonts w:cs="Arial"/>
          <w:color w:val="000000"/>
        </w:rPr>
        <w:t>7</w:t>
      </w:r>
      <w:r w:rsidR="00250875">
        <w:rPr>
          <w:rFonts w:cs="Arial"/>
          <w:color w:val="000000"/>
        </w:rPr>
        <w:t>- 202</w:t>
      </w:r>
      <w:r w:rsidR="00022F78">
        <w:rPr>
          <w:rFonts w:cs="Arial"/>
          <w:color w:val="000000"/>
        </w:rPr>
        <w:t>1</w:t>
      </w:r>
      <w:r w:rsidR="00A134F5" w:rsidRPr="00A134F5">
        <w:rPr>
          <w:rFonts w:cs="Arial"/>
          <w:color w:val="000000"/>
        </w:rPr>
        <w:t>. Foram estabelecidas etapas de leitura de títulos, resumos e artigos completos.</w:t>
      </w:r>
      <w:r w:rsidR="00A134F5">
        <w:rPr>
          <w:rFonts w:cs="Arial"/>
          <w:b/>
          <w:bCs/>
          <w:color w:val="000000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250875">
        <w:rPr>
          <w:rFonts w:eastAsia="Calibri" w:cs="Arial"/>
          <w:sz w:val="22"/>
          <w:szCs w:val="22"/>
        </w:rPr>
        <w:t xml:space="preserve"> </w:t>
      </w:r>
      <w:r w:rsidR="00250875" w:rsidRPr="00250875">
        <w:rPr>
          <w:rFonts w:eastAsia="Calibri" w:cs="Arial"/>
        </w:rPr>
        <w:t xml:space="preserve">O estudo foi </w:t>
      </w:r>
      <w:r w:rsidR="00250875" w:rsidRPr="00250875">
        <w:rPr>
          <w:rFonts w:cs="Arial"/>
          <w:lang w:val="pt-PT"/>
        </w:rPr>
        <w:t>g</w:t>
      </w:r>
      <w:r w:rsidR="00250875" w:rsidRPr="00B3288D">
        <w:rPr>
          <w:rFonts w:cs="Arial"/>
          <w:lang w:val="pt-PT"/>
        </w:rPr>
        <w:t>uiado por princípios básicos de preservação da reprodutibilidade do CEAP</w:t>
      </w:r>
      <w:r w:rsidR="00250875">
        <w:rPr>
          <w:rFonts w:cs="Arial"/>
          <w:lang w:val="pt-PT"/>
        </w:rPr>
        <w:t>:</w:t>
      </w:r>
      <w:r w:rsidR="004E28B0">
        <w:rPr>
          <w:rFonts w:cs="Arial"/>
          <w:lang w:val="pt-PT"/>
        </w:rPr>
        <w:t xml:space="preserve"> </w:t>
      </w:r>
      <w:r w:rsidR="00250875">
        <w:rPr>
          <w:rFonts w:cs="Arial"/>
          <w:lang w:val="pt-PT"/>
        </w:rPr>
        <w:t xml:space="preserve">ser </w:t>
      </w:r>
      <w:r w:rsidR="00250875" w:rsidRPr="00B3288D">
        <w:rPr>
          <w:rFonts w:cs="Arial"/>
          <w:lang w:val="pt-PT"/>
        </w:rPr>
        <w:t>compati</w:t>
      </w:r>
      <w:r w:rsidR="00250875">
        <w:rPr>
          <w:rFonts w:cs="Arial"/>
          <w:lang w:val="pt-PT"/>
        </w:rPr>
        <w:t>vel</w:t>
      </w:r>
      <w:r w:rsidR="00250875" w:rsidRPr="00B3288D">
        <w:rPr>
          <w:rFonts w:cs="Arial"/>
          <w:lang w:val="pt-PT"/>
        </w:rPr>
        <w:t xml:space="preserve"> com </w:t>
      </w:r>
      <w:r w:rsidR="00250875">
        <w:rPr>
          <w:rFonts w:cs="Arial"/>
          <w:lang w:val="pt-PT"/>
        </w:rPr>
        <w:t xml:space="preserve">as </w:t>
      </w:r>
      <w:r w:rsidR="00250875" w:rsidRPr="00B3288D">
        <w:rPr>
          <w:rFonts w:cs="Arial"/>
          <w:lang w:val="pt-PT"/>
        </w:rPr>
        <w:t>versões anteriores, baseado em evidências e</w:t>
      </w:r>
      <w:r w:rsidR="00250875">
        <w:rPr>
          <w:rFonts w:cs="Arial"/>
          <w:lang w:val="pt-PT"/>
        </w:rPr>
        <w:t xml:space="preserve"> ser </w:t>
      </w:r>
      <w:r w:rsidR="00250875" w:rsidRPr="00B3288D">
        <w:rPr>
          <w:rFonts w:cs="Arial"/>
          <w:lang w:val="pt-PT"/>
        </w:rPr>
        <w:t>prático para uso clínico</w:t>
      </w:r>
      <w:r w:rsidR="00250875">
        <w:rPr>
          <w:rFonts w:cs="Arial"/>
          <w:lang w:val="pt-PT"/>
        </w:rPr>
        <w:t xml:space="preserve">. </w:t>
      </w:r>
      <w:r w:rsidR="00250875" w:rsidRPr="00B3288D">
        <w:rPr>
          <w:rFonts w:cs="Arial"/>
          <w:lang w:val="pt-PT"/>
        </w:rPr>
        <w:t>Essas mudanças incluem a adição de Corona phlebectatica como a subclasse clínica C4c</w:t>
      </w:r>
      <w:r w:rsidR="00250875" w:rsidRPr="009469DE">
        <w:rPr>
          <w:rFonts w:cs="Arial"/>
          <w:lang w:val="pt-PT"/>
        </w:rPr>
        <w:t xml:space="preserve">- </w:t>
      </w:r>
      <w:r w:rsidR="00250875">
        <w:rPr>
          <w:rFonts w:cs="Arial"/>
          <w:lang w:val="pt-PT"/>
        </w:rPr>
        <w:t xml:space="preserve"> </w:t>
      </w:r>
      <w:r w:rsidR="004E28B0">
        <w:rPr>
          <w:rFonts w:cs="Arial"/>
          <w:lang w:val="pt-PT"/>
        </w:rPr>
        <w:lastRenderedPageBreak/>
        <w:t>a qual engloba</w:t>
      </w:r>
      <w:r w:rsidR="00250875" w:rsidRPr="009469DE">
        <w:rPr>
          <w:rFonts w:cs="Arial"/>
          <w:color w:val="000000" w:themeColor="text1"/>
          <w:shd w:val="clear" w:color="auto" w:fill="FFFFFF"/>
        </w:rPr>
        <w:t> </w:t>
      </w:r>
      <w:r w:rsidR="00250875" w:rsidRPr="009469DE">
        <w:rPr>
          <w:rStyle w:val="Forte"/>
          <w:rFonts w:cs="Arial"/>
          <w:b w:val="0"/>
          <w:bCs w:val="0"/>
          <w:color w:val="000000" w:themeColor="text1"/>
          <w:shd w:val="clear" w:color="auto" w:fill="FFFFFF"/>
        </w:rPr>
        <w:t>telangiectasias, veias dilatadas e danos capilares (máculas purpúricas ou acastanhadas) secundárias à hipertensão venosa</w:t>
      </w:r>
      <w:r w:rsidR="00250875" w:rsidRPr="009469DE">
        <w:rPr>
          <w:rFonts w:cs="Arial"/>
          <w:b/>
          <w:bCs/>
          <w:color w:val="000000" w:themeColor="text1"/>
          <w:shd w:val="clear" w:color="auto" w:fill="FFFFFF"/>
        </w:rPr>
        <w:t> </w:t>
      </w:r>
      <w:r w:rsidR="00250875" w:rsidRPr="009469DE">
        <w:rPr>
          <w:rFonts w:cs="Arial"/>
          <w:color w:val="000000" w:themeColor="text1"/>
          <w:shd w:val="clear" w:color="auto" w:fill="FFFFFF"/>
        </w:rPr>
        <w:t>que se distribuem em leque na face interna ou externa do </w:t>
      </w:r>
      <w:r w:rsidR="00250875" w:rsidRPr="009469DE">
        <w:rPr>
          <w:rStyle w:val="Forte"/>
          <w:rFonts w:cs="Arial"/>
          <w:b w:val="0"/>
          <w:bCs w:val="0"/>
          <w:color w:val="000000" w:themeColor="text1"/>
          <w:shd w:val="clear" w:color="auto" w:fill="FFFFFF"/>
        </w:rPr>
        <w:t xml:space="preserve">tornozelo e </w:t>
      </w:r>
      <w:r w:rsidR="00250875" w:rsidRPr="006E5F3A">
        <w:rPr>
          <w:rStyle w:val="Forte"/>
          <w:rFonts w:cs="Arial"/>
          <w:b w:val="0"/>
          <w:bCs w:val="0"/>
          <w:color w:val="000000" w:themeColor="text1"/>
          <w:shd w:val="clear" w:color="auto" w:fill="FFFFFF"/>
        </w:rPr>
        <w:t>pé</w:t>
      </w:r>
      <w:r w:rsidR="004E28B0">
        <w:rPr>
          <w:rStyle w:val="Forte"/>
          <w:rFonts w:cs="Arial"/>
          <w:b w:val="0"/>
          <w:bCs w:val="0"/>
          <w:color w:val="000000" w:themeColor="text1"/>
          <w:shd w:val="clear" w:color="auto" w:fill="FFFFFF"/>
        </w:rPr>
        <w:t>,</w:t>
      </w:r>
      <w:r w:rsidR="00250875" w:rsidRPr="006E5F3A">
        <w:rPr>
          <w:rStyle w:val="Forte"/>
          <w:rFonts w:cs="Arial"/>
          <w:b w:val="0"/>
          <w:bCs w:val="0"/>
          <w:color w:val="000000" w:themeColor="text1"/>
          <w:shd w:val="clear" w:color="auto" w:fill="FFFFFF"/>
        </w:rPr>
        <w:t xml:space="preserve"> </w:t>
      </w:r>
      <w:bookmarkStart w:id="0" w:name="_Hlk116573337"/>
      <w:r w:rsidR="001825F4">
        <w:rPr>
          <w:rStyle w:val="Forte"/>
          <w:rFonts w:cs="Arial"/>
          <w:b w:val="0"/>
          <w:bCs w:val="0"/>
          <w:color w:val="000000" w:themeColor="text1"/>
          <w:sz w:val="23"/>
          <w:szCs w:val="23"/>
          <w:shd w:val="clear" w:color="auto" w:fill="FFFFFF"/>
        </w:rPr>
        <w:t xml:space="preserve">e o estudo </w:t>
      </w:r>
      <w:r w:rsidR="001825F4" w:rsidRPr="00280999">
        <w:rPr>
          <w:rStyle w:val="Forte"/>
          <w:rFonts w:cs="Arial"/>
          <w:b w:val="0"/>
          <w:bCs w:val="0"/>
          <w:color w:val="000000" w:themeColor="text1"/>
          <w:sz w:val="23"/>
          <w:szCs w:val="23"/>
          <w:shd w:val="clear" w:color="auto" w:fill="FFFFFF"/>
        </w:rPr>
        <w:t>reconhece que é um marcador prognóstico na evolução da insuficiência venosa crônica</w:t>
      </w:r>
      <w:r w:rsidR="001825F4">
        <w:rPr>
          <w:rStyle w:val="Forte"/>
          <w:rFonts w:cs="Arial"/>
          <w:b w:val="0"/>
          <w:bCs w:val="0"/>
          <w:color w:val="000000" w:themeColor="text1"/>
          <w:sz w:val="23"/>
          <w:szCs w:val="23"/>
          <w:shd w:val="clear" w:color="auto" w:fill="FFFFFF"/>
        </w:rPr>
        <w:t>.</w:t>
      </w:r>
      <w:bookmarkEnd w:id="0"/>
      <w:r w:rsidR="001825F4">
        <w:rPr>
          <w:rFonts w:cs="Arial"/>
          <w:color w:val="000000" w:themeColor="text1"/>
          <w:lang w:val="pt-PT"/>
        </w:rPr>
        <w:t xml:space="preserve"> Outra modificação foi </w:t>
      </w:r>
      <w:r w:rsidR="00250875" w:rsidRPr="00B3288D">
        <w:rPr>
          <w:rFonts w:cs="Arial"/>
          <w:lang w:val="pt-PT"/>
        </w:rPr>
        <w:t>introdução do modificador "r" para varizes e úlceras venosas recorrentes e a substituição de descrições numéricas dos segmentos venosos por suas abreviações comuns</w:t>
      </w:r>
      <w:r w:rsidR="00250875" w:rsidRPr="009469DE">
        <w:rPr>
          <w:rFonts w:cs="Arial"/>
          <w:lang w:val="pt-PT"/>
        </w:rPr>
        <w:t>.</w:t>
      </w:r>
      <w:r w:rsidR="00250875">
        <w:rPr>
          <w:rFonts w:cs="Arial"/>
          <w:lang w:val="pt-PT"/>
        </w:rPr>
        <w:t xml:space="preserve"> </w:t>
      </w:r>
      <w:r w:rsidR="00250875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Conclusões</w:t>
      </w:r>
      <w:r w:rsidRPr="006E5F3A">
        <w:rPr>
          <w:rFonts w:eastAsia="Calibri" w:cs="Arial"/>
          <w:b/>
          <w:bCs/>
          <w:u w:val="single"/>
        </w:rPr>
        <w:t>:</w:t>
      </w:r>
      <w:r w:rsidRPr="006E5F3A">
        <w:rPr>
          <w:rFonts w:eastAsia="Calibri" w:cs="Arial"/>
        </w:rPr>
        <w:t xml:space="preserve"> </w:t>
      </w:r>
      <w:r w:rsidR="00E2492E" w:rsidRPr="006E5F3A">
        <w:rPr>
          <w:rFonts w:eastAsia="Calibri" w:cs="Arial"/>
        </w:rPr>
        <w:t xml:space="preserve">Foi </w:t>
      </w:r>
      <w:r w:rsidR="00E2492E">
        <w:rPr>
          <w:rFonts w:eastAsia="Calibri" w:cs="Arial"/>
        </w:rPr>
        <w:t>concluído</w:t>
      </w:r>
      <w:r w:rsidR="006E5F3A">
        <w:rPr>
          <w:rFonts w:cs="Arial"/>
          <w:color w:val="222222"/>
          <w:shd w:val="clear" w:color="auto" w:fill="FFFFFF"/>
        </w:rPr>
        <w:t xml:space="preserve"> com o estudo </w:t>
      </w:r>
      <w:r w:rsidR="00E2492E">
        <w:rPr>
          <w:rFonts w:cs="Arial"/>
          <w:color w:val="222222"/>
          <w:shd w:val="clear" w:color="auto" w:fill="FFFFFF"/>
        </w:rPr>
        <w:t xml:space="preserve">que </w:t>
      </w:r>
      <w:r w:rsidR="00E2492E" w:rsidRPr="006E5F3A">
        <w:rPr>
          <w:rFonts w:cs="Arial"/>
          <w:color w:val="222222"/>
          <w:shd w:val="clear" w:color="auto" w:fill="FFFFFF"/>
        </w:rPr>
        <w:t>a</w:t>
      </w:r>
      <w:r w:rsidR="006E5F3A" w:rsidRPr="006E5F3A">
        <w:rPr>
          <w:rFonts w:cs="Arial"/>
          <w:color w:val="222222"/>
          <w:shd w:val="clear" w:color="auto" w:fill="FFFFFF"/>
        </w:rPr>
        <w:t xml:space="preserve"> alteração 4c</w:t>
      </w:r>
      <w:r w:rsidR="006E5F3A">
        <w:rPr>
          <w:rFonts w:cs="Arial"/>
          <w:color w:val="222222"/>
          <w:shd w:val="clear" w:color="auto" w:fill="FFFFFF"/>
        </w:rPr>
        <w:t xml:space="preserve">- </w:t>
      </w:r>
      <w:r w:rsidR="006E5F3A" w:rsidRPr="00B3288D">
        <w:rPr>
          <w:rFonts w:cs="Arial"/>
          <w:lang w:val="pt-PT"/>
        </w:rPr>
        <w:t>Corona phlebectatica</w:t>
      </w:r>
      <w:r w:rsidR="004E28B0">
        <w:rPr>
          <w:rFonts w:cs="Arial"/>
          <w:color w:val="222222"/>
          <w:shd w:val="clear" w:color="auto" w:fill="FFFFFF"/>
        </w:rPr>
        <w:t xml:space="preserve"> </w:t>
      </w:r>
      <w:r w:rsidR="006E5F3A">
        <w:rPr>
          <w:rFonts w:cs="Arial"/>
          <w:color w:val="222222"/>
          <w:shd w:val="clear" w:color="auto" w:fill="FFFFFF"/>
        </w:rPr>
        <w:t xml:space="preserve">é um importante </w:t>
      </w:r>
      <w:r w:rsidR="006E5F3A" w:rsidRPr="006E5F3A">
        <w:rPr>
          <w:rStyle w:val="Forte"/>
          <w:rFonts w:cs="Arial"/>
          <w:b w:val="0"/>
          <w:bCs w:val="0"/>
          <w:color w:val="000000" w:themeColor="text1"/>
          <w:shd w:val="clear" w:color="auto" w:fill="FFFFFF"/>
        </w:rPr>
        <w:t>marcador clínico com alto valor preditivo para o aparecimento de alterações cutâneas e desenvolvimento de úlceras venosas</w:t>
      </w:r>
      <w:r w:rsidR="006E5F3A">
        <w:rPr>
          <w:rFonts w:cs="Arial"/>
          <w:b/>
          <w:bCs/>
          <w:color w:val="000000" w:themeColor="text1"/>
          <w:shd w:val="clear" w:color="auto" w:fill="FFFFFF"/>
        </w:rPr>
        <w:t xml:space="preserve">, </w:t>
      </w:r>
      <w:r w:rsidR="006E5F3A">
        <w:rPr>
          <w:rFonts w:cs="Arial"/>
          <w:color w:val="000000" w:themeColor="text1"/>
          <w:shd w:val="clear" w:color="auto" w:fill="FFFFFF"/>
        </w:rPr>
        <w:t xml:space="preserve">estando de fato </w:t>
      </w:r>
      <w:r w:rsidR="006E5F3A" w:rsidRPr="006E5F3A">
        <w:rPr>
          <w:rFonts w:cs="Arial"/>
          <w:color w:val="222222"/>
          <w:shd w:val="clear" w:color="auto" w:fill="FFFFFF"/>
        </w:rPr>
        <w:t>associada à presença de refluxo safeno ou perfurantes incompetentes</w:t>
      </w:r>
      <w:r w:rsidR="006E5F3A">
        <w:rPr>
          <w:rFonts w:cs="Arial"/>
          <w:color w:val="222222"/>
          <w:shd w:val="clear" w:color="auto" w:fill="FFFFFF"/>
        </w:rPr>
        <w:t>.</w:t>
      </w:r>
    </w:p>
    <w:p w14:paraId="2EFF805A" w14:textId="03861160" w:rsidR="00534CB2" w:rsidRPr="005E2B5F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</w:rPr>
        <w:t>Palavras-chave:</w:t>
      </w:r>
      <w:r w:rsidR="000277A6">
        <w:rPr>
          <w:rFonts w:eastAsia="Calibri" w:cs="Arial"/>
          <w:b/>
          <w:bCs/>
          <w:sz w:val="22"/>
          <w:szCs w:val="22"/>
        </w:rPr>
        <w:t xml:space="preserve"> </w:t>
      </w:r>
      <w:r w:rsidR="001825F4" w:rsidRPr="00B3288D">
        <w:rPr>
          <w:rFonts w:cs="Arial"/>
          <w:lang w:val="pt-PT"/>
        </w:rPr>
        <w:t>Doença venosa crônica</w:t>
      </w:r>
      <w:r w:rsidR="001825F4">
        <w:rPr>
          <w:rFonts w:cs="Arial"/>
          <w:lang w:val="pt-PT"/>
        </w:rPr>
        <w:t>.</w:t>
      </w:r>
      <w:r w:rsidR="001825F4" w:rsidRPr="00B3288D">
        <w:rPr>
          <w:rFonts w:cs="Arial"/>
          <w:lang w:val="pt-PT"/>
        </w:rPr>
        <w:t xml:space="preserve"> Classificação de doenças</w:t>
      </w:r>
      <w:r w:rsidR="001825F4">
        <w:rPr>
          <w:rFonts w:cs="Arial"/>
          <w:lang w:val="pt-PT"/>
        </w:rPr>
        <w:t xml:space="preserve">. </w:t>
      </w:r>
      <w:r w:rsidR="001825F4" w:rsidRPr="00B3288D">
        <w:rPr>
          <w:rFonts w:cs="Arial"/>
          <w:lang w:val="pt-PT"/>
        </w:rPr>
        <w:t>Varizes</w:t>
      </w:r>
      <w:r w:rsidRPr="005E2B5F">
        <w:rPr>
          <w:rFonts w:eastAsia="Calibri" w:cs="Arial"/>
          <w:sz w:val="22"/>
          <w:szCs w:val="22"/>
        </w:rPr>
        <w:t xml:space="preserve"> </w:t>
      </w:r>
      <w:r w:rsidR="001825F4">
        <w:rPr>
          <w:rFonts w:eastAsia="Calibri" w:cs="Arial"/>
          <w:sz w:val="22"/>
          <w:szCs w:val="22"/>
        </w:rPr>
        <w:t>.</w:t>
      </w:r>
    </w:p>
    <w:p w14:paraId="017EC17D" w14:textId="3ED8717E" w:rsidR="00534CB2" w:rsidRPr="005E2B5F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27ABA227" w14:textId="436C2F61" w:rsidR="001825F4" w:rsidRPr="009469DE" w:rsidRDefault="00D7675A" w:rsidP="001825F4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6DE88534" w14:textId="77777777" w:rsidR="001825F4" w:rsidRPr="009469DE" w:rsidRDefault="00000000" w:rsidP="001825F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cs="Arial"/>
          <w:color w:val="000000" w:themeColor="text1"/>
        </w:rPr>
      </w:pPr>
      <w:hyperlink r:id="rId9" w:history="1">
        <w:proofErr w:type="spellStart"/>
        <w:r w:rsidR="001825F4" w:rsidRPr="009469DE">
          <w:rPr>
            <w:rFonts w:cs="Arial"/>
            <w:color w:val="000000" w:themeColor="text1"/>
          </w:rPr>
          <w:t>Lurie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F, </w:t>
        </w:r>
        <w:proofErr w:type="spellStart"/>
        <w:r w:rsidR="001825F4" w:rsidRPr="009469DE">
          <w:rPr>
            <w:rFonts w:cs="Arial"/>
            <w:color w:val="000000" w:themeColor="text1"/>
          </w:rPr>
          <w:t>Passman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M, </w:t>
        </w:r>
        <w:proofErr w:type="spellStart"/>
        <w:r w:rsidR="001825F4" w:rsidRPr="009469DE">
          <w:rPr>
            <w:rFonts w:cs="Arial"/>
            <w:color w:val="000000" w:themeColor="text1"/>
          </w:rPr>
          <w:t>Meisner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M, </w:t>
        </w:r>
        <w:proofErr w:type="spellStart"/>
        <w:r w:rsidR="001825F4" w:rsidRPr="009469DE">
          <w:rPr>
            <w:rFonts w:cs="Arial"/>
            <w:color w:val="000000" w:themeColor="text1"/>
          </w:rPr>
          <w:t>Dalsing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M, </w:t>
        </w:r>
        <w:proofErr w:type="spellStart"/>
        <w:r w:rsidR="001825F4" w:rsidRPr="009469DE">
          <w:rPr>
            <w:rFonts w:cs="Arial"/>
            <w:color w:val="000000" w:themeColor="text1"/>
          </w:rPr>
          <w:t>Masuda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E, </w:t>
        </w:r>
        <w:proofErr w:type="spellStart"/>
        <w:r w:rsidR="001825F4" w:rsidRPr="009469DE">
          <w:rPr>
            <w:rFonts w:cs="Arial"/>
            <w:color w:val="000000" w:themeColor="text1"/>
          </w:rPr>
          <w:t>Welch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H, Bush RL, </w:t>
        </w:r>
        <w:proofErr w:type="spellStart"/>
        <w:r w:rsidR="001825F4" w:rsidRPr="009469DE">
          <w:rPr>
            <w:rFonts w:cs="Arial"/>
            <w:color w:val="000000" w:themeColor="text1"/>
          </w:rPr>
          <w:t>Blebea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J, Carpentier PH, De </w:t>
        </w:r>
        <w:proofErr w:type="spellStart"/>
        <w:r w:rsidR="001825F4" w:rsidRPr="009469DE">
          <w:rPr>
            <w:rFonts w:cs="Arial"/>
            <w:color w:val="000000" w:themeColor="text1"/>
          </w:rPr>
          <w:t>Maeseneer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M, </w:t>
        </w:r>
        <w:proofErr w:type="spellStart"/>
        <w:r w:rsidR="001825F4" w:rsidRPr="009469DE">
          <w:rPr>
            <w:rFonts w:cs="Arial"/>
            <w:color w:val="000000" w:themeColor="text1"/>
          </w:rPr>
          <w:t>Gasparis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A, </w:t>
        </w:r>
        <w:proofErr w:type="spellStart"/>
        <w:r w:rsidR="001825F4" w:rsidRPr="009469DE">
          <w:rPr>
            <w:rFonts w:cs="Arial"/>
            <w:color w:val="000000" w:themeColor="text1"/>
          </w:rPr>
          <w:t>Labropoulos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N, </w:t>
        </w:r>
        <w:proofErr w:type="spellStart"/>
        <w:r w:rsidR="001825F4" w:rsidRPr="009469DE">
          <w:rPr>
            <w:rFonts w:cs="Arial"/>
            <w:color w:val="000000" w:themeColor="text1"/>
          </w:rPr>
          <w:t>Marston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WA, </w:t>
        </w:r>
        <w:proofErr w:type="spellStart"/>
        <w:r w:rsidR="001825F4" w:rsidRPr="009469DE">
          <w:rPr>
            <w:rFonts w:cs="Arial"/>
            <w:color w:val="000000" w:themeColor="text1"/>
          </w:rPr>
          <w:t>Rafetto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J, Santiago F, </w:t>
        </w:r>
        <w:proofErr w:type="spellStart"/>
        <w:r w:rsidR="001825F4" w:rsidRPr="009469DE">
          <w:rPr>
            <w:rFonts w:cs="Arial"/>
            <w:color w:val="000000" w:themeColor="text1"/>
          </w:rPr>
          <w:t>Shortell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C, </w:t>
        </w:r>
        <w:proofErr w:type="spellStart"/>
        <w:r w:rsidR="001825F4" w:rsidRPr="009469DE">
          <w:rPr>
            <w:rFonts w:cs="Arial"/>
            <w:color w:val="000000" w:themeColor="text1"/>
          </w:rPr>
          <w:t>Uhl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JF, </w:t>
        </w:r>
        <w:proofErr w:type="spellStart"/>
        <w:r w:rsidR="001825F4" w:rsidRPr="009469DE">
          <w:rPr>
            <w:rFonts w:cs="Arial"/>
            <w:color w:val="000000" w:themeColor="text1"/>
          </w:rPr>
          <w:t>Urbanek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T, van </w:t>
        </w:r>
        <w:proofErr w:type="spellStart"/>
        <w:r w:rsidR="001825F4" w:rsidRPr="009469DE">
          <w:rPr>
            <w:rFonts w:cs="Arial"/>
            <w:color w:val="000000" w:themeColor="text1"/>
          </w:rPr>
          <w:t>Rij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A, </w:t>
        </w:r>
        <w:proofErr w:type="spellStart"/>
        <w:r w:rsidR="001825F4" w:rsidRPr="009469DE">
          <w:rPr>
            <w:rFonts w:cs="Arial"/>
            <w:color w:val="000000" w:themeColor="text1"/>
          </w:rPr>
          <w:t>Eklof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B, </w:t>
        </w:r>
        <w:proofErr w:type="spellStart"/>
        <w:r w:rsidR="001825F4" w:rsidRPr="009469DE">
          <w:rPr>
            <w:rFonts w:cs="Arial"/>
            <w:color w:val="000000" w:themeColor="text1"/>
          </w:rPr>
          <w:t>Gloviczki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P, </w:t>
        </w:r>
        <w:proofErr w:type="spellStart"/>
        <w:r w:rsidR="001825F4" w:rsidRPr="009469DE">
          <w:rPr>
            <w:rFonts w:cs="Arial"/>
            <w:color w:val="000000" w:themeColor="text1"/>
          </w:rPr>
          <w:t>Kistner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R, Lawrence P, </w:t>
        </w:r>
        <w:proofErr w:type="spellStart"/>
        <w:r w:rsidR="001825F4" w:rsidRPr="009469DE">
          <w:rPr>
            <w:rFonts w:cs="Arial"/>
            <w:color w:val="000000" w:themeColor="text1"/>
          </w:rPr>
          <w:t>Moneta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G, </w:t>
        </w:r>
        <w:proofErr w:type="spellStart"/>
        <w:r w:rsidR="001825F4" w:rsidRPr="009469DE">
          <w:rPr>
            <w:rFonts w:cs="Arial"/>
            <w:color w:val="000000" w:themeColor="text1"/>
          </w:rPr>
          <w:t>Padberg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F, Perrin M, Wakefield T. A atualização de 2020 do sistema de classificação CEAP e das normas de comunicação. J </w:t>
        </w:r>
        <w:proofErr w:type="spellStart"/>
        <w:r w:rsidR="001825F4" w:rsidRPr="009469DE">
          <w:rPr>
            <w:rFonts w:cs="Arial"/>
            <w:color w:val="000000" w:themeColor="text1"/>
          </w:rPr>
          <w:t>Vasc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</w:t>
        </w:r>
        <w:proofErr w:type="spellStart"/>
        <w:r w:rsidR="001825F4" w:rsidRPr="009469DE">
          <w:rPr>
            <w:rFonts w:cs="Arial"/>
            <w:color w:val="000000" w:themeColor="text1"/>
          </w:rPr>
          <w:t>Surg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Doença Linfática Venosa. 2020 maio;8(3):342-352.</w:t>
        </w:r>
      </w:hyperlink>
    </w:p>
    <w:p w14:paraId="0C4B0AB7" w14:textId="77777777" w:rsidR="001825F4" w:rsidRDefault="00000000" w:rsidP="001825F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cs="Arial"/>
          <w:color w:val="000000" w:themeColor="text1"/>
        </w:rPr>
      </w:pPr>
      <w:hyperlink r:id="rId10" w:history="1">
        <w:r w:rsidR="001825F4" w:rsidRPr="00107A77">
          <w:rPr>
            <w:rFonts w:cs="Arial"/>
            <w:color w:val="000000" w:themeColor="text1"/>
            <w:lang w:val="es-ES"/>
          </w:rPr>
          <w:t xml:space="preserve">Lurie F, De </w:t>
        </w:r>
        <w:proofErr w:type="spellStart"/>
        <w:r w:rsidR="001825F4" w:rsidRPr="00107A77">
          <w:rPr>
            <w:rFonts w:cs="Arial"/>
            <w:color w:val="000000" w:themeColor="text1"/>
            <w:lang w:val="es-ES"/>
          </w:rPr>
          <w:t>Maeseneer</w:t>
        </w:r>
        <w:proofErr w:type="spellEnd"/>
        <w:r w:rsidR="001825F4" w:rsidRPr="00107A77">
          <w:rPr>
            <w:rFonts w:cs="Arial"/>
            <w:color w:val="000000" w:themeColor="text1"/>
            <w:lang w:val="es-ES"/>
          </w:rPr>
          <w:t xml:space="preserve"> MGR. </w:t>
        </w:r>
        <w:r w:rsidR="001825F4" w:rsidRPr="009469DE">
          <w:rPr>
            <w:rFonts w:cs="Arial"/>
            <w:color w:val="000000" w:themeColor="text1"/>
          </w:rPr>
          <w:t>A atualização 2020 da classificação CEAP: o que há de novo? </w:t>
        </w:r>
        <w:proofErr w:type="spellStart"/>
        <w:r w:rsidR="001825F4" w:rsidRPr="009469DE">
          <w:rPr>
            <w:rFonts w:cs="Arial"/>
            <w:color w:val="000000" w:themeColor="text1"/>
          </w:rPr>
          <w:t>Eur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J </w:t>
        </w:r>
        <w:proofErr w:type="spellStart"/>
        <w:r w:rsidR="001825F4" w:rsidRPr="009469DE">
          <w:rPr>
            <w:rFonts w:cs="Arial"/>
            <w:color w:val="000000" w:themeColor="text1"/>
          </w:rPr>
          <w:t>Vasc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</w:t>
        </w:r>
        <w:proofErr w:type="spellStart"/>
        <w:r w:rsidR="001825F4" w:rsidRPr="009469DE">
          <w:rPr>
            <w:rFonts w:cs="Arial"/>
            <w:color w:val="000000" w:themeColor="text1"/>
          </w:rPr>
          <w:t>Endovasc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</w:t>
        </w:r>
        <w:proofErr w:type="spellStart"/>
        <w:r w:rsidR="001825F4" w:rsidRPr="009469DE">
          <w:rPr>
            <w:rFonts w:cs="Arial"/>
            <w:color w:val="000000" w:themeColor="text1"/>
          </w:rPr>
          <w:t>Surg</w:t>
        </w:r>
        <w:proofErr w:type="spellEnd"/>
        <w:r w:rsidR="001825F4" w:rsidRPr="009469DE">
          <w:rPr>
            <w:rFonts w:cs="Arial"/>
            <w:color w:val="000000" w:themeColor="text1"/>
          </w:rPr>
          <w:t>. 2020 junho;59(6):859-860. </w:t>
        </w:r>
        <w:proofErr w:type="spellStart"/>
        <w:r w:rsidR="001825F4" w:rsidRPr="009469DE">
          <w:rPr>
            <w:rFonts w:cs="Arial"/>
            <w:color w:val="000000" w:themeColor="text1"/>
          </w:rPr>
          <w:t>doi</w:t>
        </w:r>
        <w:proofErr w:type="spellEnd"/>
        <w:r w:rsidR="001825F4" w:rsidRPr="009469DE">
          <w:rPr>
            <w:rFonts w:cs="Arial"/>
            <w:color w:val="000000" w:themeColor="text1"/>
          </w:rPr>
          <w:t>: 10.1016/j.ejvs.2020.04.020. </w:t>
        </w:r>
        <w:proofErr w:type="spellStart"/>
        <w:r w:rsidR="001825F4" w:rsidRPr="009469DE">
          <w:rPr>
            <w:rFonts w:cs="Arial"/>
            <w:color w:val="000000" w:themeColor="text1"/>
          </w:rPr>
          <w:t>Epub</w:t>
        </w:r>
        <w:proofErr w:type="spellEnd"/>
        <w:r w:rsidR="001825F4" w:rsidRPr="009469DE">
          <w:rPr>
            <w:rFonts w:cs="Arial"/>
            <w:color w:val="000000" w:themeColor="text1"/>
          </w:rPr>
          <w:t xml:space="preserve"> 2020 4 de maio</w:t>
        </w:r>
      </w:hyperlink>
      <w:r w:rsidR="001825F4">
        <w:rPr>
          <w:rFonts w:cs="Arial"/>
          <w:color w:val="000000" w:themeColor="text1"/>
        </w:rPr>
        <w:t>.</w:t>
      </w:r>
    </w:p>
    <w:p w14:paraId="35E6B478" w14:textId="6A4EAEA5" w:rsidR="001825F4" w:rsidRPr="000277A6" w:rsidRDefault="001825F4" w:rsidP="001825F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cs="Arial"/>
          <w:color w:val="000000" w:themeColor="text1"/>
        </w:rPr>
      </w:pPr>
      <w:proofErr w:type="spellStart"/>
      <w:r w:rsidRPr="00107A77">
        <w:rPr>
          <w:rFonts w:cs="Arial"/>
          <w:color w:val="212121"/>
          <w:shd w:val="clear" w:color="auto" w:fill="FFFFFF"/>
          <w:lang w:val="en-US"/>
        </w:rPr>
        <w:t>Uhl</w:t>
      </w:r>
      <w:proofErr w:type="spellEnd"/>
      <w:r w:rsidRPr="00107A77">
        <w:rPr>
          <w:rFonts w:cs="Arial"/>
          <w:color w:val="212121"/>
          <w:shd w:val="clear" w:color="auto" w:fill="FFFFFF"/>
          <w:lang w:val="en-US"/>
        </w:rPr>
        <w:t xml:space="preserve"> JF, </w:t>
      </w:r>
      <w:proofErr w:type="spellStart"/>
      <w:r w:rsidRPr="00107A77">
        <w:rPr>
          <w:rFonts w:cs="Arial"/>
          <w:color w:val="212121"/>
          <w:shd w:val="clear" w:color="auto" w:fill="FFFFFF"/>
          <w:lang w:val="en-US"/>
        </w:rPr>
        <w:t>Cornu-Thenard</w:t>
      </w:r>
      <w:proofErr w:type="spellEnd"/>
      <w:r w:rsidRPr="00107A77">
        <w:rPr>
          <w:rFonts w:cs="Arial"/>
          <w:color w:val="212121"/>
          <w:shd w:val="clear" w:color="auto" w:fill="FFFFFF"/>
          <w:lang w:val="en-US"/>
        </w:rPr>
        <w:t xml:space="preserve"> A, </w:t>
      </w:r>
      <w:proofErr w:type="spellStart"/>
      <w:r w:rsidRPr="00107A77">
        <w:rPr>
          <w:rFonts w:cs="Arial"/>
          <w:color w:val="212121"/>
          <w:shd w:val="clear" w:color="auto" w:fill="FFFFFF"/>
          <w:lang w:val="en-US"/>
        </w:rPr>
        <w:t>Satger</w:t>
      </w:r>
      <w:proofErr w:type="spellEnd"/>
      <w:r w:rsidRPr="00107A77">
        <w:rPr>
          <w:rFonts w:cs="Arial"/>
          <w:color w:val="212121"/>
          <w:shd w:val="clear" w:color="auto" w:fill="FFFFFF"/>
          <w:lang w:val="en-US"/>
        </w:rPr>
        <w:t xml:space="preserve"> B, </w:t>
      </w:r>
      <w:proofErr w:type="spellStart"/>
      <w:r w:rsidRPr="00107A77">
        <w:rPr>
          <w:rFonts w:cs="Arial"/>
          <w:color w:val="212121"/>
          <w:shd w:val="clear" w:color="auto" w:fill="FFFFFF"/>
          <w:lang w:val="en-US"/>
        </w:rPr>
        <w:t>Carpentier</w:t>
      </w:r>
      <w:proofErr w:type="spellEnd"/>
      <w:r w:rsidRPr="00107A77">
        <w:rPr>
          <w:rFonts w:cs="Arial"/>
          <w:color w:val="212121"/>
          <w:shd w:val="clear" w:color="auto" w:fill="FFFFFF"/>
          <w:lang w:val="en-US"/>
        </w:rPr>
        <w:t xml:space="preserve"> PH. Clinical analysis of the corona </w:t>
      </w:r>
      <w:proofErr w:type="spellStart"/>
      <w:r w:rsidRPr="00107A77">
        <w:rPr>
          <w:rFonts w:cs="Arial"/>
          <w:color w:val="212121"/>
          <w:shd w:val="clear" w:color="auto" w:fill="FFFFFF"/>
          <w:lang w:val="en-US"/>
        </w:rPr>
        <w:t>phlebectatica</w:t>
      </w:r>
      <w:proofErr w:type="spellEnd"/>
      <w:r w:rsidRPr="00107A77">
        <w:rPr>
          <w:rFonts w:cs="Arial"/>
          <w:color w:val="212121"/>
          <w:shd w:val="clear" w:color="auto" w:fill="FFFFFF"/>
          <w:lang w:val="en-US"/>
        </w:rPr>
        <w:t xml:space="preserve">. </w:t>
      </w:r>
      <w:r w:rsidRPr="000277A6">
        <w:rPr>
          <w:rFonts w:cs="Arial"/>
          <w:color w:val="212121"/>
          <w:shd w:val="clear" w:color="auto" w:fill="FFFFFF"/>
        </w:rPr>
        <w:t xml:space="preserve">J </w:t>
      </w:r>
      <w:proofErr w:type="spellStart"/>
      <w:r w:rsidRPr="000277A6">
        <w:rPr>
          <w:rFonts w:cs="Arial"/>
          <w:color w:val="212121"/>
          <w:shd w:val="clear" w:color="auto" w:fill="FFFFFF"/>
        </w:rPr>
        <w:t>Vasc</w:t>
      </w:r>
      <w:proofErr w:type="spellEnd"/>
      <w:r w:rsidRPr="000277A6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0277A6">
        <w:rPr>
          <w:rFonts w:cs="Arial"/>
          <w:color w:val="212121"/>
          <w:shd w:val="clear" w:color="auto" w:fill="FFFFFF"/>
        </w:rPr>
        <w:t>Surg</w:t>
      </w:r>
      <w:proofErr w:type="spellEnd"/>
      <w:r w:rsidRPr="000277A6">
        <w:rPr>
          <w:rFonts w:cs="Arial"/>
          <w:color w:val="212121"/>
          <w:shd w:val="clear" w:color="auto" w:fill="FFFFFF"/>
        </w:rPr>
        <w:t>. 201</w:t>
      </w:r>
      <w:r w:rsidR="00022F78" w:rsidRPr="000277A6">
        <w:rPr>
          <w:rFonts w:cs="Arial"/>
          <w:color w:val="212121"/>
          <w:shd w:val="clear" w:color="auto" w:fill="FFFFFF"/>
        </w:rPr>
        <w:t>7</w:t>
      </w:r>
      <w:r w:rsidRPr="000277A6">
        <w:rPr>
          <w:rFonts w:cs="Arial"/>
          <w:color w:val="212121"/>
          <w:shd w:val="clear" w:color="auto" w:fill="FFFFFF"/>
        </w:rPr>
        <w:t xml:space="preserve"> Jan;55(1):150-3. </w:t>
      </w:r>
      <w:proofErr w:type="spellStart"/>
      <w:r w:rsidRPr="000277A6">
        <w:rPr>
          <w:rFonts w:cs="Arial"/>
          <w:color w:val="212121"/>
          <w:shd w:val="clear" w:color="auto" w:fill="FFFFFF"/>
        </w:rPr>
        <w:t>doi</w:t>
      </w:r>
      <w:proofErr w:type="spellEnd"/>
      <w:r w:rsidRPr="000277A6">
        <w:rPr>
          <w:rFonts w:cs="Arial"/>
          <w:color w:val="212121"/>
          <w:shd w:val="clear" w:color="auto" w:fill="FFFFFF"/>
        </w:rPr>
        <w:t>: 10.1016/j.jvs.2011.04.070.</w:t>
      </w:r>
    </w:p>
    <w:p w14:paraId="6F86054B" w14:textId="77777777" w:rsidR="000277A6" w:rsidRPr="009469DE" w:rsidRDefault="00000000" w:rsidP="000277A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cs="Arial"/>
          <w:color w:val="000000" w:themeColor="text1"/>
        </w:rPr>
      </w:pPr>
      <w:hyperlink r:id="rId11" w:history="1">
        <w:proofErr w:type="spellStart"/>
        <w:r w:rsidR="000277A6" w:rsidRPr="009469DE">
          <w:rPr>
            <w:rFonts w:cs="Arial"/>
            <w:color w:val="000000" w:themeColor="text1"/>
          </w:rPr>
          <w:t>Uhl</w:t>
        </w:r>
        <w:proofErr w:type="spellEnd"/>
        <w:r w:rsidR="000277A6" w:rsidRPr="009469DE">
          <w:rPr>
            <w:rFonts w:cs="Arial"/>
            <w:color w:val="000000" w:themeColor="text1"/>
          </w:rPr>
          <w:t>, Jean-François &amp; Cornu-</w:t>
        </w:r>
        <w:proofErr w:type="spellStart"/>
        <w:r w:rsidR="000277A6" w:rsidRPr="009469DE">
          <w:rPr>
            <w:rFonts w:cs="Arial"/>
            <w:color w:val="000000" w:themeColor="text1"/>
          </w:rPr>
          <w:t>Thénard</w:t>
        </w:r>
        <w:proofErr w:type="spellEnd"/>
        <w:r w:rsidR="000277A6" w:rsidRPr="009469DE">
          <w:rPr>
            <w:rFonts w:cs="Arial"/>
            <w:color w:val="000000" w:themeColor="text1"/>
          </w:rPr>
          <w:t xml:space="preserve">, André &amp; Carpentier, Patrick &amp; </w:t>
        </w:r>
        <w:proofErr w:type="spellStart"/>
        <w:r w:rsidR="000277A6" w:rsidRPr="009469DE">
          <w:rPr>
            <w:rFonts w:cs="Arial"/>
            <w:color w:val="000000" w:themeColor="text1"/>
          </w:rPr>
          <w:t>Antignani</w:t>
        </w:r>
        <w:proofErr w:type="spellEnd"/>
        <w:r w:rsidR="000277A6" w:rsidRPr="009469DE">
          <w:rPr>
            <w:rFonts w:cs="Arial"/>
            <w:color w:val="000000" w:themeColor="text1"/>
          </w:rPr>
          <w:t xml:space="preserve">, </w:t>
        </w:r>
        <w:proofErr w:type="spellStart"/>
        <w:r w:rsidR="000277A6" w:rsidRPr="009469DE">
          <w:rPr>
            <w:rFonts w:cs="Arial"/>
            <w:color w:val="000000" w:themeColor="text1"/>
          </w:rPr>
          <w:t>Pier</w:t>
        </w:r>
        <w:proofErr w:type="spellEnd"/>
        <w:r w:rsidR="000277A6" w:rsidRPr="009469DE">
          <w:rPr>
            <w:rFonts w:cs="Arial"/>
            <w:color w:val="000000" w:themeColor="text1"/>
          </w:rPr>
          <w:t>. (201</w:t>
        </w:r>
        <w:r w:rsidR="000277A6">
          <w:rPr>
            <w:rFonts w:cs="Arial"/>
            <w:color w:val="000000" w:themeColor="text1"/>
          </w:rPr>
          <w:t>7</w:t>
        </w:r>
        <w:r w:rsidR="000277A6" w:rsidRPr="009469DE">
          <w:rPr>
            <w:rFonts w:cs="Arial"/>
            <w:color w:val="000000" w:themeColor="text1"/>
          </w:rPr>
          <w:t xml:space="preserve">). Foco em corona </w:t>
        </w:r>
        <w:proofErr w:type="spellStart"/>
        <w:r w:rsidR="000277A6" w:rsidRPr="009469DE">
          <w:rPr>
            <w:rFonts w:cs="Arial"/>
            <w:color w:val="000000" w:themeColor="text1"/>
          </w:rPr>
          <w:t>phlebectatica</w:t>
        </w:r>
        <w:proofErr w:type="spellEnd"/>
        <w:r w:rsidR="000277A6" w:rsidRPr="009469DE">
          <w:rPr>
            <w:rFonts w:cs="Arial"/>
            <w:color w:val="000000" w:themeColor="text1"/>
          </w:rPr>
          <w:t>: diagnóstico, significado e valor preditivo em doenças venosas crônicas. Revisões em Medicina Vascular. 1. 38–42.</w:t>
        </w:r>
      </w:hyperlink>
    </w:p>
    <w:p w14:paraId="678EE221" w14:textId="77777777" w:rsidR="000277A6" w:rsidRPr="000277A6" w:rsidRDefault="000277A6" w:rsidP="000277A6">
      <w:pPr>
        <w:shd w:val="clear" w:color="auto" w:fill="FFFFFF"/>
        <w:spacing w:before="100" w:beforeAutospacing="1" w:after="100" w:afterAutospacing="1" w:line="390" w:lineRule="atLeast"/>
        <w:ind w:left="1035"/>
        <w:rPr>
          <w:rFonts w:cs="Arial"/>
          <w:color w:val="000000" w:themeColor="text1"/>
        </w:rPr>
      </w:pPr>
    </w:p>
    <w:p w14:paraId="6EA63CF4" w14:textId="77777777" w:rsidR="001825F4" w:rsidRPr="00B3288D" w:rsidRDefault="001825F4" w:rsidP="001825F4">
      <w:pPr>
        <w:rPr>
          <w:rFonts w:cs="Arial"/>
          <w:color w:val="000000" w:themeColor="text1"/>
        </w:rPr>
      </w:pPr>
    </w:p>
    <w:p w14:paraId="7A7D42EA" w14:textId="77777777" w:rsidR="001825F4" w:rsidRPr="00280999" w:rsidRDefault="001825F4" w:rsidP="001825F4">
      <w:pPr>
        <w:rPr>
          <w:rFonts w:cs="Arial"/>
          <w:color w:val="000000" w:themeColor="text1"/>
        </w:rPr>
      </w:pPr>
    </w:p>
    <w:p w14:paraId="53128261" w14:textId="77777777" w:rsidR="00CD07AD" w:rsidRDefault="00CD07AD" w:rsidP="00AD685C"/>
    <w:sectPr w:rsidR="00CD07AD" w:rsidSect="00E12960">
      <w:headerReference w:type="default" r:id="rId12"/>
      <w:footerReference w:type="default" r:id="rId13"/>
      <w:headerReference w:type="first" r:id="rId14"/>
      <w:footerReference w:type="first" r:id="rId15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B52C" w14:textId="77777777" w:rsidR="00391598" w:rsidRDefault="00391598" w:rsidP="00EE20DF">
      <w:pPr>
        <w:spacing w:line="240" w:lineRule="auto"/>
      </w:pPr>
      <w:r>
        <w:separator/>
      </w:r>
    </w:p>
  </w:endnote>
  <w:endnote w:type="continuationSeparator" w:id="0">
    <w:p w14:paraId="657B17BC" w14:textId="77777777" w:rsidR="00391598" w:rsidRDefault="00391598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2CB5" w14:textId="77777777" w:rsidR="00391598" w:rsidRDefault="00391598" w:rsidP="00EE20DF">
      <w:pPr>
        <w:spacing w:line="240" w:lineRule="auto"/>
      </w:pPr>
      <w:r>
        <w:separator/>
      </w:r>
    </w:p>
  </w:footnote>
  <w:footnote w:type="continuationSeparator" w:id="0">
    <w:p w14:paraId="0EDACFC0" w14:textId="77777777" w:rsidR="00391598" w:rsidRDefault="00391598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07E23"/>
    <w:multiLevelType w:val="multilevel"/>
    <w:tmpl w:val="A48E8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7"/>
  </w:num>
  <w:num w:numId="5" w16cid:durableId="922645339">
    <w:abstractNumId w:val="17"/>
  </w:num>
  <w:num w:numId="6" w16cid:durableId="901719359">
    <w:abstractNumId w:val="28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6"/>
  </w:num>
  <w:num w:numId="13" w16cid:durableId="936868291">
    <w:abstractNumId w:val="5"/>
  </w:num>
  <w:num w:numId="14" w16cid:durableId="2077894274">
    <w:abstractNumId w:val="25"/>
  </w:num>
  <w:num w:numId="15" w16cid:durableId="137650166">
    <w:abstractNumId w:val="23"/>
  </w:num>
  <w:num w:numId="16" w16cid:durableId="774666709">
    <w:abstractNumId w:val="18"/>
  </w:num>
  <w:num w:numId="17" w16cid:durableId="727724558">
    <w:abstractNumId w:val="11"/>
  </w:num>
  <w:num w:numId="18" w16cid:durableId="2091542279">
    <w:abstractNumId w:val="29"/>
  </w:num>
  <w:num w:numId="19" w16cid:durableId="907377764">
    <w:abstractNumId w:val="20"/>
  </w:num>
  <w:num w:numId="20" w16cid:durableId="14678885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2"/>
  </w:num>
  <w:num w:numId="25" w16cid:durableId="1448083525">
    <w:abstractNumId w:val="21"/>
  </w:num>
  <w:num w:numId="26" w16cid:durableId="23950166">
    <w:abstractNumId w:val="24"/>
  </w:num>
  <w:num w:numId="27" w16cid:durableId="2041933670">
    <w:abstractNumId w:val="26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9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 w:numId="34" w16cid:durableId="119874094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22F78"/>
    <w:rsid w:val="000277A6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2CB3"/>
    <w:rsid w:val="000E667F"/>
    <w:rsid w:val="000E66C6"/>
    <w:rsid w:val="000E7E21"/>
    <w:rsid w:val="000F2239"/>
    <w:rsid w:val="001000EB"/>
    <w:rsid w:val="0010326E"/>
    <w:rsid w:val="00107A77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825F4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27833"/>
    <w:rsid w:val="00236151"/>
    <w:rsid w:val="00237BB6"/>
    <w:rsid w:val="00237DBF"/>
    <w:rsid w:val="002405F9"/>
    <w:rsid w:val="0024113D"/>
    <w:rsid w:val="00243000"/>
    <w:rsid w:val="0024776A"/>
    <w:rsid w:val="00250875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1598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E28B0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E5F3A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27D9"/>
    <w:rsid w:val="00743952"/>
    <w:rsid w:val="00745255"/>
    <w:rsid w:val="00766C5D"/>
    <w:rsid w:val="00771EE7"/>
    <w:rsid w:val="007911B1"/>
    <w:rsid w:val="00794D9E"/>
    <w:rsid w:val="007A3F5B"/>
    <w:rsid w:val="007A69BC"/>
    <w:rsid w:val="007B0AE3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700ED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C4FE8"/>
    <w:rsid w:val="009D36A3"/>
    <w:rsid w:val="009F7848"/>
    <w:rsid w:val="00A00ECE"/>
    <w:rsid w:val="00A134F5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03CF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2492E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8149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07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quel.silva@cesmac.edu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ublication/259171863_Focus_on_corona_phlebectatica_Diagnostic_significance_and_predictive_value_in_chronic_venous_disorde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ubmed.ncbi.nlm.nih.gov/323762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2113854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625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camila farias</cp:lastModifiedBy>
  <cp:revision>3</cp:revision>
  <dcterms:created xsi:type="dcterms:W3CDTF">2022-10-18T18:37:00Z</dcterms:created>
  <dcterms:modified xsi:type="dcterms:W3CDTF">2022-10-18T18:47:00Z</dcterms:modified>
</cp:coreProperties>
</file>