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color w:val="ff0000"/>
          <w:sz w:val="28"/>
          <w:szCs w:val="28"/>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28"/>
          <w:szCs w:val="28"/>
          <w:rtl w:val="0"/>
        </w:rPr>
        <w:t xml:space="preserve">Genomic of the new genera </w:t>
      </w:r>
      <w:r w:rsidDel="00000000" w:rsidR="00000000" w:rsidRPr="00000000">
        <w:rPr>
          <w:b w:val="1"/>
          <w:bCs w:val="1"/>
          <w:i w:val="1"/>
          <w:iCs w:val="1"/>
          <w:sz w:val="28"/>
          <w:szCs w:val="28"/>
          <w:rtl w:val="0"/>
        </w:rPr>
        <w:t xml:space="preserve">Kalymmatonema</w:t>
      </w:r>
      <w:r w:rsidDel="00000000" w:rsidR="00000000" w:rsidRPr="00000000">
        <w:rPr>
          <w:b w:val="1"/>
          <w:bCs w:val="1"/>
          <w:sz w:val="28"/>
          <w:szCs w:val="28"/>
          <w:rtl w:val="0"/>
        </w:rPr>
        <w:t xml:space="preserve"> (Cyanobacteria) recurrent in semiarid to arid biocrusts</w:t>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ind w:left="360" w:firstLine="0"/>
        <w:rPr>
          <w:b w:val="1"/>
          <w:bCs w:val="1"/>
          <w:sz w:val="22"/>
          <w:szCs w:val="22"/>
        </w:rPr>
      </w:pPr>
      <w:r w:rsidDel="00000000" w:rsidR="00000000" w:rsidRPr="00000000">
        <w:rPr>
          <w:b w:val="1"/>
          <w:bCs w:val="1"/>
          <w:sz w:val="22"/>
          <w:szCs w:val="22"/>
          <w:u w:val="single"/>
          <w:rtl w:val="0"/>
        </w:rPr>
        <w:t xml:space="preserve">Amanda Cristina Fraga de Albuquerqe</w:t>
      </w:r>
      <w:r w:rsidDel="00000000" w:rsidR="00000000" w:rsidRPr="00000000">
        <w:rPr>
          <w:b w:val="1"/>
          <w:bCs w:val="1"/>
          <w:sz w:val="22"/>
          <w:szCs w:val="22"/>
          <w:u w:val="single"/>
          <w:vertAlign w:val="superscript"/>
          <w:rtl w:val="0"/>
        </w:rPr>
        <w:t xml:space="preserve">1*</w:t>
      </w:r>
      <w:r w:rsidDel="00000000" w:rsidR="00000000" w:rsidRPr="00000000">
        <w:rPr>
          <w:b w:val="1"/>
          <w:bCs w:val="1"/>
          <w:sz w:val="22"/>
          <w:szCs w:val="22"/>
          <w:rtl w:val="0"/>
        </w:rPr>
        <w:t xml:space="preserve">, Ana Paula Dini Andreote</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Anderson Miguel Teixeira Feitosa</w:t>
      </w:r>
      <w:r w:rsidDel="00000000" w:rsidR="00000000" w:rsidRPr="00000000">
        <w:rPr>
          <w:b w:val="1"/>
          <w:bCs w:val="1"/>
          <w:sz w:val="22"/>
          <w:szCs w:val="22"/>
          <w:vertAlign w:val="superscript"/>
          <w:rtl w:val="0"/>
        </w:rPr>
        <w:t xml:space="preserve">3</w:t>
      </w:r>
      <w:r w:rsidDel="00000000" w:rsidR="00000000" w:rsidRPr="00000000">
        <w:rPr>
          <w:b w:val="1"/>
          <w:bCs w:val="1"/>
          <w:sz w:val="22"/>
          <w:szCs w:val="22"/>
          <w:rtl w:val="0"/>
        </w:rPr>
        <w:t xml:space="preserve">, Renata B. Cruz</w:t>
      </w:r>
      <w:r w:rsidDel="00000000" w:rsidR="00000000" w:rsidRPr="00000000">
        <w:rPr>
          <w:b w:val="1"/>
          <w:bCs w:val="1"/>
          <w:sz w:val="22"/>
          <w:szCs w:val="22"/>
          <w:vertAlign w:val="superscript"/>
          <w:rtl w:val="0"/>
        </w:rPr>
        <w:t xml:space="preserve">4</w:t>
      </w:r>
      <w:r w:rsidDel="00000000" w:rsidR="00000000" w:rsidRPr="00000000">
        <w:rPr>
          <w:b w:val="1"/>
          <w:bCs w:val="1"/>
          <w:sz w:val="22"/>
          <w:szCs w:val="22"/>
          <w:rtl w:val="0"/>
        </w:rPr>
        <w:t xml:space="preserve">, Marli de Fátima Fiore</w:t>
      </w:r>
      <w:r w:rsidDel="00000000" w:rsidR="00000000" w:rsidRPr="00000000">
        <w:rPr>
          <w:b w:val="1"/>
          <w:bCs w:val="1"/>
          <w:sz w:val="22"/>
          <w:szCs w:val="22"/>
          <w:vertAlign w:val="superscript"/>
          <w:rtl w:val="0"/>
        </w:rPr>
        <w:t xml:space="preserve">5</w:t>
      </w:r>
      <w:r w:rsidDel="00000000" w:rsidR="00000000" w:rsidRPr="00000000">
        <w:rPr>
          <w:b w:val="1"/>
          <w:bCs w:val="1"/>
          <w:sz w:val="22"/>
          <w:szCs w:val="22"/>
          <w:rtl w:val="0"/>
        </w:rPr>
        <w:t xml:space="preserve"> </w:t>
      </w:r>
    </w:p>
    <w:p w:rsidR="00000000" w:rsidDel="00000000" w:rsidP="00000000" w:rsidRDefault="00000000" w:rsidRPr="00000000" w14:paraId="00000005">
      <w:pPr>
        <w:jc w:val="center"/>
        <w:rPr>
          <w:i w:val="1"/>
          <w:iCs w:val="1"/>
          <w:sz w:val="22"/>
          <w:szCs w:val="22"/>
        </w:rPr>
      </w:pPr>
      <w:r w:rsidDel="00000000" w:rsidR="00000000" w:rsidRPr="00000000">
        <w:rPr>
          <w:i w:val="1"/>
          <w:iCs w:val="1"/>
          <w:sz w:val="22"/>
          <w:szCs w:val="22"/>
          <w:vertAlign w:val="superscript"/>
          <w:rtl w:val="0"/>
        </w:rPr>
        <w:t xml:space="preserve">1,2,3,4,5</w:t>
      </w:r>
      <w:r w:rsidDel="00000000" w:rsidR="00000000" w:rsidRPr="00000000">
        <w:rPr>
          <w:i w:val="1"/>
          <w:iCs w:val="1"/>
          <w:sz w:val="22"/>
          <w:szCs w:val="22"/>
          <w:rtl w:val="0"/>
        </w:rPr>
        <w:t xml:space="preserve">Universidade de São Paulo (USP), Centro de Energia Nuclear na Agricultura (CENA), Piracicaba, Brasil</w:t>
      </w:r>
    </w:p>
    <w:p w:rsidR="00000000" w:rsidDel="00000000" w:rsidP="00000000" w:rsidRDefault="00000000" w:rsidRPr="00000000" w14:paraId="00000006">
      <w:pPr>
        <w:jc w:val="center"/>
        <w:rPr>
          <w:i w:val="1"/>
          <w:iCs w:val="1"/>
          <w:sz w:val="22"/>
          <w:szCs w:val="22"/>
        </w:rPr>
      </w:pPr>
      <w:r w:rsidDel="00000000" w:rsidR="00000000" w:rsidRPr="00000000">
        <w:rPr>
          <w:i w:val="1"/>
          <w:iCs w:val="1"/>
          <w:sz w:val="22"/>
          <w:szCs w:val="22"/>
          <w:rtl w:val="0"/>
        </w:rPr>
        <w:t xml:space="preserve">*amanda.fraga@usp.br </w:t>
      </w:r>
    </w:p>
    <w:p w:rsidR="00000000" w:rsidDel="00000000" w:rsidP="00000000" w:rsidRDefault="00000000" w:rsidRPr="00000000" w14:paraId="00000007">
      <w:pPr>
        <w:jc w:val="center"/>
        <w:rPr>
          <w:i w:val="1"/>
          <w:iCs w:val="1"/>
          <w:sz w:val="22"/>
          <w:szCs w:val="22"/>
        </w:rPr>
      </w:pPr>
      <w:r w:rsidDel="00000000" w:rsidR="00000000" w:rsidRPr="00000000">
        <w:rPr>
          <w:rtl w:val="0"/>
        </w:rPr>
      </w:r>
    </w:p>
    <w:p w:rsidR="00000000" w:rsidDel="00000000" w:rsidP="00000000" w:rsidRDefault="00000000" w:rsidRPr="00000000" w14:paraId="00000008">
      <w:pPr>
        <w:spacing w:after="240" w:before="240" w:line="276" w:lineRule="auto"/>
        <w:rPr/>
      </w:pPr>
      <w:r w:rsidDel="00000000" w:rsidR="00000000" w:rsidRPr="00000000">
        <w:rPr>
          <w:i w:val="1"/>
          <w:iCs w:val="1"/>
          <w:rtl w:val="0"/>
        </w:rPr>
        <w:t xml:space="preserve">Scytonema hyalinum</w:t>
      </w:r>
      <w:r w:rsidDel="00000000" w:rsidR="00000000" w:rsidRPr="00000000">
        <w:rPr>
          <w:rtl w:val="0"/>
        </w:rPr>
        <w:t xml:space="preserve"> (Cyanobacteria) has been widely reported from semi-arid to arid soils worldwide, including the Brazilian Caatinga. Recently, strains previously assigned to this species were reorganized into a new genus, </w:t>
      </w:r>
      <w:r w:rsidDel="00000000" w:rsidR="00000000" w:rsidRPr="00000000">
        <w:rPr>
          <w:i w:val="1"/>
          <w:iCs w:val="1"/>
          <w:rtl w:val="0"/>
        </w:rPr>
        <w:t xml:space="preserve">Kalymmatonema</w:t>
      </w:r>
      <w:r w:rsidDel="00000000" w:rsidR="00000000" w:rsidRPr="00000000">
        <w:rPr>
          <w:rtl w:val="0"/>
        </w:rPr>
        <w:t xml:space="preserve">, based on 16S rRNA-ITS gene sequencing and phylogenetic analysis. Currently, 21 genomes identified as </w:t>
      </w:r>
      <w:r w:rsidDel="00000000" w:rsidR="00000000" w:rsidRPr="00000000">
        <w:rPr>
          <w:i w:val="1"/>
          <w:iCs w:val="1"/>
          <w:rtl w:val="0"/>
        </w:rPr>
        <w:t xml:space="preserve">Scytonema</w:t>
      </w:r>
      <w:r w:rsidDel="00000000" w:rsidR="00000000" w:rsidRPr="00000000">
        <w:rPr>
          <w:rtl w:val="0"/>
        </w:rPr>
        <w:t xml:space="preserve"> and two as </w:t>
      </w:r>
      <w:r w:rsidDel="00000000" w:rsidR="00000000" w:rsidRPr="00000000">
        <w:rPr>
          <w:i w:val="1"/>
          <w:iCs w:val="1"/>
          <w:rtl w:val="0"/>
        </w:rPr>
        <w:t xml:space="preserve">Kalymmatonema</w:t>
      </w:r>
      <w:r w:rsidDel="00000000" w:rsidR="00000000" w:rsidRPr="00000000">
        <w:rPr>
          <w:rtl w:val="0"/>
        </w:rPr>
        <w:t xml:space="preserve"> are available in the NCBI database; however, phylogenomic studies including this genus are still lacking. Thus, the objective of this study is to perform a phylogenomic analysis of the genera </w:t>
      </w:r>
      <w:r w:rsidDel="00000000" w:rsidR="00000000" w:rsidRPr="00000000">
        <w:rPr>
          <w:i w:val="1"/>
          <w:iCs w:val="1"/>
          <w:rtl w:val="0"/>
        </w:rPr>
        <w:t xml:space="preserve">Scytonema</w:t>
      </w:r>
      <w:r w:rsidDel="00000000" w:rsidR="00000000" w:rsidRPr="00000000">
        <w:rPr>
          <w:rtl w:val="0"/>
        </w:rPr>
        <w:t xml:space="preserve"> and </w:t>
      </w:r>
      <w:r w:rsidDel="00000000" w:rsidR="00000000" w:rsidRPr="00000000">
        <w:rPr>
          <w:i w:val="1"/>
          <w:iCs w:val="1"/>
          <w:rtl w:val="0"/>
        </w:rPr>
        <w:t xml:space="preserve">Kalymmatonema</w:t>
      </w:r>
      <w:sdt>
        <w:sdtPr>
          <w:id w:val="1529137469"/>
          <w:tag w:val="goog_rdk_0"/>
        </w:sdtPr>
        <w:sdtContent>
          <w:r w:rsidDel="00000000" w:rsidR="00000000" w:rsidRPr="00000000">
            <w:rPr>
              <w:rFonts w:ascii="Gungsuh" w:cs="Gungsuh" w:eastAsia="Gungsuh" w:hAnsi="Gungsuh"/>
              <w:rtl w:val="0"/>
            </w:rPr>
            <w:t xml:space="preserve">, including three novel strains isolated from the Caatinga (CENA656, CENA661, and CENA680). Genome sequencing was performed on the NextSeq 2000 platform, and the assemblies were generated with SPAdes and classified with Kraken. Since the phylogenetic tree was based on amino acid sequences, genome annotation of the three assemblies was carried out using PGAP, while sequences from the remaining strains were retrieved from NCBI. For tree construction, 200 Nostocales genomes were selected from the RefSeq database according to quality thresholds of ≥98% completeness and ≤2% contamination. The analysis was conducted using the GToTree pipeline, which identifies 251 single-copy cyanobacterial genes and constructs phylogenetic trees using FastTree under the Maximum Likelihood method. The three novel strains were assigned to </w:t>
          </w:r>
        </w:sdtContent>
      </w:sdt>
      <w:r w:rsidDel="00000000" w:rsidR="00000000" w:rsidRPr="00000000">
        <w:rPr>
          <w:i w:val="1"/>
          <w:iCs w:val="1"/>
          <w:rtl w:val="0"/>
        </w:rPr>
        <w:t xml:space="preserve">Kalymmatonema</w:t>
      </w:r>
      <w:r w:rsidDel="00000000" w:rsidR="00000000" w:rsidRPr="00000000">
        <w:rPr>
          <w:rtl w:val="0"/>
        </w:rPr>
        <w:t xml:space="preserve"> spp., forming a well-defined clade separate from the genus </w:t>
      </w:r>
      <w:r w:rsidDel="00000000" w:rsidR="00000000" w:rsidRPr="00000000">
        <w:rPr>
          <w:i w:val="1"/>
          <w:iCs w:val="1"/>
          <w:rtl w:val="0"/>
        </w:rPr>
        <w:t xml:space="preserve">Scytonema</w:t>
      </w:r>
      <w:r w:rsidDel="00000000" w:rsidR="00000000" w:rsidRPr="00000000">
        <w:rPr>
          <w:rtl w:val="0"/>
        </w:rPr>
        <w:t xml:space="preserve">. Some strains within this clade, already recognized in the literature as </w:t>
      </w:r>
      <w:r w:rsidDel="00000000" w:rsidR="00000000" w:rsidRPr="00000000">
        <w:rPr>
          <w:i w:val="1"/>
          <w:iCs w:val="1"/>
          <w:rtl w:val="0"/>
        </w:rPr>
        <w:t xml:space="preserve">Kalymmatonema</w:t>
      </w:r>
      <w:r w:rsidDel="00000000" w:rsidR="00000000" w:rsidRPr="00000000">
        <w:rPr>
          <w:rtl w:val="0"/>
        </w:rPr>
        <w:t xml:space="preserve">, remain classified as </w:t>
      </w:r>
      <w:r w:rsidDel="00000000" w:rsidR="00000000" w:rsidRPr="00000000">
        <w:rPr>
          <w:i w:val="1"/>
          <w:iCs w:val="1"/>
          <w:rtl w:val="0"/>
        </w:rPr>
        <w:t xml:space="preserve">Scytonema</w:t>
      </w:r>
      <w:r w:rsidDel="00000000" w:rsidR="00000000" w:rsidRPr="00000000">
        <w:rPr>
          <w:rtl w:val="0"/>
        </w:rPr>
        <w:t xml:space="preserve"> in public databases. These results will contribute to distinguishing the two genera and to the reclassification of misidentified entries in public databases. </w:t>
      </w:r>
    </w:p>
    <w:p w:rsidR="00000000" w:rsidDel="00000000" w:rsidP="00000000" w:rsidRDefault="00000000" w:rsidRPr="00000000" w14:paraId="00000009">
      <w:pPr>
        <w:spacing w:after="0" w:before="0" w:line="240" w:lineRule="auto"/>
        <w:rPr/>
      </w:pPr>
      <w:r w:rsidDel="00000000" w:rsidR="00000000" w:rsidRPr="00000000">
        <w:rPr>
          <w:rtl w:val="0"/>
        </w:rPr>
      </w:r>
    </w:p>
    <w:p w:rsidR="00000000" w:rsidDel="00000000" w:rsidP="00000000" w:rsidRDefault="00000000" w:rsidRPr="00000000" w14:paraId="0000000A">
      <w:pPr>
        <w:spacing w:after="240" w:before="240" w:line="276" w:lineRule="auto"/>
        <w:rPr>
          <w:sz w:val="22"/>
          <w:szCs w:val="22"/>
        </w:rPr>
        <w:sectPr>
          <w:headerReference r:id="rId7" w:type="first"/>
          <w:headerReference r:id="rId8" w:type="even"/>
          <w:pgSz w:h="16838" w:w="11906" w:orient="portrait"/>
          <w:pgMar w:bottom="1418" w:top="1418" w:left="1701" w:right="1701" w:header="0" w:footer="1134"/>
          <w:pgNumType w:start="1"/>
          <w:titlePg w:val="1"/>
        </w:sectPr>
      </w:pPr>
      <w:r w:rsidDel="00000000" w:rsidR="00000000" w:rsidRPr="00000000">
        <w:rPr>
          <w:b w:val="1"/>
          <w:bCs w:val="1"/>
          <w:smallCaps w:val="1"/>
          <w:sz w:val="22"/>
          <w:szCs w:val="22"/>
          <w:rtl w:val="0"/>
        </w:rPr>
        <w:t xml:space="preserve">KEYWORDS</w:t>
      </w:r>
      <w:r w:rsidDel="00000000" w:rsidR="00000000" w:rsidRPr="00000000">
        <w:rPr>
          <w:sz w:val="22"/>
          <w:szCs w:val="22"/>
          <w:rtl w:val="0"/>
        </w:rPr>
        <w:t xml:space="preserve">: Phylogenomic, Scytonema, Kalymmatonema, Biological Soil Crusts </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tabs>
          <w:tab w:val="left" w:leader="none" w:pos="8300"/>
        </w:tabs>
        <w:rPr>
          <w:sz w:val="22"/>
          <w:szCs w:val="22"/>
        </w:rPr>
        <w:sectPr>
          <w:headerReference r:id="rId9" w:type="first"/>
          <w:headerReference r:id="rId10" w:type="even"/>
          <w:type w:val="continuous"/>
          <w:pgSz w:h="16838" w:w="11906" w:orient="portrait"/>
          <w:pgMar w:bottom="1418" w:top="1418" w:left="1701" w:right="1701" w:header="284" w:footer="709"/>
          <w:titlePg w:val="1"/>
        </w:sectPr>
      </w:pPr>
      <w:r w:rsidDel="00000000" w:rsidR="00000000" w:rsidRPr="00000000">
        <w:rPr>
          <w:b w:val="1"/>
          <w:bCs w:val="1"/>
          <w:smallCaps w:val="1"/>
          <w:sz w:val="22"/>
          <w:szCs w:val="22"/>
          <w:rtl w:val="0"/>
        </w:rPr>
        <w:t xml:space="preserve">FUNDING: </w:t>
      </w:r>
      <w:r w:rsidDel="00000000" w:rsidR="00000000" w:rsidRPr="00000000">
        <w:rPr>
          <w:smallCaps w:val="1"/>
          <w:sz w:val="22"/>
          <w:szCs w:val="22"/>
          <w:rtl w:val="0"/>
        </w:rPr>
        <w:t xml:space="preserve">CAPES (88887.139333/2025-00)</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rtl w:val="0"/>
        </w:rPr>
      </w:r>
    </w:p>
    <w:sectPr>
      <w:type w:val="continuous"/>
      <w:pgSz w:h="16838" w:w="11906" w:orient="portrait"/>
      <w:pgMar w:bottom="1134" w:top="1134" w:left="1134" w:right="1134"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24.7pt;height:424.7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color w:val="000000"/>
      </w:rPr>
      <w:pict>
        <v:shape id="WordPictureWatermark1" style="position:absolute;width:481.75pt;height:503.6pt;rotation:0;z-index:-503316481;mso-position-horizontal-relative:margin;mso-position-horizontal:center;mso-position-vertical-relative:margin;mso-position-vertical:center;" alt="" type="#_x0000_t75">
          <v:imagedata blacklevel="22938f" cropbottom="0f" cropleft="0f" cropright="0f" croptop="0f" gain="19661f" r:id="rId2"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-720088</wp:posOffset>
          </wp:positionH>
          <wp:positionV relativeFrom="paragraph">
            <wp:posOffset>-3173</wp:posOffset>
          </wp:positionV>
          <wp:extent cx="7562850" cy="1761490"/>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761490"/>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93690" cy="5393690"/>
          <wp:effectExtent b="0" l="0" r="0" t="0"/>
          <wp:wrapNone/>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393690" cy="539369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118225" cy="6395720"/>
          <wp:effectExtent b="0" l="0" r="0" t="0"/>
          <wp:wrapNone/>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118225" cy="6395720"/>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-1097912</wp:posOffset>
          </wp:positionH>
          <wp:positionV relativeFrom="paragraph">
            <wp:posOffset>-198116</wp:posOffset>
          </wp:positionV>
          <wp:extent cx="7598410" cy="2517775"/>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598410" cy="251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7xLXrKV8dhjRGm5aRptHWed0A==">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