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B9F9D" w14:textId="1082ED15" w:rsidR="009D720A" w:rsidRDefault="00F24C36">
      <w:pPr>
        <w:jc w:val="center"/>
        <w:rPr>
          <w:b/>
          <w:sz w:val="24"/>
          <w:szCs w:val="24"/>
        </w:rPr>
      </w:pPr>
      <w:r w:rsidRPr="00F24C36">
        <w:rPr>
          <w:b/>
          <w:sz w:val="24"/>
          <w:szCs w:val="24"/>
        </w:rPr>
        <w:t>DESEMPENHO DE ESPÉCIES FLORESTAIS EM AMBIENTE SEMIÁRIDO: SUBSÍDIOS PARA RESTAURAÇÃO E SILVICULTURA ECONÔMICA</w:t>
      </w:r>
    </w:p>
    <w:p w14:paraId="4062BE3A" w14:textId="77777777" w:rsidR="00F24C36" w:rsidRDefault="00F24C36" w:rsidP="00F24C36">
      <w:pPr>
        <w:rPr>
          <w:b/>
          <w:sz w:val="24"/>
          <w:szCs w:val="24"/>
        </w:rPr>
      </w:pPr>
    </w:p>
    <w:p w14:paraId="484BFD67" w14:textId="35F0FD02" w:rsidR="009101FC" w:rsidRDefault="009101FC" w:rsidP="009101FC">
      <w:pPr>
        <w:spacing w:line="276" w:lineRule="auto"/>
        <w:ind w:left="221" w:right="214"/>
        <w:jc w:val="center"/>
        <w:rPr>
          <w:b/>
          <w:bCs/>
          <w:sz w:val="20"/>
          <w:szCs w:val="20"/>
        </w:rPr>
      </w:pPr>
      <w:r w:rsidRPr="5D6C9D84">
        <w:rPr>
          <w:b/>
          <w:bCs/>
          <w:sz w:val="20"/>
          <w:szCs w:val="20"/>
        </w:rPr>
        <w:t>Françóyse Dávilla de Souza Silva</w:t>
      </w:r>
      <w:r w:rsidR="00BB78B2">
        <w:rPr>
          <w:b/>
          <w:bCs/>
          <w:sz w:val="20"/>
          <w:szCs w:val="20"/>
          <w:vertAlign w:val="superscript"/>
        </w:rPr>
        <w:t>1*</w:t>
      </w:r>
      <w:r w:rsidRPr="5D6C9D84">
        <w:rPr>
          <w:b/>
          <w:bCs/>
          <w:sz w:val="20"/>
          <w:szCs w:val="20"/>
        </w:rPr>
        <w:t>,</w:t>
      </w:r>
      <w:r w:rsidR="00BB78B2">
        <w:rPr>
          <w:b/>
          <w:bCs/>
          <w:sz w:val="20"/>
          <w:szCs w:val="20"/>
        </w:rPr>
        <w:t xml:space="preserve"> Elen Raquel Ferreira Maciel</w:t>
      </w:r>
      <w:r w:rsidR="00BB78B2" w:rsidRPr="00BB78B2">
        <w:rPr>
          <w:b/>
          <w:bCs/>
          <w:sz w:val="20"/>
          <w:szCs w:val="20"/>
          <w:vertAlign w:val="superscript"/>
        </w:rPr>
        <w:t>1</w:t>
      </w:r>
      <w:r w:rsidR="00BB78B2">
        <w:rPr>
          <w:b/>
          <w:bCs/>
          <w:sz w:val="20"/>
          <w:szCs w:val="20"/>
        </w:rPr>
        <w:t>,</w:t>
      </w:r>
      <w:r w:rsidRPr="5D6C9D84">
        <w:rPr>
          <w:b/>
          <w:bCs/>
          <w:sz w:val="20"/>
          <w:szCs w:val="20"/>
        </w:rPr>
        <w:t xml:space="preserve"> Marcos Ilson </w:t>
      </w:r>
      <w:r w:rsidR="0038470F">
        <w:rPr>
          <w:b/>
          <w:bCs/>
          <w:sz w:val="20"/>
          <w:szCs w:val="20"/>
        </w:rPr>
        <w:t xml:space="preserve">de Oliveira </w:t>
      </w:r>
      <w:r w:rsidRPr="5D6C9D84">
        <w:rPr>
          <w:b/>
          <w:bCs/>
          <w:sz w:val="20"/>
          <w:szCs w:val="20"/>
        </w:rPr>
        <w:t>Teixeira</w:t>
      </w:r>
      <w:r w:rsidRPr="5D6C9D84">
        <w:rPr>
          <w:b/>
          <w:bCs/>
          <w:sz w:val="20"/>
          <w:szCs w:val="20"/>
          <w:vertAlign w:val="superscript"/>
        </w:rPr>
        <w:t>¹</w:t>
      </w:r>
      <w:r w:rsidRPr="5D6C9D84">
        <w:rPr>
          <w:b/>
          <w:bCs/>
          <w:sz w:val="20"/>
          <w:szCs w:val="20"/>
        </w:rPr>
        <w:t xml:space="preserve">, Pedro Augusto </w:t>
      </w:r>
      <w:r w:rsidR="00BC41FA">
        <w:rPr>
          <w:b/>
          <w:bCs/>
          <w:sz w:val="20"/>
          <w:szCs w:val="20"/>
        </w:rPr>
        <w:t xml:space="preserve">de </w:t>
      </w:r>
      <w:r w:rsidRPr="5D6C9D84">
        <w:rPr>
          <w:b/>
          <w:bCs/>
          <w:sz w:val="20"/>
          <w:szCs w:val="20"/>
        </w:rPr>
        <w:t>Abreu</w:t>
      </w:r>
      <w:r w:rsidR="00BC41FA">
        <w:rPr>
          <w:b/>
          <w:bCs/>
          <w:sz w:val="20"/>
          <w:szCs w:val="20"/>
        </w:rPr>
        <w:t xml:space="preserve"> Batista</w:t>
      </w:r>
      <w:r w:rsidRPr="5D6C9D84">
        <w:rPr>
          <w:b/>
          <w:bCs/>
          <w:sz w:val="20"/>
          <w:szCs w:val="20"/>
        </w:rPr>
        <w:t>¹, Poliana Coqueiro Dias Araujo¹</w:t>
      </w:r>
    </w:p>
    <w:p w14:paraId="26452DB0" w14:textId="77777777" w:rsidR="009101FC" w:rsidRDefault="009101FC" w:rsidP="009101FC">
      <w:pPr>
        <w:spacing w:line="276" w:lineRule="auto"/>
        <w:ind w:left="221" w:right="214"/>
        <w:jc w:val="center"/>
        <w:rPr>
          <w:sz w:val="20"/>
          <w:szCs w:val="20"/>
          <w:vertAlign w:val="superscript"/>
        </w:rPr>
      </w:pPr>
      <w:r w:rsidRPr="5D6C9D84">
        <w:rPr>
          <w:sz w:val="20"/>
          <w:szCs w:val="20"/>
        </w:rPr>
        <w:t>Universidade Federal Rural do Semi-Árido</w:t>
      </w:r>
      <w:r w:rsidRPr="5D6C9D84">
        <w:rPr>
          <w:sz w:val="20"/>
          <w:szCs w:val="20"/>
          <w:vertAlign w:val="superscript"/>
        </w:rPr>
        <w:t>1</w:t>
      </w:r>
    </w:p>
    <w:p w14:paraId="011E2D11" w14:textId="42C3D653" w:rsidR="009D720A" w:rsidRDefault="009101FC" w:rsidP="009101FC">
      <w:pPr>
        <w:spacing w:line="276" w:lineRule="auto"/>
        <w:ind w:left="221" w:right="214"/>
        <w:jc w:val="center"/>
        <w:rPr>
          <w:sz w:val="20"/>
          <w:szCs w:val="20"/>
        </w:rPr>
      </w:pPr>
      <w:bookmarkStart w:id="0" w:name="_heading=h.yp96iwu2o7wg"/>
      <w:bookmarkEnd w:id="0"/>
      <w:r w:rsidRPr="5D6C9D84">
        <w:rPr>
          <w:sz w:val="20"/>
          <w:szCs w:val="20"/>
        </w:rPr>
        <w:t>*</w:t>
      </w:r>
      <w:r w:rsidR="00382945">
        <w:rPr>
          <w:sz w:val="20"/>
          <w:szCs w:val="20"/>
        </w:rPr>
        <w:t>francoysedavilla</w:t>
      </w:r>
      <w:r w:rsidRPr="5D6C9D84">
        <w:rPr>
          <w:sz w:val="20"/>
          <w:szCs w:val="20"/>
        </w:rPr>
        <w:t>@gmail.com</w:t>
      </w:r>
      <w:r w:rsidR="009F6F59">
        <w:rPr>
          <w:sz w:val="20"/>
          <w:szCs w:val="20"/>
        </w:rPr>
        <w:t>.</w:t>
      </w:r>
    </w:p>
    <w:p w14:paraId="6E69EB09" w14:textId="79EB4687" w:rsidR="009D720A" w:rsidRDefault="009F6F59" w:rsidP="003F7D9F">
      <w:pPr>
        <w:ind w:firstLine="0"/>
        <w:rPr>
          <w:sz w:val="20"/>
          <w:szCs w:val="20"/>
        </w:rPr>
      </w:pPr>
      <w:r>
        <w:rPr>
          <w:sz w:val="20"/>
          <w:szCs w:val="20"/>
        </w:rPr>
        <w:t>___________________________________________________________________________________</w:t>
      </w:r>
      <w:r w:rsidR="003F7D9F">
        <w:rPr>
          <w:sz w:val="20"/>
          <w:szCs w:val="20"/>
        </w:rPr>
        <w:t>_______</w:t>
      </w:r>
    </w:p>
    <w:p w14:paraId="706AB420" w14:textId="185308E0" w:rsidR="009D720A" w:rsidRDefault="009F6F59" w:rsidP="003F7D9F">
      <w:pPr>
        <w:ind w:firstLine="0"/>
        <w:rPr>
          <w:sz w:val="20"/>
          <w:szCs w:val="20"/>
        </w:rPr>
      </w:pPr>
      <w:r>
        <w:rPr>
          <w:b/>
          <w:sz w:val="20"/>
          <w:szCs w:val="20"/>
        </w:rPr>
        <w:t>RESUMO</w:t>
      </w:r>
      <w:r>
        <w:rPr>
          <w:sz w:val="20"/>
          <w:szCs w:val="20"/>
        </w:rPr>
        <w:t xml:space="preserve"> </w:t>
      </w:r>
    </w:p>
    <w:p w14:paraId="79E847AF" w14:textId="1F839414" w:rsidR="002217C1" w:rsidRDefault="002217C1" w:rsidP="001B1250">
      <w:pPr>
        <w:ind w:firstLine="0"/>
        <w:rPr>
          <w:sz w:val="20"/>
          <w:szCs w:val="20"/>
        </w:rPr>
      </w:pPr>
      <w:r w:rsidRPr="002217C1">
        <w:rPr>
          <w:sz w:val="20"/>
          <w:szCs w:val="20"/>
        </w:rPr>
        <w:t xml:space="preserve">As espécies florestais apresentam variações significativas em seu crescimento em função de fatores genéticos, edafoclimáticos e práticas de manejo, os quais determinam seu desempenho em diferentes ambientes. Em regiões semiáridas, onde predominam condições limitantes como baixa disponibilidade hídrica, solos pouco férteis e alta evapotranspiração, a seleção de espécies adaptadas é fundamental para garantir o sucesso de plantios florestais. Nesse contexto, o presente estudo teve como objetivo avaliar o desempenho dendrométrico de sete espécies arbóreas, visando subsidiar sua utilização em estratégias de restauração ecológica e silvicultura econômica no semiárido brasileiro. O experimento foi conduzido na Fazenda Experimental Rafael Fernandes (UFERSA), em Mossoró-RN, com 448 indivíduos distribuídos em </w:t>
      </w:r>
      <w:r>
        <w:rPr>
          <w:sz w:val="20"/>
          <w:szCs w:val="20"/>
        </w:rPr>
        <w:t xml:space="preserve">4 </w:t>
      </w:r>
      <w:r w:rsidRPr="002217C1">
        <w:rPr>
          <w:sz w:val="20"/>
          <w:szCs w:val="20"/>
        </w:rPr>
        <w:t>blocos com espaçamento de 3 × 2 m. Após sete anos,</w:t>
      </w:r>
      <w:r>
        <w:rPr>
          <w:sz w:val="20"/>
          <w:szCs w:val="20"/>
        </w:rPr>
        <w:t xml:space="preserve"> </w:t>
      </w:r>
      <w:r w:rsidRPr="002217C1">
        <w:rPr>
          <w:i/>
          <w:iCs/>
          <w:sz w:val="20"/>
          <w:szCs w:val="20"/>
        </w:rPr>
        <w:t>Eucalyptus camaldulensis</w:t>
      </w:r>
      <w:r>
        <w:rPr>
          <w:sz w:val="20"/>
          <w:szCs w:val="20"/>
        </w:rPr>
        <w:t xml:space="preserve"> </w:t>
      </w:r>
      <w:r w:rsidRPr="002217C1">
        <w:rPr>
          <w:sz w:val="20"/>
          <w:szCs w:val="20"/>
        </w:rPr>
        <w:t>e</w:t>
      </w:r>
      <w:r>
        <w:rPr>
          <w:sz w:val="20"/>
          <w:szCs w:val="20"/>
        </w:rPr>
        <w:t xml:space="preserve"> </w:t>
      </w:r>
      <w:r w:rsidRPr="002217C1">
        <w:rPr>
          <w:i/>
          <w:iCs/>
          <w:sz w:val="20"/>
          <w:szCs w:val="20"/>
        </w:rPr>
        <w:t>Acacia mangium</w:t>
      </w:r>
      <w:r>
        <w:rPr>
          <w:i/>
          <w:iCs/>
          <w:sz w:val="20"/>
          <w:szCs w:val="20"/>
        </w:rPr>
        <w:t xml:space="preserve"> </w:t>
      </w:r>
      <w:r w:rsidRPr="002217C1">
        <w:rPr>
          <w:sz w:val="20"/>
          <w:szCs w:val="20"/>
        </w:rPr>
        <w:t>apresentaram os maiores valores de DAP (12,86 cm e 12,23 cm) e altura (9,07 m e 5,62 m), enquanto</w:t>
      </w:r>
      <w:r>
        <w:rPr>
          <w:sz w:val="20"/>
          <w:szCs w:val="20"/>
        </w:rPr>
        <w:t xml:space="preserve"> a </w:t>
      </w:r>
      <w:r w:rsidRPr="002217C1">
        <w:rPr>
          <w:i/>
          <w:iCs/>
          <w:sz w:val="20"/>
          <w:szCs w:val="20"/>
        </w:rPr>
        <w:t>Mimosa caesalpiniifolia</w:t>
      </w:r>
      <w:r>
        <w:rPr>
          <w:sz w:val="20"/>
          <w:szCs w:val="20"/>
        </w:rPr>
        <w:t xml:space="preserve"> </w:t>
      </w:r>
      <w:r w:rsidRPr="002217C1">
        <w:rPr>
          <w:sz w:val="20"/>
          <w:szCs w:val="20"/>
        </w:rPr>
        <w:t>destacou-se entre as nativas (DAP de 10,66 cm; altura de 4,21 m). Conclui-se que</w:t>
      </w:r>
      <w:r>
        <w:rPr>
          <w:sz w:val="20"/>
          <w:szCs w:val="20"/>
        </w:rPr>
        <w:t xml:space="preserve"> </w:t>
      </w:r>
      <w:r w:rsidRPr="002217C1">
        <w:rPr>
          <w:i/>
          <w:iCs/>
          <w:sz w:val="20"/>
          <w:szCs w:val="20"/>
        </w:rPr>
        <w:t>E. camaldulensis</w:t>
      </w:r>
      <w:r>
        <w:rPr>
          <w:sz w:val="20"/>
          <w:szCs w:val="20"/>
        </w:rPr>
        <w:t xml:space="preserve"> </w:t>
      </w:r>
      <w:r w:rsidRPr="002217C1">
        <w:rPr>
          <w:sz w:val="20"/>
          <w:szCs w:val="20"/>
        </w:rPr>
        <w:t>e</w:t>
      </w:r>
      <w:r>
        <w:rPr>
          <w:sz w:val="20"/>
          <w:szCs w:val="20"/>
        </w:rPr>
        <w:t xml:space="preserve"> </w:t>
      </w:r>
      <w:r w:rsidRPr="002217C1">
        <w:rPr>
          <w:i/>
          <w:iCs/>
          <w:sz w:val="20"/>
          <w:szCs w:val="20"/>
        </w:rPr>
        <w:t>A. mangium</w:t>
      </w:r>
      <w:r>
        <w:rPr>
          <w:sz w:val="20"/>
          <w:szCs w:val="20"/>
        </w:rPr>
        <w:t xml:space="preserve"> </w:t>
      </w:r>
      <w:r w:rsidRPr="002217C1">
        <w:rPr>
          <w:sz w:val="20"/>
          <w:szCs w:val="20"/>
        </w:rPr>
        <w:t>são promissoras para plantios produtivos, e</w:t>
      </w:r>
      <w:r>
        <w:rPr>
          <w:sz w:val="20"/>
          <w:szCs w:val="20"/>
        </w:rPr>
        <w:t xml:space="preserve"> </w:t>
      </w:r>
      <w:r w:rsidRPr="002217C1">
        <w:rPr>
          <w:i/>
          <w:iCs/>
          <w:sz w:val="20"/>
          <w:szCs w:val="20"/>
        </w:rPr>
        <w:t>M. caesalpiniifolia</w:t>
      </w:r>
      <w:r>
        <w:rPr>
          <w:sz w:val="20"/>
          <w:szCs w:val="20"/>
        </w:rPr>
        <w:t xml:space="preserve"> </w:t>
      </w:r>
      <w:r w:rsidRPr="002217C1">
        <w:rPr>
          <w:sz w:val="20"/>
          <w:szCs w:val="20"/>
        </w:rPr>
        <w:t>representa uma alternativa viável para projetos de restauração, conciliando adaptação ambiental e bom desempenho.</w:t>
      </w:r>
    </w:p>
    <w:p w14:paraId="097478D6" w14:textId="111BE622" w:rsidR="002217C1" w:rsidRPr="002217C1" w:rsidRDefault="009101FC" w:rsidP="002217C1">
      <w:pPr>
        <w:ind w:firstLine="0"/>
        <w:rPr>
          <w:sz w:val="20"/>
          <w:szCs w:val="20"/>
        </w:rPr>
      </w:pPr>
      <w:r w:rsidRPr="002217C1">
        <w:rPr>
          <w:sz w:val="20"/>
          <w:szCs w:val="20"/>
        </w:rPr>
        <w:t>Palavras-</w:t>
      </w:r>
      <w:r w:rsidR="002217C1" w:rsidRPr="002217C1">
        <w:rPr>
          <w:sz w:val="20"/>
          <w:szCs w:val="20"/>
        </w:rPr>
        <w:t>chave</w:t>
      </w:r>
      <w:r w:rsidR="002217C1" w:rsidRPr="001B1250">
        <w:rPr>
          <w:sz w:val="20"/>
          <w:szCs w:val="20"/>
        </w:rPr>
        <w:t>:</w:t>
      </w:r>
      <w:r w:rsidRPr="70BA7CCA">
        <w:rPr>
          <w:sz w:val="20"/>
          <w:szCs w:val="20"/>
        </w:rPr>
        <w:t xml:space="preserve"> </w:t>
      </w:r>
      <w:r w:rsidR="00F24C36">
        <w:rPr>
          <w:sz w:val="20"/>
          <w:szCs w:val="20"/>
        </w:rPr>
        <w:t>S</w:t>
      </w:r>
      <w:r w:rsidR="00F24C36" w:rsidRPr="00F24C36">
        <w:rPr>
          <w:sz w:val="20"/>
          <w:szCs w:val="20"/>
        </w:rPr>
        <w:t>ilvicultura produtiva</w:t>
      </w:r>
      <w:r w:rsidR="00F24C36">
        <w:rPr>
          <w:sz w:val="20"/>
          <w:szCs w:val="20"/>
        </w:rPr>
        <w:t>; A</w:t>
      </w:r>
      <w:r w:rsidR="00F24C36" w:rsidRPr="00F24C36">
        <w:rPr>
          <w:sz w:val="20"/>
          <w:szCs w:val="20"/>
        </w:rPr>
        <w:t>daptação ambiental</w:t>
      </w:r>
      <w:r w:rsidR="00F24C36">
        <w:rPr>
          <w:sz w:val="20"/>
          <w:szCs w:val="20"/>
        </w:rPr>
        <w:t xml:space="preserve">; </w:t>
      </w:r>
      <w:r w:rsidR="002217C1" w:rsidRPr="002217C1">
        <w:rPr>
          <w:sz w:val="20"/>
          <w:szCs w:val="20"/>
        </w:rPr>
        <w:t>Crescimento dendrométrico</w:t>
      </w:r>
      <w:r w:rsidR="002217C1">
        <w:rPr>
          <w:sz w:val="20"/>
          <w:szCs w:val="20"/>
        </w:rPr>
        <w:t>, R</w:t>
      </w:r>
      <w:r w:rsidR="002217C1" w:rsidRPr="002217C1">
        <w:rPr>
          <w:sz w:val="20"/>
          <w:szCs w:val="20"/>
        </w:rPr>
        <w:t>estauração ecológica</w:t>
      </w:r>
    </w:p>
    <w:p w14:paraId="552D241E" w14:textId="544C6948" w:rsidR="009101FC" w:rsidRDefault="009101FC" w:rsidP="001B1250">
      <w:pPr>
        <w:ind w:firstLine="0"/>
        <w:rPr>
          <w:sz w:val="20"/>
          <w:szCs w:val="20"/>
        </w:rPr>
      </w:pPr>
    </w:p>
    <w:p w14:paraId="6C6F872C" w14:textId="77777777" w:rsidR="009D720A" w:rsidRDefault="009D720A">
      <w:pPr>
        <w:rPr>
          <w:b/>
          <w:sz w:val="20"/>
          <w:szCs w:val="20"/>
        </w:rPr>
      </w:pPr>
    </w:p>
    <w:p w14:paraId="0DA19807" w14:textId="5509A71D" w:rsidR="009D720A" w:rsidRDefault="009F6F59" w:rsidP="00A240B2">
      <w:pPr>
        <w:ind w:firstLine="0"/>
        <w:rPr>
          <w:sz w:val="20"/>
          <w:szCs w:val="20"/>
        </w:rPr>
      </w:pPr>
      <w:r>
        <w:rPr>
          <w:b/>
          <w:sz w:val="20"/>
          <w:szCs w:val="20"/>
        </w:rPr>
        <w:t xml:space="preserve">INTRODUÇÃO </w:t>
      </w:r>
    </w:p>
    <w:p w14:paraId="28545C3A" w14:textId="2920DF9A" w:rsidR="00545A77" w:rsidRPr="00545A77" w:rsidRDefault="00545A77" w:rsidP="00545A77">
      <w:pPr>
        <w:ind w:firstLine="708"/>
        <w:rPr>
          <w:sz w:val="20"/>
          <w:szCs w:val="20"/>
        </w:rPr>
      </w:pPr>
      <w:r w:rsidRPr="00545A77">
        <w:rPr>
          <w:sz w:val="20"/>
          <w:szCs w:val="20"/>
        </w:rPr>
        <w:t>O crescimento e o desenvolvimento de espécies arbóreas são determinados por uma complexa interação entre fatores genéticos, condições climáticas e práticas de manejo, que influenciam diretamente propriedades físicas, químicas, anatômicas e mecânicas da madeira (KRAVETZ et al., 2025). Dentre esses fatores, destacam-se as condições edafoclimáticas, que abrangem simultaneamente solo e clima</w:t>
      </w:r>
      <w:r>
        <w:rPr>
          <w:sz w:val="20"/>
          <w:szCs w:val="20"/>
        </w:rPr>
        <w:t xml:space="preserve">, </w:t>
      </w:r>
      <w:r w:rsidRPr="00545A77">
        <w:rPr>
          <w:sz w:val="20"/>
          <w:szCs w:val="20"/>
        </w:rPr>
        <w:t>como elementos cruciais para o desempenho florestal, uma vez que regulam parâmetros dendrométricos essenciais, como o diâmetro à altura do peito (DAP) e a altura das árvores. Tais variáveis são indispensáveis para o planejamento silvicultural e a adoção de estratégias de manejo sustentável (MENSAH et al., 2023; LIANG et al., 2023).</w:t>
      </w:r>
    </w:p>
    <w:p w14:paraId="4762EC7F" w14:textId="77777777" w:rsidR="00545A77" w:rsidRPr="00545A77" w:rsidRDefault="00545A77" w:rsidP="00545A77">
      <w:pPr>
        <w:ind w:firstLine="708"/>
        <w:rPr>
          <w:sz w:val="20"/>
          <w:szCs w:val="20"/>
        </w:rPr>
      </w:pPr>
      <w:r w:rsidRPr="00545A77">
        <w:rPr>
          <w:sz w:val="20"/>
          <w:szCs w:val="20"/>
        </w:rPr>
        <w:t>Em regiões semiáridas, o crescimento das espécies florestais está frequentemente condicionado à limitação hídrica e às restrições físico-químicas dos solos, o que pode afetar diretamente os padrões de desenvolvimento e as relações alométricas entre DAP e altura. A escassez de água, associada a solos com baixa fertilidade ou compactação superficial, impõe desafios adicionais à produção florestal, resultando em indivíduos de menor porte e crescimento mais lento (ZHOU et al., 2019; DAI et al., 2020). Essas condições exigem a seleção criteriosa de espécies adaptadas, capazes de manter um desempenho satisfatório mesmo em ambientes com severas limitações ambientais.</w:t>
      </w:r>
    </w:p>
    <w:p w14:paraId="39178C4B" w14:textId="77777777" w:rsidR="00545A77" w:rsidRPr="00545A77" w:rsidRDefault="00545A77" w:rsidP="00545A77">
      <w:pPr>
        <w:ind w:firstLine="708"/>
        <w:rPr>
          <w:sz w:val="20"/>
          <w:szCs w:val="20"/>
        </w:rPr>
      </w:pPr>
      <w:r w:rsidRPr="00545A77">
        <w:rPr>
          <w:sz w:val="20"/>
          <w:szCs w:val="20"/>
        </w:rPr>
        <w:t>Além disso, compreender como diferentes espécies se desenvolvem em condições edafoclimáticas adversas permite não apenas ampliar o conhecimento sobre sua ecologia, mas também orientar ações de recomposição vegetal e uso econômico sustentável da vegetação nativa. Avaliações dendrométricas simples, como altura e DAP, tornam-se ferramentas valiosas para comparar o desempenho de espécies e subsidiar a escolha daquelas com maior potencial para uso em projetos de revegetação, restauração ecológica ou produção florestal adaptada ao semiárido.</w:t>
      </w:r>
    </w:p>
    <w:p w14:paraId="576DF003" w14:textId="77777777" w:rsidR="00545A77" w:rsidRPr="00545A77" w:rsidRDefault="00545A77" w:rsidP="00545A77">
      <w:pPr>
        <w:ind w:firstLine="708"/>
        <w:rPr>
          <w:sz w:val="20"/>
          <w:szCs w:val="20"/>
        </w:rPr>
      </w:pPr>
      <w:r w:rsidRPr="00545A77">
        <w:rPr>
          <w:sz w:val="20"/>
          <w:szCs w:val="20"/>
        </w:rPr>
        <w:t>Diante disso, o presente estudo teve como objetivo avaliar o crescimento de sete espécies florestais em ambiente semiárido, por meio de parâmetros dendrométricos, com vistas a gerar subsídios para sua utilização em estratégias de manejo, conservação e silvicultura em áreas de baixa aptidão agrícola e alta restrição climática.</w:t>
      </w:r>
    </w:p>
    <w:p w14:paraId="72EE1F4F" w14:textId="77777777" w:rsidR="009D720A" w:rsidRDefault="009D720A">
      <w:pPr>
        <w:ind w:firstLine="708"/>
        <w:rPr>
          <w:b/>
          <w:sz w:val="20"/>
          <w:szCs w:val="20"/>
        </w:rPr>
      </w:pPr>
    </w:p>
    <w:p w14:paraId="6CB4B5FD" w14:textId="15135C30" w:rsidR="009101FC" w:rsidRPr="00A240B2" w:rsidRDefault="009F6F59" w:rsidP="00A240B2">
      <w:pPr>
        <w:ind w:firstLine="0"/>
        <w:rPr>
          <w:b/>
          <w:sz w:val="20"/>
          <w:szCs w:val="20"/>
        </w:rPr>
      </w:pPr>
      <w:r>
        <w:rPr>
          <w:b/>
          <w:sz w:val="20"/>
          <w:szCs w:val="20"/>
        </w:rPr>
        <w:t xml:space="preserve">MATERIAL E MÉTODOS </w:t>
      </w:r>
    </w:p>
    <w:p w14:paraId="2C0B3DF3" w14:textId="77777777" w:rsidR="009101FC" w:rsidRDefault="009101FC" w:rsidP="00A240B2">
      <w:pPr>
        <w:pStyle w:val="ds-markdown-paragraph"/>
        <w:shd w:val="clear" w:color="auto" w:fill="FFFFFF" w:themeFill="background1"/>
        <w:spacing w:before="0" w:beforeAutospacing="0" w:after="0" w:afterAutospacing="0"/>
        <w:ind w:firstLine="0"/>
        <w:rPr>
          <w:rStyle w:val="Forte"/>
          <w:sz w:val="20"/>
          <w:szCs w:val="20"/>
        </w:rPr>
      </w:pPr>
      <w:r w:rsidRPr="70BA7CCA">
        <w:rPr>
          <w:rStyle w:val="Forte"/>
          <w:sz w:val="20"/>
          <w:szCs w:val="20"/>
        </w:rPr>
        <w:t>Área Experimental</w:t>
      </w:r>
    </w:p>
    <w:p w14:paraId="46546DA4" w14:textId="77777777" w:rsidR="009101FC" w:rsidRPr="009101FC" w:rsidRDefault="009101FC" w:rsidP="009101FC">
      <w:pPr>
        <w:pStyle w:val="ds-markdown-paragraph"/>
        <w:shd w:val="clear" w:color="auto" w:fill="FFFFFF" w:themeFill="background1"/>
        <w:spacing w:before="0" w:beforeAutospacing="0" w:after="0" w:afterAutospacing="0"/>
        <w:ind w:firstLine="720"/>
        <w:rPr>
          <w:rStyle w:val="Forte"/>
          <w:b w:val="0"/>
          <w:bCs w:val="0"/>
          <w:sz w:val="20"/>
          <w:szCs w:val="20"/>
        </w:rPr>
      </w:pPr>
      <w:r w:rsidRPr="009101FC">
        <w:rPr>
          <w:rStyle w:val="Forte"/>
          <w:b w:val="0"/>
          <w:bCs w:val="0"/>
          <w:sz w:val="20"/>
          <w:szCs w:val="20"/>
        </w:rPr>
        <w:lastRenderedPageBreak/>
        <w:t xml:space="preserve">Este estudo foi desenvolvido na Fazenda Experimental Rafael Fernandes, pertencente à Universidade Federal Rural do Semi-Árido (UFERSA), situada na comunidade Alagoinha, zona rural de Mossoró-RN. A área está geograficamente localizada nas coordenadas 5°11’ de latitude Sul e 37°20’ de longitude Oeste, com altitude média de 18 metros, distando aproximadamente 20 km do centro urbano (SOUSA </w:t>
      </w:r>
      <w:r w:rsidRPr="000E452E">
        <w:rPr>
          <w:rStyle w:val="Forte"/>
          <w:b w:val="0"/>
          <w:bCs w:val="0"/>
          <w:sz w:val="20"/>
          <w:szCs w:val="20"/>
        </w:rPr>
        <w:t>et al</w:t>
      </w:r>
      <w:r w:rsidRPr="009101FC">
        <w:rPr>
          <w:rStyle w:val="Forte"/>
          <w:b w:val="0"/>
          <w:bCs w:val="0"/>
          <w:i/>
          <w:iCs/>
          <w:sz w:val="20"/>
          <w:szCs w:val="20"/>
        </w:rPr>
        <w:t>.</w:t>
      </w:r>
      <w:r w:rsidRPr="009101FC">
        <w:rPr>
          <w:rStyle w:val="Forte"/>
          <w:b w:val="0"/>
          <w:bCs w:val="0"/>
          <w:sz w:val="20"/>
          <w:szCs w:val="20"/>
        </w:rPr>
        <w:t>, 2016).</w:t>
      </w:r>
    </w:p>
    <w:p w14:paraId="2FFF08AB" w14:textId="77777777" w:rsidR="009101FC" w:rsidRPr="009101FC" w:rsidRDefault="009101FC" w:rsidP="009101FC">
      <w:pPr>
        <w:pStyle w:val="ds-markdown-paragraph"/>
        <w:shd w:val="clear" w:color="auto" w:fill="FFFFFF" w:themeFill="background1"/>
        <w:spacing w:before="0" w:beforeAutospacing="0" w:after="0" w:afterAutospacing="0"/>
        <w:ind w:firstLine="720"/>
        <w:rPr>
          <w:rStyle w:val="Forte"/>
          <w:b w:val="0"/>
          <w:bCs w:val="0"/>
          <w:sz w:val="20"/>
          <w:szCs w:val="20"/>
        </w:rPr>
      </w:pPr>
    </w:p>
    <w:p w14:paraId="4A1323A4" w14:textId="1D3DD1C2" w:rsidR="00421F3E" w:rsidRDefault="009101FC" w:rsidP="00A240B2">
      <w:pPr>
        <w:pStyle w:val="ds-markdown-paragraph"/>
        <w:shd w:val="clear" w:color="auto" w:fill="FFFFFF" w:themeFill="background1"/>
        <w:spacing w:before="0" w:beforeAutospacing="0" w:after="0" w:afterAutospacing="0"/>
        <w:ind w:firstLine="0"/>
      </w:pPr>
      <w:r w:rsidRPr="009101FC">
        <w:rPr>
          <w:rStyle w:val="Forte"/>
          <w:sz w:val="20"/>
          <w:szCs w:val="20"/>
        </w:rPr>
        <w:t>Histórico do Plantio</w:t>
      </w:r>
    </w:p>
    <w:p w14:paraId="65FC44A9" w14:textId="4BAD6516" w:rsidR="009101FC" w:rsidRPr="009101FC" w:rsidRDefault="009101FC" w:rsidP="00A240B2">
      <w:pPr>
        <w:pStyle w:val="ds-markdown-paragraph"/>
        <w:shd w:val="clear" w:color="auto" w:fill="FFFFFF" w:themeFill="background1"/>
        <w:spacing w:before="0" w:beforeAutospacing="0" w:after="0" w:afterAutospacing="0"/>
        <w:ind w:firstLine="0"/>
        <w:rPr>
          <w:rStyle w:val="Forte"/>
          <w:b w:val="0"/>
          <w:bCs w:val="0"/>
          <w:sz w:val="20"/>
          <w:szCs w:val="20"/>
        </w:rPr>
      </w:pPr>
      <w:r>
        <w:tab/>
      </w:r>
      <w:r w:rsidRPr="009101FC">
        <w:rPr>
          <w:rStyle w:val="Forte"/>
          <w:b w:val="0"/>
          <w:bCs w:val="0"/>
          <w:sz w:val="20"/>
          <w:szCs w:val="20"/>
        </w:rPr>
        <w:t xml:space="preserve">O experimento </w:t>
      </w:r>
      <w:r w:rsidR="00545A77">
        <w:rPr>
          <w:rStyle w:val="Forte"/>
          <w:b w:val="0"/>
          <w:bCs w:val="0"/>
          <w:sz w:val="20"/>
          <w:szCs w:val="20"/>
        </w:rPr>
        <w:t>f</w:t>
      </w:r>
      <w:r w:rsidRPr="009101FC">
        <w:rPr>
          <w:rStyle w:val="Forte"/>
          <w:b w:val="0"/>
          <w:bCs w:val="0"/>
          <w:sz w:val="20"/>
          <w:szCs w:val="20"/>
        </w:rPr>
        <w:t>oi implantado entre 2018</w:t>
      </w:r>
      <w:r w:rsidR="00545A77">
        <w:rPr>
          <w:rStyle w:val="Forte"/>
          <w:b w:val="0"/>
          <w:bCs w:val="0"/>
          <w:sz w:val="20"/>
          <w:szCs w:val="20"/>
        </w:rPr>
        <w:t xml:space="preserve"> </w:t>
      </w:r>
      <w:r w:rsidRPr="009101FC">
        <w:rPr>
          <w:rStyle w:val="Forte"/>
          <w:b w:val="0"/>
          <w:bCs w:val="0"/>
          <w:sz w:val="20"/>
          <w:szCs w:val="20"/>
        </w:rPr>
        <w:t xml:space="preserve">e nessa ocasião as mudas das espécies foram plantadas em covas de 20 cm de profundidade, adubadas com 50 g de NPK (20-30-10) + 1 kg/ha de B + 1,5 kg/ha de Zn por cova. A irrigação complementar foi realizada apenas no estabelecimento inicial das mudas. As espécies utilizadas no plantio foram: </w:t>
      </w:r>
      <w:r w:rsidRPr="009101FC">
        <w:rPr>
          <w:rStyle w:val="Forte"/>
          <w:b w:val="0"/>
          <w:bCs w:val="0"/>
          <w:i/>
          <w:iCs/>
          <w:sz w:val="20"/>
          <w:szCs w:val="20"/>
        </w:rPr>
        <w:t>Acacia mangium</w:t>
      </w:r>
      <w:r w:rsidRPr="009101FC">
        <w:rPr>
          <w:rStyle w:val="Forte"/>
          <w:b w:val="0"/>
          <w:bCs w:val="0"/>
          <w:sz w:val="20"/>
          <w:szCs w:val="20"/>
        </w:rPr>
        <w:t xml:space="preserve"> (Acácia), </w:t>
      </w:r>
      <w:r w:rsidRPr="009101FC">
        <w:rPr>
          <w:rStyle w:val="Forte"/>
          <w:b w:val="0"/>
          <w:bCs w:val="0"/>
          <w:i/>
          <w:iCs/>
          <w:sz w:val="20"/>
          <w:szCs w:val="20"/>
        </w:rPr>
        <w:t>Eucalyptus camaldulensis</w:t>
      </w:r>
      <w:r w:rsidRPr="009101FC">
        <w:rPr>
          <w:rStyle w:val="Forte"/>
          <w:b w:val="0"/>
          <w:bCs w:val="0"/>
          <w:sz w:val="20"/>
          <w:szCs w:val="20"/>
        </w:rPr>
        <w:t xml:space="preserve"> (Eucalipto), </w:t>
      </w:r>
      <w:r w:rsidRPr="009101FC">
        <w:rPr>
          <w:rStyle w:val="Forte"/>
          <w:b w:val="0"/>
          <w:bCs w:val="0"/>
          <w:i/>
          <w:iCs/>
          <w:sz w:val="20"/>
          <w:szCs w:val="20"/>
        </w:rPr>
        <w:t>Libidibia ferrea</w:t>
      </w:r>
      <w:r w:rsidRPr="009101FC">
        <w:rPr>
          <w:rStyle w:val="Forte"/>
          <w:b w:val="0"/>
          <w:bCs w:val="0"/>
          <w:sz w:val="20"/>
          <w:szCs w:val="20"/>
        </w:rPr>
        <w:t xml:space="preserve"> (Pau-Ferro), </w:t>
      </w:r>
      <w:r w:rsidRPr="009101FC">
        <w:rPr>
          <w:rStyle w:val="Forte"/>
          <w:b w:val="0"/>
          <w:bCs w:val="0"/>
          <w:i/>
          <w:iCs/>
          <w:sz w:val="20"/>
          <w:szCs w:val="20"/>
        </w:rPr>
        <w:t>Mimosa caesalpiniifolia</w:t>
      </w:r>
      <w:r w:rsidRPr="009101FC">
        <w:rPr>
          <w:rStyle w:val="Forte"/>
          <w:b w:val="0"/>
          <w:bCs w:val="0"/>
          <w:sz w:val="20"/>
          <w:szCs w:val="20"/>
        </w:rPr>
        <w:t xml:space="preserve"> (Sabiá), </w:t>
      </w:r>
      <w:r w:rsidRPr="009101FC">
        <w:rPr>
          <w:rStyle w:val="Forte"/>
          <w:b w:val="0"/>
          <w:bCs w:val="0"/>
          <w:i/>
          <w:iCs/>
          <w:sz w:val="20"/>
          <w:szCs w:val="20"/>
        </w:rPr>
        <w:t>Moringa oleifera</w:t>
      </w:r>
      <w:r w:rsidRPr="009101FC">
        <w:rPr>
          <w:rStyle w:val="Forte"/>
          <w:b w:val="0"/>
          <w:bCs w:val="0"/>
          <w:sz w:val="20"/>
          <w:szCs w:val="20"/>
        </w:rPr>
        <w:t xml:space="preserve"> (Moringa), </w:t>
      </w:r>
      <w:r w:rsidRPr="009101FC">
        <w:rPr>
          <w:rStyle w:val="Forte"/>
          <w:b w:val="0"/>
          <w:bCs w:val="0"/>
          <w:i/>
          <w:iCs/>
          <w:sz w:val="20"/>
          <w:szCs w:val="20"/>
        </w:rPr>
        <w:t>Poincianella pyramidalis</w:t>
      </w:r>
      <w:r w:rsidRPr="009101FC">
        <w:rPr>
          <w:rStyle w:val="Forte"/>
          <w:b w:val="0"/>
          <w:bCs w:val="0"/>
          <w:sz w:val="20"/>
          <w:szCs w:val="20"/>
        </w:rPr>
        <w:t xml:space="preserve"> (Catingueira) e </w:t>
      </w:r>
      <w:r w:rsidRPr="009101FC">
        <w:rPr>
          <w:rStyle w:val="Forte"/>
          <w:b w:val="0"/>
          <w:bCs w:val="0"/>
          <w:i/>
          <w:iCs/>
          <w:sz w:val="20"/>
          <w:szCs w:val="20"/>
        </w:rPr>
        <w:t>Tectona grandis</w:t>
      </w:r>
      <w:r w:rsidRPr="009101FC">
        <w:rPr>
          <w:rStyle w:val="Forte"/>
          <w:b w:val="0"/>
          <w:bCs w:val="0"/>
          <w:sz w:val="20"/>
          <w:szCs w:val="20"/>
        </w:rPr>
        <w:t xml:space="preserve"> (Teca).</w:t>
      </w:r>
    </w:p>
    <w:p w14:paraId="19E2FE9C" w14:textId="77777777" w:rsidR="009101FC" w:rsidRDefault="009101FC" w:rsidP="009101FC">
      <w:pPr>
        <w:pStyle w:val="ds-markdown-paragraph"/>
        <w:shd w:val="clear" w:color="auto" w:fill="FFFFFF" w:themeFill="background1"/>
        <w:spacing w:before="0" w:beforeAutospacing="0" w:after="0" w:afterAutospacing="0"/>
        <w:rPr>
          <w:rStyle w:val="Forte"/>
          <w:b w:val="0"/>
          <w:bCs w:val="0"/>
          <w:sz w:val="20"/>
          <w:szCs w:val="20"/>
        </w:rPr>
      </w:pPr>
    </w:p>
    <w:p w14:paraId="344E59C6" w14:textId="77777777" w:rsidR="009101FC" w:rsidRDefault="009101FC" w:rsidP="00A240B2">
      <w:pPr>
        <w:pStyle w:val="ds-markdown-paragraph"/>
        <w:shd w:val="clear" w:color="auto" w:fill="FFFFFF" w:themeFill="background1"/>
        <w:spacing w:before="0" w:beforeAutospacing="0" w:after="0" w:afterAutospacing="0"/>
        <w:ind w:firstLine="0"/>
        <w:rPr>
          <w:rStyle w:val="Forte"/>
          <w:sz w:val="20"/>
          <w:szCs w:val="20"/>
        </w:rPr>
      </w:pPr>
      <w:r w:rsidRPr="70BA7CCA">
        <w:rPr>
          <w:rStyle w:val="Forte"/>
          <w:sz w:val="20"/>
          <w:szCs w:val="20"/>
        </w:rPr>
        <w:t>Coleta de Dados</w:t>
      </w:r>
    </w:p>
    <w:p w14:paraId="3CD6D620" w14:textId="5C0C3C87" w:rsidR="009101FC" w:rsidRPr="009101FC" w:rsidRDefault="009101FC" w:rsidP="009101FC">
      <w:pPr>
        <w:pStyle w:val="ds-markdown-paragraph"/>
        <w:shd w:val="clear" w:color="auto" w:fill="FFFFFF" w:themeFill="background1"/>
        <w:spacing w:before="0" w:beforeAutospacing="0" w:after="0" w:afterAutospacing="0"/>
        <w:ind w:firstLine="720"/>
        <w:rPr>
          <w:rStyle w:val="Forte"/>
          <w:b w:val="0"/>
          <w:bCs w:val="0"/>
          <w:sz w:val="20"/>
          <w:szCs w:val="20"/>
        </w:rPr>
      </w:pPr>
      <w:r w:rsidRPr="009101FC">
        <w:rPr>
          <w:rStyle w:val="Forte"/>
          <w:b w:val="0"/>
          <w:bCs w:val="0"/>
          <w:sz w:val="20"/>
          <w:szCs w:val="20"/>
        </w:rPr>
        <w:t>Foram realizadas medições 7 anos após a implantação do plantio</w:t>
      </w:r>
      <w:r w:rsidR="00545A77">
        <w:rPr>
          <w:rStyle w:val="Forte"/>
          <w:b w:val="0"/>
          <w:bCs w:val="0"/>
          <w:sz w:val="20"/>
          <w:szCs w:val="20"/>
        </w:rPr>
        <w:t xml:space="preserve">, </w:t>
      </w:r>
      <w:r w:rsidRPr="009101FC">
        <w:rPr>
          <w:rStyle w:val="Forte"/>
          <w:b w:val="0"/>
          <w:bCs w:val="0"/>
          <w:sz w:val="20"/>
          <w:szCs w:val="20"/>
        </w:rPr>
        <w:t xml:space="preserve">distribuído em </w:t>
      </w:r>
      <w:r w:rsidR="00545A77">
        <w:rPr>
          <w:rStyle w:val="Forte"/>
          <w:b w:val="0"/>
          <w:bCs w:val="0"/>
          <w:sz w:val="20"/>
          <w:szCs w:val="20"/>
        </w:rPr>
        <w:t xml:space="preserve">4 </w:t>
      </w:r>
      <w:r w:rsidRPr="009101FC">
        <w:rPr>
          <w:rStyle w:val="Forte"/>
          <w:b w:val="0"/>
          <w:bCs w:val="0"/>
          <w:sz w:val="20"/>
          <w:szCs w:val="20"/>
        </w:rPr>
        <w:t>blocos com espaçamento de 3 m x 2 m</w:t>
      </w:r>
      <w:r w:rsidR="00545A77">
        <w:rPr>
          <w:rStyle w:val="Forte"/>
          <w:b w:val="0"/>
          <w:bCs w:val="0"/>
          <w:sz w:val="20"/>
          <w:szCs w:val="20"/>
        </w:rPr>
        <w:t xml:space="preserve"> entre plantas</w:t>
      </w:r>
      <w:r w:rsidRPr="009101FC">
        <w:rPr>
          <w:rStyle w:val="Forte"/>
          <w:b w:val="0"/>
          <w:bCs w:val="0"/>
          <w:sz w:val="20"/>
          <w:szCs w:val="20"/>
        </w:rPr>
        <w:t>. Cada bloco contém 16 indivíduos por espécie, totalizando 448 plantas.</w:t>
      </w:r>
    </w:p>
    <w:p w14:paraId="18E15142" w14:textId="77777777" w:rsidR="009101FC" w:rsidRPr="009101FC" w:rsidRDefault="009101FC" w:rsidP="009101FC">
      <w:pPr>
        <w:pStyle w:val="ds-markdown-paragraph"/>
        <w:shd w:val="clear" w:color="auto" w:fill="FFFFFF" w:themeFill="background1"/>
        <w:spacing w:before="0" w:beforeAutospacing="0" w:after="206" w:afterAutospacing="0"/>
        <w:ind w:firstLine="720"/>
      </w:pPr>
      <w:r w:rsidRPr="009101FC">
        <w:rPr>
          <w:rStyle w:val="Forte"/>
          <w:b w:val="0"/>
          <w:bCs w:val="0"/>
          <w:sz w:val="20"/>
          <w:szCs w:val="20"/>
        </w:rPr>
        <w:t>As variáveis mensuradas no estudo foram:</w:t>
      </w:r>
    </w:p>
    <w:p w14:paraId="16F71D55" w14:textId="77777777" w:rsidR="009101FC" w:rsidRPr="009101FC" w:rsidRDefault="009101FC" w:rsidP="009101FC">
      <w:pPr>
        <w:pStyle w:val="ds-markdown-paragraph"/>
        <w:numPr>
          <w:ilvl w:val="0"/>
          <w:numId w:val="2"/>
        </w:numPr>
        <w:shd w:val="clear" w:color="auto" w:fill="FFFFFF" w:themeFill="background1"/>
        <w:spacing w:before="0" w:beforeAutospacing="0" w:after="206" w:afterAutospacing="0"/>
        <w:rPr>
          <w:rStyle w:val="Forte"/>
          <w:b w:val="0"/>
          <w:bCs w:val="0"/>
          <w:sz w:val="20"/>
          <w:szCs w:val="20"/>
        </w:rPr>
      </w:pPr>
      <w:r w:rsidRPr="009101FC">
        <w:rPr>
          <w:rStyle w:val="Forte"/>
          <w:b w:val="0"/>
          <w:bCs w:val="0"/>
          <w:sz w:val="20"/>
          <w:szCs w:val="20"/>
        </w:rPr>
        <w:t>Altura total (H): Medida com auxílio do clinômetro digital Haglöf (precisão ±0,1°), posicionado a 3m da base da árvore, do solo até o ápice do indivíduo. Para árvores bifurcadas, considerou-se o fuste dominante.</w:t>
      </w:r>
    </w:p>
    <w:p w14:paraId="4E99A07C" w14:textId="77777777" w:rsidR="00BC0C75" w:rsidRPr="00BC0C75" w:rsidRDefault="009101FC" w:rsidP="009101FC">
      <w:pPr>
        <w:pStyle w:val="ds-markdown-paragraph"/>
        <w:numPr>
          <w:ilvl w:val="0"/>
          <w:numId w:val="2"/>
        </w:numPr>
        <w:shd w:val="clear" w:color="auto" w:fill="FFFFFF" w:themeFill="background1"/>
        <w:spacing w:before="0" w:beforeAutospacing="0" w:after="206" w:afterAutospacing="0"/>
        <w:rPr>
          <w:sz w:val="20"/>
          <w:szCs w:val="20"/>
        </w:rPr>
      </w:pPr>
      <w:r w:rsidRPr="009101FC">
        <w:rPr>
          <w:rStyle w:val="Forte"/>
          <w:b w:val="0"/>
          <w:bCs w:val="0"/>
          <w:sz w:val="20"/>
          <w:szCs w:val="20"/>
        </w:rPr>
        <w:t xml:space="preserve">Diâmetro à Altura do Peito (DAP): obtido indiretamente pela medição da Circunferência à Altura do Peito (CAP) utilizando fita métrica graduada, posicionada a 1,30 m do solo. Em seguida, calculou-se o DAP através da fórmula: </w:t>
      </w:r>
    </w:p>
    <w:p w14:paraId="001B7848" w14:textId="76AE8F7B" w:rsidR="001F043C" w:rsidRDefault="00A52A04" w:rsidP="00BC0C75">
      <w:pPr>
        <w:pStyle w:val="ds-markdown-paragraph"/>
        <w:shd w:val="clear" w:color="auto" w:fill="FFFFFF" w:themeFill="background1"/>
        <w:spacing w:before="0" w:beforeAutospacing="0" w:after="206" w:afterAutospacing="0"/>
        <w:ind w:left="720" w:firstLine="0"/>
        <w:jc w:val="center"/>
        <w:rPr>
          <w:rStyle w:val="Forte"/>
          <w:b w:val="0"/>
          <w:bCs w:val="0"/>
          <w:sz w:val="20"/>
          <w:szCs w:val="20"/>
        </w:rPr>
      </w:pPr>
      <m:oMathPara>
        <m:oMath>
          <m:r>
            <w:rPr>
              <w:rStyle w:val="Forte"/>
              <w:rFonts w:ascii="Cambria Math" w:hAnsi="Cambria Math"/>
              <w:sz w:val="20"/>
              <w:szCs w:val="20"/>
            </w:rPr>
            <m:t xml:space="preserve">DAP= </m:t>
          </m:r>
          <m:f>
            <m:fPr>
              <m:ctrlPr>
                <w:rPr>
                  <w:rStyle w:val="Forte"/>
                  <w:rFonts w:ascii="Cambria Math" w:hAnsi="Cambria Math"/>
                  <w:b w:val="0"/>
                  <w:bCs w:val="0"/>
                  <w:i/>
                  <w:sz w:val="20"/>
                  <w:szCs w:val="20"/>
                </w:rPr>
              </m:ctrlPr>
            </m:fPr>
            <m:num>
              <m:r>
                <w:rPr>
                  <w:rStyle w:val="Forte"/>
                  <w:rFonts w:ascii="Cambria Math" w:hAnsi="Cambria Math"/>
                  <w:sz w:val="20"/>
                  <w:szCs w:val="20"/>
                </w:rPr>
                <m:t>CAP (cm)</m:t>
              </m:r>
            </m:num>
            <m:den>
              <m:r>
                <w:rPr>
                  <w:rStyle w:val="Forte"/>
                  <w:rFonts w:ascii="Cambria Math" w:hAnsi="Cambria Math"/>
                  <w:sz w:val="20"/>
                  <w:szCs w:val="20"/>
                </w:rPr>
                <m:t>π</m:t>
              </m:r>
            </m:den>
          </m:f>
        </m:oMath>
      </m:oMathPara>
    </w:p>
    <w:p w14:paraId="55EE03A7" w14:textId="77777777" w:rsidR="009101FC" w:rsidRPr="009101FC" w:rsidRDefault="009101FC" w:rsidP="00BC0C75">
      <w:pPr>
        <w:ind w:left="720" w:firstLine="0"/>
        <w:rPr>
          <w:sz w:val="20"/>
          <w:szCs w:val="20"/>
        </w:rPr>
      </w:pPr>
      <w:r w:rsidRPr="009101FC">
        <w:rPr>
          <w:sz w:val="20"/>
          <w:szCs w:val="20"/>
        </w:rPr>
        <w:t>Para indivíduos com bifurcação, mediu-se todos os fustes acima de 1,30 m e calculou-se o diâmetro equivalente, através da fórmula:</w:t>
      </w:r>
    </w:p>
    <w:p w14:paraId="270EF530" w14:textId="3CB09280" w:rsidR="009101FC" w:rsidRDefault="009E54C8" w:rsidP="009E54C8">
      <w:pPr>
        <w:jc w:val="center"/>
        <w:rPr>
          <w:sz w:val="20"/>
          <w:szCs w:val="20"/>
        </w:rPr>
      </w:pPr>
      <w:r>
        <w:rPr>
          <w:sz w:val="20"/>
          <w:szCs w:val="20"/>
        </w:rPr>
        <w:t xml:space="preserve">Deq = </w:t>
      </w:r>
      <m:oMath>
        <m:rad>
          <m:radPr>
            <m:degHide m:val="1"/>
            <m:ctrlPr>
              <w:rPr>
                <w:rFonts w:ascii="Cambria Math" w:hAnsi="Cambria Math"/>
                <w:i/>
                <w:sz w:val="20"/>
                <w:szCs w:val="20"/>
              </w:rPr>
            </m:ctrlPr>
          </m:radPr>
          <m:deg/>
          <m:e>
            <m:r>
              <w:rPr>
                <w:rFonts w:ascii="Cambria Math" w:hAnsi="Cambria Math"/>
                <w:sz w:val="20"/>
                <w:szCs w:val="20"/>
              </w:rPr>
              <m:t>ΣDAPi²</m:t>
            </m:r>
          </m:e>
        </m:rad>
      </m:oMath>
    </w:p>
    <w:p w14:paraId="67C7D9C1" w14:textId="77777777" w:rsidR="00BC0C75" w:rsidRPr="009101FC" w:rsidRDefault="00BC0C75" w:rsidP="009101FC">
      <w:pPr>
        <w:rPr>
          <w:sz w:val="20"/>
          <w:szCs w:val="20"/>
        </w:rPr>
      </w:pPr>
    </w:p>
    <w:p w14:paraId="6AC7054D" w14:textId="77777777" w:rsidR="00421F3E" w:rsidRDefault="009101FC" w:rsidP="009101FC">
      <w:pPr>
        <w:pStyle w:val="ds-markdown-paragraph"/>
        <w:shd w:val="clear" w:color="auto" w:fill="FFFFFF" w:themeFill="background1"/>
        <w:spacing w:before="0" w:beforeAutospacing="0" w:after="0" w:afterAutospacing="0" w:line="429" w:lineRule="atLeast"/>
      </w:pPr>
      <w:r w:rsidRPr="009101FC">
        <w:rPr>
          <w:rStyle w:val="Forte"/>
          <w:b w:val="0"/>
          <w:bCs w:val="0"/>
          <w:sz w:val="20"/>
          <w:szCs w:val="20"/>
        </w:rPr>
        <w:t>Onde,</w:t>
      </w:r>
      <w:r w:rsidR="00BC0C75">
        <w:rPr>
          <w:rStyle w:val="Forte"/>
          <w:b w:val="0"/>
          <w:bCs w:val="0"/>
          <w:sz w:val="20"/>
          <w:szCs w:val="20"/>
        </w:rPr>
        <w:t xml:space="preserve"> </w:t>
      </w:r>
      <w:r w:rsidRPr="009101FC">
        <w:rPr>
          <w:rStyle w:val="Forte"/>
          <w:b w:val="0"/>
          <w:bCs w:val="0"/>
          <w:sz w:val="20"/>
          <w:szCs w:val="20"/>
        </w:rPr>
        <w:t>DAPi são os diâmetros individuais dos fustes.</w:t>
      </w:r>
    </w:p>
    <w:p w14:paraId="66C70955" w14:textId="5B4B173A" w:rsidR="009101FC" w:rsidRPr="009101FC" w:rsidRDefault="009101FC" w:rsidP="00973208">
      <w:pPr>
        <w:pStyle w:val="ds-markdown-paragraph"/>
        <w:shd w:val="clear" w:color="auto" w:fill="FFFFFF" w:themeFill="background1"/>
        <w:spacing w:before="0" w:beforeAutospacing="0" w:after="0" w:afterAutospacing="0" w:line="429" w:lineRule="atLeast"/>
        <w:ind w:firstLine="0"/>
        <w:rPr>
          <w:rStyle w:val="Forte"/>
          <w:b w:val="0"/>
          <w:bCs w:val="0"/>
          <w:sz w:val="20"/>
          <w:szCs w:val="20"/>
        </w:rPr>
      </w:pPr>
      <w:r w:rsidRPr="009101FC">
        <w:rPr>
          <w:rStyle w:val="Forte"/>
          <w:sz w:val="20"/>
          <w:szCs w:val="20"/>
        </w:rPr>
        <w:t>Análise estatística</w:t>
      </w:r>
    </w:p>
    <w:p w14:paraId="7CBDEADA" w14:textId="4F0A3F55" w:rsidR="009101FC" w:rsidRDefault="009101FC" w:rsidP="009101FC">
      <w:pPr>
        <w:pStyle w:val="ds-markdown-paragraph"/>
        <w:shd w:val="clear" w:color="auto" w:fill="FFFFFF" w:themeFill="background1"/>
        <w:spacing w:before="0" w:beforeAutospacing="0" w:after="0" w:afterAutospacing="0"/>
        <w:ind w:firstLine="720"/>
        <w:rPr>
          <w:rStyle w:val="Forte"/>
          <w:b w:val="0"/>
          <w:bCs w:val="0"/>
          <w:sz w:val="20"/>
          <w:szCs w:val="20"/>
        </w:rPr>
      </w:pPr>
      <w:r w:rsidRPr="009101FC">
        <w:rPr>
          <w:rStyle w:val="Forte"/>
          <w:b w:val="0"/>
          <w:bCs w:val="0"/>
          <w:sz w:val="20"/>
          <w:szCs w:val="20"/>
        </w:rPr>
        <w:t>O experimento foi conduzido em blocos completos casualizados, composto por 4 repetições. Os dados foram submetidos a análise de variância (ANOVA) e ao teste de Tukey (p&lt; 0,05). As análises estatísticas e elaboração de figuras foram realizadas utilizado o software GraphPad Prism v. 10.4.2.</w:t>
      </w:r>
    </w:p>
    <w:p w14:paraId="5E6A5011" w14:textId="77777777" w:rsidR="009101FC" w:rsidRPr="009101FC" w:rsidRDefault="009101FC" w:rsidP="009101FC">
      <w:pPr>
        <w:pStyle w:val="ds-markdown-paragraph"/>
        <w:shd w:val="clear" w:color="auto" w:fill="FFFFFF" w:themeFill="background1"/>
        <w:spacing w:before="0" w:beforeAutospacing="0" w:after="0" w:afterAutospacing="0"/>
        <w:ind w:firstLine="720"/>
        <w:rPr>
          <w:rStyle w:val="Forte"/>
          <w:b w:val="0"/>
          <w:bCs w:val="0"/>
          <w:sz w:val="20"/>
          <w:szCs w:val="20"/>
        </w:rPr>
      </w:pPr>
    </w:p>
    <w:p w14:paraId="61EE9C53" w14:textId="43996684" w:rsidR="009D720A" w:rsidRDefault="009F6F59" w:rsidP="00A240B2">
      <w:pPr>
        <w:ind w:firstLine="0"/>
        <w:contextualSpacing/>
        <w:rPr>
          <w:b/>
          <w:sz w:val="20"/>
          <w:szCs w:val="20"/>
        </w:rPr>
      </w:pPr>
      <w:r>
        <w:rPr>
          <w:b/>
          <w:sz w:val="20"/>
          <w:szCs w:val="20"/>
        </w:rPr>
        <w:t xml:space="preserve">RESULTADOS E DISCUSSÃO </w:t>
      </w:r>
    </w:p>
    <w:p w14:paraId="6D815460" w14:textId="5A853CCF" w:rsidR="00ED3D38" w:rsidRPr="00ED3D38" w:rsidRDefault="00ED3D38" w:rsidP="00ED3D38">
      <w:pPr>
        <w:rPr>
          <w:color w:val="000000" w:themeColor="text1"/>
          <w:sz w:val="20"/>
          <w:szCs w:val="20"/>
        </w:rPr>
      </w:pPr>
      <w:r w:rsidRPr="00ED3D38">
        <w:rPr>
          <w:color w:val="000000" w:themeColor="text1"/>
          <w:sz w:val="20"/>
          <w:szCs w:val="20"/>
        </w:rPr>
        <w:t xml:space="preserve">Os resultados da análise de variância (ANOVA) indicaram diferenças significativas entre as espécies avaliadas quanto ao diâmetro à altura do peito (DAP) e à altura total (Figura 1). Conforme o teste de Tukey (p &lt; 0,05), </w:t>
      </w:r>
      <w:r w:rsidRPr="00ED3D38">
        <w:rPr>
          <w:i/>
          <w:iCs/>
          <w:color w:val="000000" w:themeColor="text1"/>
          <w:sz w:val="20"/>
          <w:szCs w:val="20"/>
        </w:rPr>
        <w:t>Eucalyptus camaldulensis</w:t>
      </w:r>
      <w:r w:rsidRPr="00ED3D38">
        <w:rPr>
          <w:color w:val="000000" w:themeColor="text1"/>
          <w:sz w:val="20"/>
          <w:szCs w:val="20"/>
        </w:rPr>
        <w:t xml:space="preserve"> e </w:t>
      </w:r>
      <w:r w:rsidRPr="00ED3D38">
        <w:rPr>
          <w:i/>
          <w:iCs/>
          <w:color w:val="000000" w:themeColor="text1"/>
          <w:sz w:val="20"/>
          <w:szCs w:val="20"/>
        </w:rPr>
        <w:t>Acacia mangium</w:t>
      </w:r>
      <w:r w:rsidRPr="00ED3D38">
        <w:rPr>
          <w:color w:val="000000" w:themeColor="text1"/>
          <w:sz w:val="20"/>
          <w:szCs w:val="20"/>
        </w:rPr>
        <w:t xml:space="preserve"> apresentaram os maiores valores médios de DAP, com 12,86 cm e 12,23 cm, respectivamente, sem diferença estatística entre si, mas com desempenho significativamente superior em relação às demais espécies. Entre as nativas, </w:t>
      </w:r>
      <w:r w:rsidRPr="00ED3D38">
        <w:rPr>
          <w:i/>
          <w:iCs/>
          <w:color w:val="000000" w:themeColor="text1"/>
          <w:sz w:val="20"/>
          <w:szCs w:val="20"/>
        </w:rPr>
        <w:t>Mimosa caesalpiniifolia</w:t>
      </w:r>
      <w:r w:rsidRPr="00ED3D38">
        <w:rPr>
          <w:color w:val="000000" w:themeColor="text1"/>
          <w:sz w:val="20"/>
          <w:szCs w:val="20"/>
        </w:rPr>
        <w:t xml:space="preserve"> destacou-se com valor médio de 10,66 cm</w:t>
      </w:r>
      <w:r>
        <w:rPr>
          <w:color w:val="000000" w:themeColor="text1"/>
          <w:sz w:val="20"/>
          <w:szCs w:val="20"/>
        </w:rPr>
        <w:t xml:space="preserve"> (estatisticamente igual a </w:t>
      </w:r>
      <w:r w:rsidRPr="00ED3D38">
        <w:rPr>
          <w:i/>
          <w:iCs/>
          <w:color w:val="000000" w:themeColor="text1"/>
          <w:sz w:val="20"/>
          <w:szCs w:val="20"/>
        </w:rPr>
        <w:t>Acacia mangium</w:t>
      </w:r>
      <w:r>
        <w:rPr>
          <w:i/>
          <w:iCs/>
          <w:color w:val="000000" w:themeColor="text1"/>
          <w:sz w:val="20"/>
          <w:szCs w:val="20"/>
        </w:rPr>
        <w:t>)</w:t>
      </w:r>
      <w:r w:rsidRPr="00ED3D38">
        <w:rPr>
          <w:color w:val="000000" w:themeColor="text1"/>
          <w:sz w:val="20"/>
          <w:szCs w:val="20"/>
        </w:rPr>
        <w:t>,</w:t>
      </w:r>
      <w:r>
        <w:rPr>
          <w:color w:val="000000" w:themeColor="text1"/>
          <w:sz w:val="20"/>
          <w:szCs w:val="20"/>
        </w:rPr>
        <w:t xml:space="preserve"> </w:t>
      </w:r>
      <w:r w:rsidRPr="00ED3D38">
        <w:rPr>
          <w:color w:val="000000" w:themeColor="text1"/>
          <w:sz w:val="20"/>
          <w:szCs w:val="20"/>
        </w:rPr>
        <w:t xml:space="preserve">enquanto </w:t>
      </w:r>
      <w:r w:rsidRPr="00ED3D38">
        <w:rPr>
          <w:i/>
          <w:iCs/>
          <w:color w:val="000000" w:themeColor="text1"/>
          <w:sz w:val="20"/>
          <w:szCs w:val="20"/>
        </w:rPr>
        <w:t>Libidibia ferrea</w:t>
      </w:r>
      <w:r w:rsidRPr="00ED3D38">
        <w:rPr>
          <w:color w:val="000000" w:themeColor="text1"/>
          <w:sz w:val="20"/>
          <w:szCs w:val="20"/>
        </w:rPr>
        <w:t xml:space="preserve"> e </w:t>
      </w:r>
      <w:r w:rsidRPr="00ED3D38">
        <w:rPr>
          <w:i/>
          <w:iCs/>
          <w:color w:val="000000" w:themeColor="text1"/>
          <w:sz w:val="20"/>
          <w:szCs w:val="20"/>
        </w:rPr>
        <w:t>Poincianella pyramidalis</w:t>
      </w:r>
      <w:r w:rsidRPr="00ED3D38">
        <w:rPr>
          <w:color w:val="000000" w:themeColor="text1"/>
          <w:sz w:val="20"/>
          <w:szCs w:val="20"/>
        </w:rPr>
        <w:t xml:space="preserve"> apresentaram os menores valores, 2,71 cm e 3,42 cm, respectivamente.</w:t>
      </w:r>
    </w:p>
    <w:p w14:paraId="26B6B6D7" w14:textId="6A7A37DE" w:rsidR="00ED3D38" w:rsidRPr="00ED3D38" w:rsidRDefault="00ED3D38" w:rsidP="00ED3D38">
      <w:pPr>
        <w:rPr>
          <w:color w:val="000000" w:themeColor="text1"/>
          <w:sz w:val="20"/>
          <w:szCs w:val="20"/>
        </w:rPr>
      </w:pPr>
      <w:r w:rsidRPr="00ED3D38">
        <w:rPr>
          <w:color w:val="000000" w:themeColor="text1"/>
          <w:sz w:val="20"/>
          <w:szCs w:val="20"/>
        </w:rPr>
        <w:t xml:space="preserve">Em relação à altura, o padrão se repetiu (Figura 1), com as espécies exóticas apresentando maior desenvolvimento. </w:t>
      </w:r>
      <w:r w:rsidRPr="00ED3D38">
        <w:rPr>
          <w:i/>
          <w:iCs/>
          <w:color w:val="000000" w:themeColor="text1"/>
          <w:sz w:val="20"/>
          <w:szCs w:val="20"/>
        </w:rPr>
        <w:t>Eucalyptus camaldulensis</w:t>
      </w:r>
      <w:r w:rsidRPr="00ED3D38">
        <w:rPr>
          <w:color w:val="000000" w:themeColor="text1"/>
          <w:sz w:val="20"/>
          <w:szCs w:val="20"/>
        </w:rPr>
        <w:t xml:space="preserve"> atingiu 9,07 m, sendo estatisticamente superior a todas as demais espécies, seguido por </w:t>
      </w:r>
      <w:r w:rsidRPr="00547879">
        <w:rPr>
          <w:i/>
          <w:iCs/>
          <w:color w:val="000000" w:themeColor="text1"/>
          <w:sz w:val="20"/>
          <w:szCs w:val="20"/>
        </w:rPr>
        <w:t>A. mangium</w:t>
      </w:r>
      <w:r w:rsidRPr="00ED3D38">
        <w:rPr>
          <w:color w:val="000000" w:themeColor="text1"/>
          <w:sz w:val="20"/>
          <w:szCs w:val="20"/>
        </w:rPr>
        <w:t xml:space="preserve">, com 5,62 m. Dentre as espécies nativas, </w:t>
      </w:r>
      <w:r w:rsidRPr="00ED3D38">
        <w:rPr>
          <w:i/>
          <w:iCs/>
          <w:color w:val="000000" w:themeColor="text1"/>
          <w:sz w:val="20"/>
          <w:szCs w:val="20"/>
        </w:rPr>
        <w:t>M. caesalpiniifolia</w:t>
      </w:r>
      <w:r w:rsidRPr="00ED3D38">
        <w:rPr>
          <w:color w:val="000000" w:themeColor="text1"/>
          <w:sz w:val="20"/>
          <w:szCs w:val="20"/>
        </w:rPr>
        <w:t xml:space="preserve"> apresentou o melhor desempenho, alcançando 4,21 m, enquanto </w:t>
      </w:r>
      <w:r w:rsidRPr="00ED3D38">
        <w:rPr>
          <w:i/>
          <w:iCs/>
          <w:color w:val="000000" w:themeColor="text1"/>
          <w:sz w:val="20"/>
          <w:szCs w:val="20"/>
        </w:rPr>
        <w:t>L. ferrea</w:t>
      </w:r>
      <w:r w:rsidRPr="00ED3D38">
        <w:rPr>
          <w:color w:val="000000" w:themeColor="text1"/>
          <w:sz w:val="20"/>
          <w:szCs w:val="20"/>
        </w:rPr>
        <w:t xml:space="preserve"> e </w:t>
      </w:r>
      <w:r w:rsidRPr="00ED3D38">
        <w:rPr>
          <w:i/>
          <w:iCs/>
          <w:color w:val="000000" w:themeColor="text1"/>
          <w:sz w:val="20"/>
          <w:szCs w:val="20"/>
        </w:rPr>
        <w:t>P. pyramidalis</w:t>
      </w:r>
      <w:r w:rsidRPr="00ED3D38">
        <w:rPr>
          <w:color w:val="000000" w:themeColor="text1"/>
          <w:sz w:val="20"/>
          <w:szCs w:val="20"/>
        </w:rPr>
        <w:t xml:space="preserve"> apresentaram as menores alturas (2,24 m e 1,39 m, respectivamente), sem diferença significativa entre si (p = 0,907). Essa semelhança sugere a adoção de estratégias conservativas comuns, como maior alocação de recursos ao sistema radicular — uma adaptação característica de plantas em ambientes com déficit hídrico (CORREIA &amp; NOGUEIRA, 2004; TAIZ &amp; ZEIGER, 2013).</w:t>
      </w:r>
    </w:p>
    <w:p w14:paraId="3E2E50FE" w14:textId="1BD50B7E" w:rsidR="00ED3D38" w:rsidRPr="00ED3D38" w:rsidRDefault="00ED3D38" w:rsidP="00ED3D38">
      <w:pPr>
        <w:rPr>
          <w:color w:val="000000" w:themeColor="text1"/>
          <w:sz w:val="20"/>
          <w:szCs w:val="20"/>
        </w:rPr>
      </w:pPr>
      <w:r w:rsidRPr="00ED3D38">
        <w:rPr>
          <w:color w:val="000000" w:themeColor="text1"/>
          <w:sz w:val="20"/>
          <w:szCs w:val="20"/>
        </w:rPr>
        <w:t xml:space="preserve">O desempenho superior das espécies exóticas foi evidente, com </w:t>
      </w:r>
      <w:r w:rsidRPr="00ED3D38">
        <w:rPr>
          <w:i/>
          <w:iCs/>
          <w:color w:val="000000" w:themeColor="text1"/>
          <w:sz w:val="20"/>
          <w:szCs w:val="20"/>
        </w:rPr>
        <w:t>E. camaldulensis</w:t>
      </w:r>
      <w:r w:rsidRPr="00ED3D38">
        <w:rPr>
          <w:color w:val="000000" w:themeColor="text1"/>
          <w:sz w:val="20"/>
          <w:szCs w:val="20"/>
        </w:rPr>
        <w:t xml:space="preserve"> destacando-se em ambas as variáveis. Tal produtividade pode ser atribuída à combinação de características adaptativas, como elevada tolerância à seca e a altas temperaturas, crescimento acelerado e um sistema radicular profundo e versátil, capaz </w:t>
      </w:r>
      <w:r w:rsidRPr="00ED3D38">
        <w:rPr>
          <w:color w:val="000000" w:themeColor="text1"/>
          <w:sz w:val="20"/>
          <w:szCs w:val="20"/>
        </w:rPr>
        <w:lastRenderedPageBreak/>
        <w:t xml:space="preserve">de acessar tanto a umidade superficial quanto subterrânea (SMITH et al., 2017; HOSSEINZADEH, 2020). Esses resultados são consistentes com estudos realizados em outras regiões semiáridas, como o sul da Índia, onde </w:t>
      </w:r>
      <w:r w:rsidRPr="00ED3D38">
        <w:rPr>
          <w:i/>
          <w:iCs/>
          <w:color w:val="000000" w:themeColor="text1"/>
          <w:sz w:val="20"/>
          <w:szCs w:val="20"/>
        </w:rPr>
        <w:t>E. camaldulensis</w:t>
      </w:r>
      <w:r w:rsidRPr="00ED3D38">
        <w:rPr>
          <w:color w:val="000000" w:themeColor="text1"/>
          <w:sz w:val="20"/>
          <w:szCs w:val="20"/>
        </w:rPr>
        <w:t xml:space="preserve"> também demonstrou crescimento expressivo (SURAJ et al., 2024).</w:t>
      </w:r>
    </w:p>
    <w:p w14:paraId="3E8DDE26" w14:textId="20C18572" w:rsidR="00ED3D38" w:rsidRPr="00ED3D38" w:rsidRDefault="00ED3D38" w:rsidP="00ED3D38">
      <w:pPr>
        <w:rPr>
          <w:color w:val="000000" w:themeColor="text1"/>
          <w:sz w:val="20"/>
          <w:szCs w:val="20"/>
        </w:rPr>
      </w:pPr>
      <w:r w:rsidRPr="00ED3D38">
        <w:rPr>
          <w:color w:val="000000" w:themeColor="text1"/>
          <w:sz w:val="20"/>
          <w:szCs w:val="20"/>
        </w:rPr>
        <w:t xml:space="preserve">De maneira semelhante, </w:t>
      </w:r>
      <w:r w:rsidRPr="00547879">
        <w:rPr>
          <w:i/>
          <w:iCs/>
          <w:color w:val="000000" w:themeColor="text1"/>
          <w:sz w:val="20"/>
          <w:szCs w:val="20"/>
        </w:rPr>
        <w:t>A. mangium</w:t>
      </w:r>
      <w:r w:rsidRPr="00ED3D38">
        <w:rPr>
          <w:color w:val="000000" w:themeColor="text1"/>
          <w:sz w:val="20"/>
          <w:szCs w:val="20"/>
        </w:rPr>
        <w:t xml:space="preserve"> apresentou crescimento significativo, atribuído a suas estratégias adaptativas, como a eficiência no uso de nutrientes, a tolerância a solos ácidos e compactados, e a capacidade de fixação biológica de nitrogênio (SILVA et al., 2018). Em contraste, as espécies nativas apresentaram crescimento mais modesto, comportamento típico de plantas de regiões semiáridas, onde fatores como alta temperatura, baixa pluviosidade e elevada evapotranspiração limitam o acúmulo de biomassa (DALLA LANA et al., 2018).</w:t>
      </w:r>
    </w:p>
    <w:p w14:paraId="2B801320" w14:textId="7D9322A2" w:rsidR="00ED3D38" w:rsidRPr="00ED3D38" w:rsidRDefault="00ED3D38" w:rsidP="00ED3D38">
      <w:pPr>
        <w:rPr>
          <w:color w:val="000000" w:themeColor="text1"/>
          <w:sz w:val="20"/>
          <w:szCs w:val="20"/>
        </w:rPr>
      </w:pPr>
      <w:r w:rsidRPr="00ED3D38">
        <w:rPr>
          <w:color w:val="000000" w:themeColor="text1"/>
          <w:sz w:val="20"/>
          <w:szCs w:val="20"/>
        </w:rPr>
        <w:t xml:space="preserve">Dentre as espécies nativas, </w:t>
      </w:r>
      <w:r w:rsidRPr="00ED3D38">
        <w:rPr>
          <w:i/>
          <w:iCs/>
          <w:color w:val="000000" w:themeColor="text1"/>
          <w:sz w:val="20"/>
          <w:szCs w:val="20"/>
        </w:rPr>
        <w:t>M. caesalpiniifolia</w:t>
      </w:r>
      <w:r w:rsidRPr="00ED3D38">
        <w:rPr>
          <w:color w:val="000000" w:themeColor="text1"/>
          <w:sz w:val="20"/>
          <w:szCs w:val="20"/>
        </w:rPr>
        <w:t xml:space="preserve"> apresentou os melhores valores médios de DAP e altura, embora sem superar as exóticas. Este desempenho reflete sua plasticidade para crescimento em diâmetro mesmo sob condições edafoclimáticas adversas. Ressalta-se que, em florestas sazonais secas, a produtividade primária das espécies nativas pode ser severamente reduzida durante a estação seca, resultando em área basal até 75% inferior à observada em espécies de florestas tropicais úmidas (COLLEVATTI et al., 2013).</w:t>
      </w:r>
    </w:p>
    <w:p w14:paraId="076F03F6" w14:textId="6B6A8CD6" w:rsidR="009101FC" w:rsidRPr="00ED3D38" w:rsidRDefault="00ED3D38" w:rsidP="00ED3D38">
      <w:pPr>
        <w:rPr>
          <w:sz w:val="20"/>
          <w:szCs w:val="20"/>
        </w:rPr>
      </w:pPr>
      <w:r w:rsidRPr="00ED3D38">
        <w:rPr>
          <w:color w:val="000000" w:themeColor="text1"/>
          <w:sz w:val="20"/>
          <w:szCs w:val="20"/>
        </w:rPr>
        <w:t>Nossos resultados confirmam esse padrão</w:t>
      </w:r>
      <w:r w:rsidRPr="00ED3D38">
        <w:rPr>
          <w:i/>
          <w:iCs/>
          <w:color w:val="000000" w:themeColor="text1"/>
          <w:sz w:val="20"/>
          <w:szCs w:val="20"/>
        </w:rPr>
        <w:t>: L. ferrea</w:t>
      </w:r>
      <w:r w:rsidRPr="00ED3D38">
        <w:rPr>
          <w:color w:val="000000" w:themeColor="text1"/>
          <w:sz w:val="20"/>
          <w:szCs w:val="20"/>
        </w:rPr>
        <w:t xml:space="preserve"> e </w:t>
      </w:r>
      <w:r w:rsidRPr="00ED3D38">
        <w:rPr>
          <w:i/>
          <w:iCs/>
          <w:color w:val="000000" w:themeColor="text1"/>
          <w:sz w:val="20"/>
          <w:szCs w:val="20"/>
        </w:rPr>
        <w:t>P. pyramidalis</w:t>
      </w:r>
      <w:r w:rsidRPr="00ED3D38">
        <w:rPr>
          <w:color w:val="000000" w:themeColor="text1"/>
          <w:sz w:val="20"/>
          <w:szCs w:val="20"/>
        </w:rPr>
        <w:t xml:space="preserve"> apresentaram incrementos de DAP aproximadamente 60% inferiores aos observados nas exóticas após sete anos de crescimento. A diferença foi ainda mais acentuada na variável altura, uma vez que </w:t>
      </w:r>
      <w:r w:rsidRPr="00ED3D38">
        <w:rPr>
          <w:i/>
          <w:iCs/>
          <w:color w:val="000000" w:themeColor="text1"/>
          <w:sz w:val="20"/>
          <w:szCs w:val="20"/>
        </w:rPr>
        <w:t>E. camaldulensis</w:t>
      </w:r>
      <w:r w:rsidRPr="00ED3D38">
        <w:rPr>
          <w:color w:val="000000" w:themeColor="text1"/>
          <w:sz w:val="20"/>
          <w:szCs w:val="20"/>
        </w:rPr>
        <w:t xml:space="preserve"> atingiu 9,07 m, ao passo que </w:t>
      </w:r>
      <w:r w:rsidRPr="00ED3D38">
        <w:rPr>
          <w:i/>
          <w:iCs/>
          <w:color w:val="000000" w:themeColor="text1"/>
          <w:sz w:val="20"/>
          <w:szCs w:val="20"/>
        </w:rPr>
        <w:t>M. caesalpiniifolia</w:t>
      </w:r>
      <w:r w:rsidRPr="00ED3D38">
        <w:rPr>
          <w:color w:val="000000" w:themeColor="text1"/>
          <w:sz w:val="20"/>
          <w:szCs w:val="20"/>
        </w:rPr>
        <w:t xml:space="preserve"> não ultrapassou 4,21 m, refletindo os efeitos das limitações ambientais, especialmente durante a estação seca. Apesar disso, o elevado DAP apresentado por </w:t>
      </w:r>
      <w:r w:rsidRPr="00ED3D38">
        <w:rPr>
          <w:i/>
          <w:iCs/>
          <w:color w:val="000000" w:themeColor="text1"/>
          <w:sz w:val="20"/>
          <w:szCs w:val="20"/>
        </w:rPr>
        <w:t>M. caesalpiniifolia</w:t>
      </w:r>
      <w:r w:rsidRPr="00ED3D38">
        <w:rPr>
          <w:color w:val="000000" w:themeColor="text1"/>
          <w:sz w:val="20"/>
          <w:szCs w:val="20"/>
        </w:rPr>
        <w:t xml:space="preserve">, comparável ao de </w:t>
      </w:r>
      <w:r w:rsidRPr="007F36A0">
        <w:rPr>
          <w:i/>
          <w:iCs/>
          <w:color w:val="000000" w:themeColor="text1"/>
          <w:sz w:val="20"/>
          <w:szCs w:val="20"/>
        </w:rPr>
        <w:t>A. mangium</w:t>
      </w:r>
      <w:r w:rsidRPr="00ED3D38">
        <w:rPr>
          <w:color w:val="000000" w:themeColor="text1"/>
          <w:sz w:val="20"/>
          <w:szCs w:val="20"/>
        </w:rPr>
        <w:t>, evidencia sua capacidade adaptativa e potencial para uso em plantios florestais em regiões semiáridas.</w:t>
      </w:r>
    </w:p>
    <w:p w14:paraId="51F3227B" w14:textId="675BE9C7" w:rsidR="001B1250" w:rsidRDefault="005460C2" w:rsidP="001B1250">
      <w:pPr>
        <w:keepNext/>
      </w:pPr>
      <w:r>
        <w:rPr>
          <w:noProof/>
        </w:rPr>
        <w:drawing>
          <wp:inline distT="0" distB="0" distL="0" distR="0" wp14:anchorId="4C2463CA" wp14:editId="5A03D8A6">
            <wp:extent cx="5212549" cy="1630680"/>
            <wp:effectExtent l="0" t="0" r="7620" b="762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3051" cy="1637094"/>
                    </a:xfrm>
                    <a:prstGeom prst="rect">
                      <a:avLst/>
                    </a:prstGeom>
                  </pic:spPr>
                </pic:pic>
              </a:graphicData>
            </a:graphic>
          </wp:inline>
        </w:drawing>
      </w:r>
    </w:p>
    <w:p w14:paraId="26ACD1E2" w14:textId="2E4B9028" w:rsidR="009D720A" w:rsidRPr="00135233" w:rsidRDefault="001B1250" w:rsidP="00135233">
      <w:pPr>
        <w:pStyle w:val="Legenda"/>
        <w:rPr>
          <w:i w:val="0"/>
          <w:iCs w:val="0"/>
          <w:color w:val="auto"/>
          <w:sz w:val="20"/>
          <w:szCs w:val="20"/>
        </w:rPr>
      </w:pPr>
      <w:r w:rsidRPr="00D662AF">
        <w:rPr>
          <w:i w:val="0"/>
          <w:iCs w:val="0"/>
          <w:color w:val="auto"/>
          <w:sz w:val="20"/>
          <w:szCs w:val="20"/>
        </w:rPr>
        <w:t xml:space="preserve">Figura </w:t>
      </w:r>
      <w:r w:rsidRPr="00D662AF">
        <w:rPr>
          <w:i w:val="0"/>
          <w:iCs w:val="0"/>
          <w:color w:val="auto"/>
          <w:sz w:val="20"/>
          <w:szCs w:val="20"/>
        </w:rPr>
        <w:fldChar w:fldCharType="begin"/>
      </w:r>
      <w:r w:rsidRPr="00D662AF">
        <w:rPr>
          <w:i w:val="0"/>
          <w:iCs w:val="0"/>
          <w:color w:val="auto"/>
          <w:sz w:val="20"/>
          <w:szCs w:val="20"/>
        </w:rPr>
        <w:instrText xml:space="preserve"> SEQ Figura \* ARABIC </w:instrText>
      </w:r>
      <w:r w:rsidRPr="00D662AF">
        <w:rPr>
          <w:i w:val="0"/>
          <w:iCs w:val="0"/>
          <w:color w:val="auto"/>
          <w:sz w:val="20"/>
          <w:szCs w:val="20"/>
        </w:rPr>
        <w:fldChar w:fldCharType="separate"/>
      </w:r>
      <w:r w:rsidR="00565C2D">
        <w:rPr>
          <w:i w:val="0"/>
          <w:iCs w:val="0"/>
          <w:noProof/>
          <w:color w:val="auto"/>
          <w:sz w:val="20"/>
          <w:szCs w:val="20"/>
        </w:rPr>
        <w:t>1</w:t>
      </w:r>
      <w:r w:rsidRPr="00D662AF">
        <w:rPr>
          <w:i w:val="0"/>
          <w:iCs w:val="0"/>
          <w:color w:val="auto"/>
          <w:sz w:val="20"/>
          <w:szCs w:val="20"/>
        </w:rPr>
        <w:fldChar w:fldCharType="end"/>
      </w:r>
      <w:r w:rsidRPr="00D662AF">
        <w:rPr>
          <w:i w:val="0"/>
          <w:iCs w:val="0"/>
          <w:color w:val="auto"/>
          <w:sz w:val="20"/>
          <w:szCs w:val="20"/>
        </w:rPr>
        <w:t xml:space="preserve">- </w:t>
      </w:r>
      <w:r w:rsidR="00D418E2">
        <w:rPr>
          <w:i w:val="0"/>
          <w:iCs w:val="0"/>
          <w:color w:val="auto"/>
          <w:sz w:val="20"/>
          <w:szCs w:val="20"/>
        </w:rPr>
        <w:t xml:space="preserve">Avaliação </w:t>
      </w:r>
      <w:r w:rsidR="00922969">
        <w:rPr>
          <w:i w:val="0"/>
          <w:iCs w:val="0"/>
          <w:color w:val="auto"/>
          <w:sz w:val="20"/>
          <w:szCs w:val="20"/>
        </w:rPr>
        <w:t xml:space="preserve">do teste de espécies com 7 anos </w:t>
      </w:r>
      <w:r w:rsidR="00C64790">
        <w:rPr>
          <w:i w:val="0"/>
          <w:iCs w:val="0"/>
          <w:color w:val="auto"/>
          <w:sz w:val="20"/>
          <w:szCs w:val="20"/>
        </w:rPr>
        <w:t xml:space="preserve">de implementação no semiárido. </w:t>
      </w:r>
      <w:r w:rsidR="00ED3D38">
        <w:rPr>
          <w:i w:val="0"/>
          <w:iCs w:val="0"/>
          <w:color w:val="auto"/>
          <w:sz w:val="20"/>
          <w:szCs w:val="20"/>
        </w:rPr>
        <w:t xml:space="preserve">(A) </w:t>
      </w:r>
      <w:r w:rsidR="00736CB6">
        <w:rPr>
          <w:i w:val="0"/>
          <w:iCs w:val="0"/>
          <w:color w:val="auto"/>
          <w:sz w:val="20"/>
          <w:szCs w:val="20"/>
        </w:rPr>
        <w:t xml:space="preserve">Diâmetro </w:t>
      </w:r>
      <w:r w:rsidR="00ED3D38">
        <w:rPr>
          <w:i w:val="0"/>
          <w:iCs w:val="0"/>
          <w:color w:val="auto"/>
          <w:sz w:val="20"/>
          <w:szCs w:val="20"/>
        </w:rPr>
        <w:t xml:space="preserve">(Cm/planta) </w:t>
      </w:r>
      <w:r w:rsidR="00A65DB0">
        <w:rPr>
          <w:i w:val="0"/>
          <w:iCs w:val="0"/>
          <w:color w:val="auto"/>
          <w:sz w:val="20"/>
          <w:szCs w:val="20"/>
        </w:rPr>
        <w:t>e</w:t>
      </w:r>
      <w:r w:rsidRPr="00D662AF">
        <w:rPr>
          <w:i w:val="0"/>
          <w:iCs w:val="0"/>
          <w:color w:val="auto"/>
          <w:sz w:val="20"/>
          <w:szCs w:val="20"/>
        </w:rPr>
        <w:t xml:space="preserve"> </w:t>
      </w:r>
      <w:r w:rsidR="00ED3D38">
        <w:rPr>
          <w:i w:val="0"/>
          <w:iCs w:val="0"/>
          <w:color w:val="auto"/>
          <w:sz w:val="20"/>
          <w:szCs w:val="20"/>
        </w:rPr>
        <w:t xml:space="preserve">(B) </w:t>
      </w:r>
      <w:r w:rsidRPr="00D662AF">
        <w:rPr>
          <w:i w:val="0"/>
          <w:iCs w:val="0"/>
          <w:color w:val="auto"/>
          <w:sz w:val="20"/>
          <w:szCs w:val="20"/>
        </w:rPr>
        <w:t>altura</w:t>
      </w:r>
      <w:r w:rsidR="00ED3D38">
        <w:rPr>
          <w:i w:val="0"/>
          <w:iCs w:val="0"/>
          <w:color w:val="auto"/>
          <w:sz w:val="20"/>
          <w:szCs w:val="20"/>
        </w:rPr>
        <w:t xml:space="preserve"> (m/planta)</w:t>
      </w:r>
      <w:r w:rsidR="00207F1A">
        <w:rPr>
          <w:i w:val="0"/>
          <w:iCs w:val="0"/>
          <w:color w:val="auto"/>
          <w:sz w:val="20"/>
          <w:szCs w:val="20"/>
        </w:rPr>
        <w:t>.</w:t>
      </w:r>
    </w:p>
    <w:p w14:paraId="4EFC94C1" w14:textId="010C1962" w:rsidR="009D720A" w:rsidRDefault="009F6F59" w:rsidP="002014E0">
      <w:pPr>
        <w:ind w:firstLine="0"/>
        <w:rPr>
          <w:b/>
          <w:sz w:val="20"/>
          <w:szCs w:val="20"/>
        </w:rPr>
      </w:pPr>
      <w:r>
        <w:rPr>
          <w:b/>
          <w:sz w:val="20"/>
          <w:szCs w:val="20"/>
        </w:rPr>
        <w:t xml:space="preserve">CONCLUSÕES </w:t>
      </w:r>
    </w:p>
    <w:p w14:paraId="4AE39F28" w14:textId="5A89DBA2" w:rsidR="009D720A" w:rsidRDefault="002217C1">
      <w:pPr>
        <w:rPr>
          <w:sz w:val="20"/>
          <w:szCs w:val="20"/>
        </w:rPr>
      </w:pPr>
      <w:r w:rsidRPr="002217C1">
        <w:rPr>
          <w:sz w:val="20"/>
          <w:szCs w:val="20"/>
        </w:rPr>
        <w:t>Os resultados indicam que</w:t>
      </w:r>
      <w:r>
        <w:rPr>
          <w:sz w:val="20"/>
          <w:szCs w:val="20"/>
        </w:rPr>
        <w:t xml:space="preserve"> </w:t>
      </w:r>
      <w:r w:rsidRPr="002217C1">
        <w:rPr>
          <w:i/>
          <w:iCs/>
          <w:sz w:val="20"/>
          <w:szCs w:val="20"/>
        </w:rPr>
        <w:t>Eucalyptus camaldulensis</w:t>
      </w:r>
      <w:r>
        <w:rPr>
          <w:sz w:val="20"/>
          <w:szCs w:val="20"/>
        </w:rPr>
        <w:t xml:space="preserve"> </w:t>
      </w:r>
      <w:r w:rsidRPr="002217C1">
        <w:rPr>
          <w:sz w:val="20"/>
          <w:szCs w:val="20"/>
        </w:rPr>
        <w:t>e</w:t>
      </w:r>
      <w:r>
        <w:rPr>
          <w:sz w:val="20"/>
          <w:szCs w:val="20"/>
        </w:rPr>
        <w:t xml:space="preserve"> </w:t>
      </w:r>
      <w:r w:rsidRPr="002217C1">
        <w:rPr>
          <w:i/>
          <w:iCs/>
          <w:sz w:val="20"/>
          <w:szCs w:val="20"/>
        </w:rPr>
        <w:t>Acacia mangium</w:t>
      </w:r>
      <w:r>
        <w:rPr>
          <w:sz w:val="20"/>
          <w:szCs w:val="20"/>
        </w:rPr>
        <w:t xml:space="preserve"> </w:t>
      </w:r>
      <w:r w:rsidRPr="002217C1">
        <w:rPr>
          <w:sz w:val="20"/>
          <w:szCs w:val="20"/>
        </w:rPr>
        <w:t>apresentaram os maiores incrementos em altura e DAP, mostrando-se promissoras para fins produtivos em ambientes semiáridos. Contudo, seu uso requer cautela quanto a possíveis impactos ecológicos. Entre as nativas,</w:t>
      </w:r>
      <w:r>
        <w:rPr>
          <w:sz w:val="20"/>
          <w:szCs w:val="20"/>
        </w:rPr>
        <w:t xml:space="preserve"> </w:t>
      </w:r>
      <w:r w:rsidRPr="002217C1">
        <w:rPr>
          <w:i/>
          <w:iCs/>
          <w:sz w:val="20"/>
          <w:szCs w:val="20"/>
        </w:rPr>
        <w:t>Mimosa caesalpiniifolia</w:t>
      </w:r>
      <w:r>
        <w:rPr>
          <w:sz w:val="20"/>
          <w:szCs w:val="20"/>
        </w:rPr>
        <w:t xml:space="preserve"> </w:t>
      </w:r>
      <w:r w:rsidRPr="002217C1">
        <w:rPr>
          <w:sz w:val="20"/>
          <w:szCs w:val="20"/>
        </w:rPr>
        <w:t>destacou-se pelo bom desempenho em diâmetro, sendo indicada para projetos de restauração. Já</w:t>
      </w:r>
      <w:r>
        <w:rPr>
          <w:sz w:val="20"/>
          <w:szCs w:val="20"/>
        </w:rPr>
        <w:t xml:space="preserve"> </w:t>
      </w:r>
      <w:r w:rsidRPr="002217C1">
        <w:rPr>
          <w:i/>
          <w:iCs/>
          <w:sz w:val="20"/>
          <w:szCs w:val="20"/>
        </w:rPr>
        <w:t xml:space="preserve">Libidibia </w:t>
      </w:r>
      <w:r>
        <w:rPr>
          <w:i/>
          <w:iCs/>
          <w:sz w:val="20"/>
          <w:szCs w:val="20"/>
        </w:rPr>
        <w:t>férrea</w:t>
      </w:r>
      <w:r>
        <w:rPr>
          <w:sz w:val="20"/>
          <w:szCs w:val="20"/>
        </w:rPr>
        <w:t xml:space="preserve"> </w:t>
      </w:r>
      <w:r w:rsidRPr="002217C1">
        <w:rPr>
          <w:sz w:val="20"/>
          <w:szCs w:val="20"/>
        </w:rPr>
        <w:t>e</w:t>
      </w:r>
      <w:r>
        <w:rPr>
          <w:sz w:val="20"/>
          <w:szCs w:val="20"/>
        </w:rPr>
        <w:t xml:space="preserve"> </w:t>
      </w:r>
      <w:r w:rsidRPr="002217C1">
        <w:rPr>
          <w:i/>
          <w:iCs/>
          <w:sz w:val="20"/>
          <w:szCs w:val="20"/>
        </w:rPr>
        <w:t>Poincianella pyramidalis</w:t>
      </w:r>
      <w:r>
        <w:rPr>
          <w:sz w:val="20"/>
          <w:szCs w:val="20"/>
        </w:rPr>
        <w:t xml:space="preserve"> </w:t>
      </w:r>
      <w:r w:rsidRPr="002217C1">
        <w:rPr>
          <w:sz w:val="20"/>
          <w:szCs w:val="20"/>
        </w:rPr>
        <w:t>apresentaram crescimento reduzido, compatível com estratégias conservativas em climas secos. Apesar do menor porte, essas espécies contribuem para a resiliência ecológica, sendo recomendadas para compor sistemas florestais sustentáveis em regiões com severas limitações ambientais.</w:t>
      </w:r>
    </w:p>
    <w:p w14:paraId="3B180458" w14:textId="77777777" w:rsidR="002217C1" w:rsidRDefault="002217C1">
      <w:pPr>
        <w:rPr>
          <w:sz w:val="20"/>
          <w:szCs w:val="20"/>
        </w:rPr>
      </w:pPr>
    </w:p>
    <w:p w14:paraId="3E80F3A9" w14:textId="5564D12B" w:rsidR="009D720A" w:rsidRDefault="009F6F59" w:rsidP="002014E0">
      <w:pPr>
        <w:ind w:firstLine="0"/>
        <w:rPr>
          <w:b/>
          <w:sz w:val="20"/>
          <w:szCs w:val="20"/>
        </w:rPr>
      </w:pPr>
      <w:r>
        <w:rPr>
          <w:b/>
          <w:sz w:val="20"/>
          <w:szCs w:val="20"/>
        </w:rPr>
        <w:t xml:space="preserve">AGRADECIMENTOS </w:t>
      </w:r>
    </w:p>
    <w:p w14:paraId="17B94128" w14:textId="6D20E2B0" w:rsidR="00254B63" w:rsidRPr="007308C5" w:rsidRDefault="00254B63" w:rsidP="002014E0">
      <w:pPr>
        <w:ind w:firstLine="0"/>
        <w:rPr>
          <w:bCs/>
          <w:sz w:val="20"/>
          <w:szCs w:val="20"/>
        </w:rPr>
      </w:pPr>
      <w:r>
        <w:rPr>
          <w:b/>
          <w:sz w:val="20"/>
          <w:szCs w:val="20"/>
        </w:rPr>
        <w:tab/>
      </w:r>
      <w:r w:rsidR="007308C5">
        <w:rPr>
          <w:bCs/>
          <w:sz w:val="20"/>
          <w:szCs w:val="20"/>
        </w:rPr>
        <w:t xml:space="preserve">Agradecemos a professora Drª Poliana Coqueiro Dias Araujo </w:t>
      </w:r>
      <w:r w:rsidR="001361FC">
        <w:rPr>
          <w:bCs/>
          <w:sz w:val="20"/>
          <w:szCs w:val="20"/>
        </w:rPr>
        <w:t xml:space="preserve">pela contribuição durante todo </w:t>
      </w:r>
      <w:r w:rsidR="00F53C53">
        <w:rPr>
          <w:bCs/>
          <w:sz w:val="20"/>
          <w:szCs w:val="20"/>
        </w:rPr>
        <w:t>o processo de pesquisa.</w:t>
      </w:r>
    </w:p>
    <w:p w14:paraId="49962446" w14:textId="77777777" w:rsidR="009D720A" w:rsidRDefault="009D720A" w:rsidP="002014E0">
      <w:pPr>
        <w:ind w:firstLine="0"/>
        <w:rPr>
          <w:sz w:val="20"/>
          <w:szCs w:val="20"/>
        </w:rPr>
      </w:pPr>
    </w:p>
    <w:p w14:paraId="1FFA7011" w14:textId="65777D8B" w:rsidR="009D720A" w:rsidRDefault="009F6F59" w:rsidP="002014E0">
      <w:pPr>
        <w:ind w:firstLine="0"/>
        <w:rPr>
          <w:sz w:val="20"/>
          <w:szCs w:val="20"/>
        </w:rPr>
      </w:pPr>
      <w:r>
        <w:rPr>
          <w:b/>
          <w:sz w:val="20"/>
          <w:szCs w:val="20"/>
        </w:rPr>
        <w:t xml:space="preserve">REFERÊNCIAS </w:t>
      </w:r>
    </w:p>
    <w:p w14:paraId="65A9FF76" w14:textId="77777777" w:rsidR="009D720A" w:rsidRDefault="009D720A">
      <w:pPr>
        <w:rPr>
          <w:sz w:val="20"/>
          <w:szCs w:val="20"/>
        </w:rPr>
      </w:pPr>
    </w:p>
    <w:p w14:paraId="033B6B80" w14:textId="77777777" w:rsidR="00BD6869" w:rsidRPr="00BD6869" w:rsidRDefault="00BD6869" w:rsidP="00BD6869">
      <w:pPr>
        <w:ind w:firstLine="0"/>
        <w:rPr>
          <w:rFonts w:eastAsia="Verdana"/>
          <w:color w:val="0B4FA7"/>
          <w:sz w:val="20"/>
          <w:szCs w:val="20"/>
          <w:lang w:val="en-US"/>
        </w:rPr>
      </w:pPr>
      <w:r w:rsidRPr="00545A77">
        <w:rPr>
          <w:sz w:val="20"/>
          <w:szCs w:val="20"/>
        </w:rPr>
        <w:t xml:space="preserve">COLLEVATTI, R. G. </w:t>
      </w:r>
      <w:r w:rsidRPr="00545A77">
        <w:rPr>
          <w:i/>
          <w:iCs/>
          <w:sz w:val="20"/>
          <w:szCs w:val="20"/>
        </w:rPr>
        <w:t>et al</w:t>
      </w:r>
      <w:r w:rsidRPr="00545A77">
        <w:rPr>
          <w:sz w:val="20"/>
          <w:szCs w:val="20"/>
        </w:rPr>
        <w:t xml:space="preserve">. </w:t>
      </w:r>
      <w:r w:rsidRPr="00BD6869">
        <w:rPr>
          <w:sz w:val="20"/>
          <w:szCs w:val="20"/>
          <w:lang w:val="en-US"/>
        </w:rPr>
        <w:t xml:space="preserve">Stability of Brazilian Seasonally Dry Forests under Climate Change: Inferences for Long-Term Conservation. </w:t>
      </w:r>
      <w:r w:rsidRPr="00BD6869">
        <w:rPr>
          <w:b/>
          <w:bCs/>
          <w:sz w:val="20"/>
          <w:szCs w:val="20"/>
          <w:lang w:val="en-US"/>
        </w:rPr>
        <w:t>American Journal of Plant Sciences</w:t>
      </w:r>
      <w:r w:rsidRPr="00BD6869">
        <w:rPr>
          <w:sz w:val="20"/>
          <w:szCs w:val="20"/>
          <w:lang w:val="en-US"/>
        </w:rPr>
        <w:t>, [s. l.], v. 4, n. 4, p. 792–805, 2013. DOI: 10.4236/ajps.2013.44098</w:t>
      </w:r>
    </w:p>
    <w:p w14:paraId="1997B07F" w14:textId="77777777" w:rsidR="00BD6869" w:rsidRDefault="00BD6869" w:rsidP="00BD6869">
      <w:pPr>
        <w:spacing w:before="240" w:after="240"/>
        <w:ind w:firstLine="0"/>
        <w:rPr>
          <w:sz w:val="20"/>
          <w:szCs w:val="20"/>
          <w:lang w:val="en-US"/>
        </w:rPr>
      </w:pPr>
      <w:r w:rsidRPr="00BD6869">
        <w:rPr>
          <w:sz w:val="20"/>
          <w:szCs w:val="20"/>
          <w:lang w:val="en-US"/>
        </w:rPr>
        <w:t xml:space="preserve">DAI, J. </w:t>
      </w:r>
      <w:r w:rsidRPr="00FA6C74">
        <w:rPr>
          <w:i/>
          <w:iCs/>
          <w:sz w:val="20"/>
          <w:szCs w:val="20"/>
          <w:lang w:val="en-US"/>
        </w:rPr>
        <w:t>et al</w:t>
      </w:r>
      <w:r w:rsidRPr="00BD6869">
        <w:rPr>
          <w:sz w:val="20"/>
          <w:szCs w:val="20"/>
          <w:lang w:val="en-US"/>
        </w:rPr>
        <w:t xml:space="preserve">. Drought-modulated allometric patterns of trees in semi-arid forests. </w:t>
      </w:r>
      <w:r w:rsidRPr="00BD6869">
        <w:rPr>
          <w:b/>
          <w:bCs/>
          <w:sz w:val="20"/>
          <w:szCs w:val="20"/>
          <w:lang w:val="en-US"/>
        </w:rPr>
        <w:t>Communications Biology,</w:t>
      </w:r>
      <w:r w:rsidRPr="00BD6869">
        <w:rPr>
          <w:sz w:val="20"/>
          <w:szCs w:val="20"/>
          <w:lang w:val="en-US"/>
        </w:rPr>
        <w:t xml:space="preserve"> [s. l.], v. 3, n. 1, p. 1–8, 2020. DOI: 10.1038/s42003-020-01144-4</w:t>
      </w:r>
    </w:p>
    <w:p w14:paraId="30F95DF6" w14:textId="7FBA889A" w:rsidR="00395D53" w:rsidRPr="00807BEE" w:rsidRDefault="00807BEE" w:rsidP="00BD6869">
      <w:pPr>
        <w:spacing w:before="240" w:after="240"/>
        <w:ind w:firstLine="0"/>
        <w:rPr>
          <w:sz w:val="20"/>
          <w:szCs w:val="20"/>
        </w:rPr>
      </w:pPr>
      <w:r w:rsidRPr="00807BEE">
        <w:rPr>
          <w:sz w:val="20"/>
          <w:szCs w:val="20"/>
          <w:lang w:val="en-US"/>
        </w:rPr>
        <w:t xml:space="preserve">HOSSEINZADEH, J.; TONGO, A. Comparison of Survival and Growth of Different Seed Origins of Eucalyptus camaldulensis in Arid Region of Mehran, Iran. </w:t>
      </w:r>
      <w:r w:rsidRPr="00807BEE">
        <w:rPr>
          <w:b/>
          <w:bCs/>
          <w:sz w:val="20"/>
          <w:szCs w:val="20"/>
        </w:rPr>
        <w:t>ECOPERSIA</w:t>
      </w:r>
      <w:r w:rsidRPr="00807BEE">
        <w:rPr>
          <w:sz w:val="20"/>
          <w:szCs w:val="20"/>
        </w:rPr>
        <w:t>, [s. l.], v. 8, n. 1, p. 33–39, 2020. D</w:t>
      </w:r>
      <w:r>
        <w:rPr>
          <w:sz w:val="20"/>
          <w:szCs w:val="20"/>
        </w:rPr>
        <w:t>OI:</w:t>
      </w:r>
      <w:r w:rsidR="00653C1D">
        <w:rPr>
          <w:sz w:val="20"/>
          <w:szCs w:val="20"/>
        </w:rPr>
        <w:t xml:space="preserve"> </w:t>
      </w:r>
      <w:r w:rsidR="00653C1D" w:rsidRPr="00653C1D">
        <w:rPr>
          <w:sz w:val="20"/>
          <w:szCs w:val="20"/>
        </w:rPr>
        <w:t>20.1001.1.23222700.2020.8.1.5.4</w:t>
      </w:r>
    </w:p>
    <w:p w14:paraId="4591CD50" w14:textId="383203BD" w:rsidR="00BD6869" w:rsidRPr="00545A77" w:rsidRDefault="00BD6869" w:rsidP="00BD6869">
      <w:pPr>
        <w:spacing w:before="240" w:after="240"/>
        <w:ind w:firstLine="0"/>
        <w:rPr>
          <w:sz w:val="20"/>
          <w:szCs w:val="20"/>
          <w:lang w:val="en-US"/>
        </w:rPr>
      </w:pPr>
      <w:r w:rsidRPr="00545A77">
        <w:rPr>
          <w:sz w:val="20"/>
          <w:szCs w:val="20"/>
        </w:rPr>
        <w:lastRenderedPageBreak/>
        <w:t xml:space="preserve">KRAVETZ, C. </w:t>
      </w:r>
      <w:r w:rsidRPr="00545A77">
        <w:rPr>
          <w:i/>
          <w:iCs/>
          <w:sz w:val="20"/>
          <w:szCs w:val="20"/>
        </w:rPr>
        <w:t>et al</w:t>
      </w:r>
      <w:r w:rsidRPr="00545A77">
        <w:rPr>
          <w:sz w:val="20"/>
          <w:szCs w:val="20"/>
        </w:rPr>
        <w:t xml:space="preserve">. </w:t>
      </w:r>
      <w:r w:rsidRPr="00BD6869">
        <w:rPr>
          <w:sz w:val="20"/>
          <w:szCs w:val="20"/>
          <w:lang w:val="en-US"/>
        </w:rPr>
        <w:t xml:space="preserve">Interference of Edaphoclimatic Variations on Nondestructive Parameters Measured in Standing Trees. </w:t>
      </w:r>
      <w:r w:rsidRPr="00BD6869">
        <w:rPr>
          <w:b/>
          <w:bCs/>
          <w:sz w:val="20"/>
          <w:szCs w:val="20"/>
          <w:lang w:val="en-US"/>
        </w:rPr>
        <w:t>Forests</w:t>
      </w:r>
      <w:r w:rsidRPr="00BD6869">
        <w:rPr>
          <w:sz w:val="20"/>
          <w:szCs w:val="20"/>
          <w:lang w:val="en-US"/>
        </w:rPr>
        <w:t xml:space="preserve">, [s. l.], v. 16, n. 3, p. 535, 2025. </w:t>
      </w:r>
      <w:r w:rsidRPr="00545A77">
        <w:rPr>
          <w:sz w:val="20"/>
          <w:szCs w:val="20"/>
          <w:lang w:val="en-US"/>
        </w:rPr>
        <w:t>DOI: 10.3390/f16030535</w:t>
      </w:r>
    </w:p>
    <w:p w14:paraId="14AC7ABB" w14:textId="778E0470" w:rsidR="00FA6C74" w:rsidRDefault="00FB0DE7" w:rsidP="00BD6869">
      <w:pPr>
        <w:spacing w:before="240" w:after="240"/>
        <w:ind w:firstLine="0"/>
        <w:rPr>
          <w:sz w:val="20"/>
          <w:szCs w:val="20"/>
        </w:rPr>
      </w:pPr>
      <w:r>
        <w:rPr>
          <w:sz w:val="20"/>
          <w:szCs w:val="20"/>
          <w:lang w:val="en-US"/>
        </w:rPr>
        <w:t xml:space="preserve">DALLA </w:t>
      </w:r>
      <w:r w:rsidR="00FA6C74" w:rsidRPr="00FA6C74">
        <w:rPr>
          <w:sz w:val="20"/>
          <w:szCs w:val="20"/>
          <w:lang w:val="en-US"/>
        </w:rPr>
        <w:t xml:space="preserve">LANA, M. </w:t>
      </w:r>
      <w:r w:rsidR="00FA6C74" w:rsidRPr="00142C43">
        <w:rPr>
          <w:i/>
          <w:iCs/>
          <w:sz w:val="20"/>
          <w:szCs w:val="20"/>
          <w:lang w:val="en-US"/>
        </w:rPr>
        <w:t>et al</w:t>
      </w:r>
      <w:r w:rsidR="00FA6C74" w:rsidRPr="00FB0DE7">
        <w:rPr>
          <w:sz w:val="20"/>
          <w:szCs w:val="20"/>
          <w:lang w:val="en-US"/>
        </w:rPr>
        <w:t>.</w:t>
      </w:r>
      <w:r w:rsidR="00FA6C74" w:rsidRPr="00FA6C74">
        <w:rPr>
          <w:sz w:val="20"/>
          <w:szCs w:val="20"/>
          <w:lang w:val="en-US"/>
        </w:rPr>
        <w:t xml:space="preserve"> </w:t>
      </w:r>
      <w:r w:rsidR="009F6F59" w:rsidRPr="00FA6C74">
        <w:rPr>
          <w:sz w:val="20"/>
          <w:szCs w:val="20"/>
          <w:lang w:val="en-US"/>
        </w:rPr>
        <w:t>Biomass equations for caatinga species</w:t>
      </w:r>
      <w:r w:rsidR="00FA6C74" w:rsidRPr="00FA6C74">
        <w:rPr>
          <w:sz w:val="20"/>
          <w:szCs w:val="20"/>
          <w:lang w:val="en-US"/>
        </w:rPr>
        <w:t xml:space="preserve">. </w:t>
      </w:r>
      <w:r w:rsidR="00FA6C74" w:rsidRPr="000C10F8">
        <w:rPr>
          <w:b/>
          <w:bCs/>
          <w:sz w:val="20"/>
          <w:szCs w:val="20"/>
        </w:rPr>
        <w:t>Nativa</w:t>
      </w:r>
      <w:r w:rsidR="00FA6C74" w:rsidRPr="00FA6C74">
        <w:rPr>
          <w:sz w:val="20"/>
          <w:szCs w:val="20"/>
        </w:rPr>
        <w:t>, [s. l.], v. 6, n. 5, p. 517–525, 2018. D</w:t>
      </w:r>
      <w:r w:rsidR="000C10F8">
        <w:rPr>
          <w:sz w:val="20"/>
          <w:szCs w:val="20"/>
        </w:rPr>
        <w:t xml:space="preserve">OI: </w:t>
      </w:r>
      <w:r w:rsidR="00142C43" w:rsidRPr="00142C43">
        <w:rPr>
          <w:sz w:val="20"/>
          <w:szCs w:val="20"/>
        </w:rPr>
        <w:t>10.31413/nativa.v6i5.5361</w:t>
      </w:r>
    </w:p>
    <w:p w14:paraId="5EF2F4F2" w14:textId="383CEF13" w:rsidR="00BD6869" w:rsidRPr="00545A77" w:rsidRDefault="00BD6869" w:rsidP="00BD6869">
      <w:pPr>
        <w:spacing w:before="240" w:after="240"/>
        <w:ind w:firstLine="0"/>
        <w:rPr>
          <w:sz w:val="20"/>
          <w:szCs w:val="20"/>
          <w:lang w:val="en-US"/>
        </w:rPr>
      </w:pPr>
      <w:r w:rsidRPr="00BD6869">
        <w:rPr>
          <w:sz w:val="20"/>
          <w:szCs w:val="20"/>
        </w:rPr>
        <w:t xml:space="preserve">LIANG, R. </w:t>
      </w:r>
      <w:r w:rsidRPr="000C10F8">
        <w:rPr>
          <w:i/>
          <w:iCs/>
          <w:sz w:val="20"/>
          <w:szCs w:val="20"/>
        </w:rPr>
        <w:t>et al</w:t>
      </w:r>
      <w:r w:rsidRPr="00BD6869">
        <w:rPr>
          <w:sz w:val="20"/>
          <w:szCs w:val="20"/>
        </w:rPr>
        <w:t xml:space="preserve">. Efeitos relativos do clima, ambiente do povoamento e características das árvores no crescimento anual das árvores em florestas subtropicais de </w:t>
      </w:r>
      <w:r w:rsidRPr="00A34ECD">
        <w:rPr>
          <w:i/>
          <w:iCs/>
          <w:sz w:val="20"/>
          <w:szCs w:val="20"/>
        </w:rPr>
        <w:t>Cunninghamia lanceolata</w:t>
      </w:r>
      <w:r w:rsidRPr="00BD6869">
        <w:rPr>
          <w:sz w:val="20"/>
          <w:szCs w:val="20"/>
        </w:rPr>
        <w:t xml:space="preserve">. </w:t>
      </w:r>
      <w:r w:rsidRPr="00545A77">
        <w:rPr>
          <w:b/>
          <w:bCs/>
          <w:sz w:val="20"/>
          <w:szCs w:val="20"/>
          <w:lang w:val="en-US"/>
        </w:rPr>
        <w:t>Agricultural and Forest Meteorology</w:t>
      </w:r>
      <w:r w:rsidRPr="00545A77">
        <w:rPr>
          <w:sz w:val="20"/>
          <w:szCs w:val="20"/>
          <w:lang w:val="en-US"/>
        </w:rPr>
        <w:t>, [s. l.], v. 342, p. 109711, 2023. DOI: 10.1016/j.agrformet.2023.109711</w:t>
      </w:r>
    </w:p>
    <w:p w14:paraId="71C644FF" w14:textId="75CA6DDA" w:rsidR="00BD6869" w:rsidRDefault="00BD6869" w:rsidP="00BD6869">
      <w:pPr>
        <w:spacing w:before="240" w:after="240"/>
        <w:ind w:firstLine="0"/>
        <w:rPr>
          <w:sz w:val="20"/>
          <w:szCs w:val="20"/>
        </w:rPr>
      </w:pPr>
      <w:r w:rsidRPr="00BD6869">
        <w:rPr>
          <w:sz w:val="20"/>
          <w:szCs w:val="20"/>
          <w:lang w:val="en-US"/>
        </w:rPr>
        <w:t xml:space="preserve">MENSAH, S. </w:t>
      </w:r>
      <w:r w:rsidRPr="000C10F8">
        <w:rPr>
          <w:i/>
          <w:iCs/>
          <w:sz w:val="20"/>
          <w:szCs w:val="20"/>
          <w:lang w:val="en-US"/>
        </w:rPr>
        <w:t>et al</w:t>
      </w:r>
      <w:r w:rsidRPr="00BD6869">
        <w:rPr>
          <w:sz w:val="20"/>
          <w:szCs w:val="20"/>
          <w:lang w:val="en-US"/>
        </w:rPr>
        <w:t xml:space="preserve">. Climate and soil effects on tree species diversity and aboveground carbon patterns in semi-arid tree savannas. </w:t>
      </w:r>
      <w:r w:rsidRPr="0012503A">
        <w:rPr>
          <w:b/>
          <w:bCs/>
          <w:sz w:val="20"/>
          <w:szCs w:val="20"/>
        </w:rPr>
        <w:t>Scientific Reports</w:t>
      </w:r>
      <w:r w:rsidRPr="00BD6869">
        <w:rPr>
          <w:sz w:val="20"/>
          <w:szCs w:val="20"/>
        </w:rPr>
        <w:t>, [s. l.], v. 13, n. 1, p. 11509, 2023. D</w:t>
      </w:r>
      <w:r>
        <w:rPr>
          <w:sz w:val="20"/>
          <w:szCs w:val="20"/>
        </w:rPr>
        <w:t xml:space="preserve">OI: </w:t>
      </w:r>
      <w:r w:rsidRPr="00BD6869">
        <w:rPr>
          <w:sz w:val="20"/>
          <w:szCs w:val="20"/>
        </w:rPr>
        <w:t>10.1038/s41598-023-38225-3</w:t>
      </w:r>
    </w:p>
    <w:p w14:paraId="3F84287D" w14:textId="46797BBA" w:rsidR="005C3D43" w:rsidRPr="00BD6869" w:rsidRDefault="00D22F08" w:rsidP="00BD6869">
      <w:pPr>
        <w:spacing w:before="240" w:after="240"/>
        <w:ind w:firstLine="0"/>
        <w:rPr>
          <w:sz w:val="20"/>
          <w:szCs w:val="20"/>
        </w:rPr>
      </w:pPr>
      <w:r w:rsidRPr="00D22F08">
        <w:rPr>
          <w:sz w:val="20"/>
          <w:szCs w:val="20"/>
        </w:rPr>
        <w:t xml:space="preserve">SILVA, M. G. da </w:t>
      </w:r>
      <w:r w:rsidRPr="000C10F8">
        <w:rPr>
          <w:i/>
          <w:iCs/>
          <w:sz w:val="20"/>
          <w:szCs w:val="20"/>
        </w:rPr>
        <w:t>et al</w:t>
      </w:r>
      <w:r w:rsidRPr="00D22F08">
        <w:rPr>
          <w:sz w:val="20"/>
          <w:szCs w:val="20"/>
        </w:rPr>
        <w:t xml:space="preserve">. </w:t>
      </w:r>
      <w:r w:rsidR="00333247">
        <w:rPr>
          <w:sz w:val="20"/>
          <w:szCs w:val="20"/>
        </w:rPr>
        <w:t xml:space="preserve">Crescimento, produção e distribuição de biomassa de </w:t>
      </w:r>
      <w:r w:rsidR="00B91B77">
        <w:rPr>
          <w:sz w:val="20"/>
          <w:szCs w:val="20"/>
        </w:rPr>
        <w:t>Acácia</w:t>
      </w:r>
      <w:r w:rsidRPr="00D22F08">
        <w:rPr>
          <w:sz w:val="20"/>
          <w:szCs w:val="20"/>
        </w:rPr>
        <w:t xml:space="preserve"> (</w:t>
      </w:r>
      <w:r w:rsidRPr="00B91B77">
        <w:rPr>
          <w:i/>
          <w:iCs/>
          <w:sz w:val="20"/>
          <w:szCs w:val="20"/>
        </w:rPr>
        <w:t>Acacia mangium</w:t>
      </w:r>
      <w:r w:rsidRPr="00D22F08">
        <w:rPr>
          <w:sz w:val="20"/>
          <w:szCs w:val="20"/>
        </w:rPr>
        <w:t xml:space="preserve"> Willd) </w:t>
      </w:r>
      <w:r w:rsidR="00F81B3D">
        <w:rPr>
          <w:sz w:val="20"/>
          <w:szCs w:val="20"/>
        </w:rPr>
        <w:t>em resposta ao método de cultivo</w:t>
      </w:r>
      <w:r w:rsidR="00855381">
        <w:rPr>
          <w:sz w:val="20"/>
          <w:szCs w:val="20"/>
        </w:rPr>
        <w:t>.</w:t>
      </w:r>
      <w:r w:rsidRPr="00D22F08">
        <w:rPr>
          <w:sz w:val="20"/>
          <w:szCs w:val="20"/>
        </w:rPr>
        <w:t xml:space="preserve"> </w:t>
      </w:r>
      <w:r w:rsidRPr="00D22F08">
        <w:rPr>
          <w:b/>
          <w:bCs/>
          <w:sz w:val="20"/>
          <w:szCs w:val="20"/>
        </w:rPr>
        <w:t>Revista Engenharia na Agricultura</w:t>
      </w:r>
      <w:r w:rsidRPr="00D22F08">
        <w:rPr>
          <w:sz w:val="20"/>
          <w:szCs w:val="20"/>
        </w:rPr>
        <w:t xml:space="preserve"> - REVENG, [s. l.], v. 26, n. 4, p. 360–369, 2018. D</w:t>
      </w:r>
      <w:r>
        <w:rPr>
          <w:sz w:val="20"/>
          <w:szCs w:val="20"/>
        </w:rPr>
        <w:t xml:space="preserve">OI: </w:t>
      </w:r>
      <w:r w:rsidR="006E5B25" w:rsidRPr="006E5B25">
        <w:rPr>
          <w:sz w:val="20"/>
          <w:szCs w:val="20"/>
        </w:rPr>
        <w:t>10.13083/reveng.v26i4.832</w:t>
      </w:r>
    </w:p>
    <w:p w14:paraId="58D2DC2C" w14:textId="77777777" w:rsidR="00BD6869" w:rsidRPr="00BD6869" w:rsidRDefault="00BD6869" w:rsidP="00BD6869">
      <w:pPr>
        <w:ind w:firstLine="0"/>
        <w:rPr>
          <w:sz w:val="20"/>
          <w:szCs w:val="20"/>
        </w:rPr>
      </w:pPr>
      <w:r w:rsidRPr="00BD6869">
        <w:rPr>
          <w:sz w:val="20"/>
          <w:szCs w:val="20"/>
        </w:rPr>
        <w:t xml:space="preserve">SOUSA, R. P.; SILVA, P. S. L.; ASSIS, J. P. Tamanho e forma de parcelas para experimentos com girassol. </w:t>
      </w:r>
      <w:r w:rsidRPr="00BD6869">
        <w:rPr>
          <w:b/>
          <w:bCs/>
          <w:sz w:val="20"/>
          <w:szCs w:val="20"/>
        </w:rPr>
        <w:t>Ciência Agronômica</w:t>
      </w:r>
      <w:r w:rsidRPr="00BD6869">
        <w:rPr>
          <w:sz w:val="20"/>
          <w:szCs w:val="20"/>
        </w:rPr>
        <w:t xml:space="preserve">, v. 47, n. 4, p. 683-690, 2016. DOI: </w:t>
      </w:r>
      <w:hyperlink r:id="rId9">
        <w:r w:rsidRPr="00BD6869">
          <w:rPr>
            <w:rStyle w:val="Hyperlink"/>
            <w:color w:val="auto"/>
            <w:sz w:val="20"/>
            <w:szCs w:val="20"/>
            <w:u w:val="none"/>
          </w:rPr>
          <w:t>10.5935/1806-6690.20160082</w:t>
        </w:r>
      </w:hyperlink>
      <w:r w:rsidRPr="00BD6869">
        <w:rPr>
          <w:sz w:val="20"/>
          <w:szCs w:val="20"/>
        </w:rPr>
        <w:t xml:space="preserve">  </w:t>
      </w:r>
    </w:p>
    <w:p w14:paraId="611FE348" w14:textId="77777777" w:rsidR="00BD6869" w:rsidRPr="00BD6869" w:rsidRDefault="00BD6869" w:rsidP="00BD6869">
      <w:pPr>
        <w:spacing w:before="240" w:after="240"/>
        <w:ind w:firstLine="0"/>
        <w:rPr>
          <w:sz w:val="20"/>
          <w:szCs w:val="20"/>
          <w:lang w:val="en-US"/>
        </w:rPr>
      </w:pPr>
      <w:r w:rsidRPr="00BD6869">
        <w:rPr>
          <w:sz w:val="20"/>
          <w:szCs w:val="20"/>
        </w:rPr>
        <w:t xml:space="preserve">SMITH, R.; RENTON, M.; REID, N. Crescimento e sequestro de carbono por florestas remanescentes de </w:t>
      </w:r>
      <w:r w:rsidRPr="00525A34">
        <w:rPr>
          <w:i/>
          <w:iCs/>
          <w:sz w:val="20"/>
          <w:szCs w:val="20"/>
        </w:rPr>
        <w:t>Eucalyptus camaldulensis</w:t>
      </w:r>
      <w:r w:rsidRPr="00BD6869">
        <w:rPr>
          <w:sz w:val="20"/>
          <w:szCs w:val="20"/>
        </w:rPr>
        <w:t xml:space="preserve"> na Austrália semiárida durante condições de La Niña. </w:t>
      </w:r>
      <w:r w:rsidRPr="00BD6869">
        <w:rPr>
          <w:b/>
          <w:bCs/>
          <w:sz w:val="20"/>
          <w:szCs w:val="20"/>
          <w:lang w:val="en-US"/>
        </w:rPr>
        <w:t>Agricultural and Forest Meteorology</w:t>
      </w:r>
      <w:r w:rsidRPr="00BD6869">
        <w:rPr>
          <w:sz w:val="20"/>
          <w:szCs w:val="20"/>
          <w:lang w:val="en-US"/>
        </w:rPr>
        <w:t>, [s. l.], v. 232, p. 704–710, 2017. DOI: 10.1016/j.agrformet.2016.10.014</w:t>
      </w:r>
    </w:p>
    <w:p w14:paraId="1F5F24F7" w14:textId="77777777" w:rsidR="00BD6869" w:rsidRPr="00BD6869" w:rsidRDefault="00BD6869" w:rsidP="00BD6869">
      <w:pPr>
        <w:ind w:firstLine="0"/>
        <w:rPr>
          <w:sz w:val="20"/>
          <w:szCs w:val="20"/>
          <w:lang w:val="en-US"/>
        </w:rPr>
      </w:pPr>
      <w:r w:rsidRPr="00BD6869">
        <w:rPr>
          <w:sz w:val="20"/>
          <w:szCs w:val="20"/>
          <w:lang w:val="en-US"/>
        </w:rPr>
        <w:t xml:space="preserve">SURAJ, P. G. </w:t>
      </w:r>
      <w:r w:rsidRPr="00142C43">
        <w:rPr>
          <w:i/>
          <w:iCs/>
          <w:sz w:val="20"/>
          <w:szCs w:val="20"/>
          <w:lang w:val="en-US"/>
        </w:rPr>
        <w:t>et al</w:t>
      </w:r>
      <w:r w:rsidRPr="00BD6869">
        <w:rPr>
          <w:sz w:val="20"/>
          <w:szCs w:val="20"/>
          <w:lang w:val="en-US"/>
        </w:rPr>
        <w:t xml:space="preserve">. </w:t>
      </w:r>
      <w:r w:rsidRPr="00BD6869">
        <w:rPr>
          <w:sz w:val="20"/>
          <w:szCs w:val="20"/>
        </w:rPr>
        <w:t xml:space="preserve">Crescimento e características da madeira para celulose de </w:t>
      </w:r>
      <w:r w:rsidRPr="00525A34">
        <w:rPr>
          <w:i/>
          <w:iCs/>
          <w:sz w:val="20"/>
          <w:szCs w:val="20"/>
        </w:rPr>
        <w:t>Leucaena leucocephala</w:t>
      </w:r>
      <w:r w:rsidRPr="00BD6869">
        <w:rPr>
          <w:sz w:val="20"/>
          <w:szCs w:val="20"/>
        </w:rPr>
        <w:t xml:space="preserve"> e </w:t>
      </w:r>
      <w:r w:rsidRPr="00525A34">
        <w:rPr>
          <w:i/>
          <w:iCs/>
          <w:sz w:val="20"/>
          <w:szCs w:val="20"/>
        </w:rPr>
        <w:t>Eucalyptus camaldulensis</w:t>
      </w:r>
      <w:r w:rsidRPr="00BD6869">
        <w:rPr>
          <w:sz w:val="20"/>
          <w:szCs w:val="20"/>
        </w:rPr>
        <w:t xml:space="preserve"> em locais de sequeiro e irrigação no sul da Índia. </w:t>
      </w:r>
      <w:r w:rsidRPr="00BD6869">
        <w:rPr>
          <w:b/>
          <w:bCs/>
          <w:sz w:val="20"/>
          <w:szCs w:val="20"/>
          <w:lang w:val="en-US"/>
        </w:rPr>
        <w:t>Trees, Forests and People</w:t>
      </w:r>
      <w:r w:rsidRPr="00BD6869">
        <w:rPr>
          <w:sz w:val="20"/>
          <w:szCs w:val="20"/>
          <w:lang w:val="en-US"/>
        </w:rPr>
        <w:t>, [s. l.], v. 15, p. 100482, 2024. DOI: 10.4236/ajps.2013.44098</w:t>
      </w:r>
    </w:p>
    <w:p w14:paraId="2019C91C" w14:textId="77777777" w:rsidR="00BD6869" w:rsidRPr="00BD6869" w:rsidRDefault="00BD6869" w:rsidP="00BD6869">
      <w:pPr>
        <w:rPr>
          <w:sz w:val="20"/>
          <w:szCs w:val="20"/>
          <w:lang w:val="en-US"/>
        </w:rPr>
      </w:pPr>
    </w:p>
    <w:p w14:paraId="1845058D" w14:textId="77777777" w:rsidR="00BD6869" w:rsidRPr="00BD6869" w:rsidRDefault="00BD6869" w:rsidP="00BD6869">
      <w:pPr>
        <w:ind w:firstLine="0"/>
        <w:rPr>
          <w:sz w:val="20"/>
          <w:szCs w:val="20"/>
        </w:rPr>
      </w:pPr>
      <w:r w:rsidRPr="00BD6869">
        <w:rPr>
          <w:sz w:val="20"/>
          <w:szCs w:val="20"/>
          <w:lang w:val="en-US"/>
        </w:rPr>
        <w:t xml:space="preserve">ZHOU, Runkai </w:t>
      </w:r>
      <w:r w:rsidRPr="00142C43">
        <w:rPr>
          <w:i/>
          <w:iCs/>
          <w:sz w:val="20"/>
          <w:szCs w:val="20"/>
          <w:lang w:val="en-US"/>
        </w:rPr>
        <w:t>et al</w:t>
      </w:r>
      <w:r w:rsidRPr="00BD6869">
        <w:rPr>
          <w:sz w:val="20"/>
          <w:szCs w:val="20"/>
          <w:lang w:val="en-US"/>
        </w:rPr>
        <w:t>. Estimation of DBH at Forest Stand Level Based on Multi-Parameters and Generalized Regression Neural Network.</w:t>
      </w:r>
      <w:r w:rsidRPr="00BD6869">
        <w:rPr>
          <w:b/>
          <w:bCs/>
          <w:sz w:val="20"/>
          <w:szCs w:val="20"/>
          <w:lang w:val="en-US"/>
        </w:rPr>
        <w:t xml:space="preserve"> Forest</w:t>
      </w:r>
      <w:r w:rsidRPr="00BD6869">
        <w:rPr>
          <w:sz w:val="20"/>
          <w:szCs w:val="20"/>
          <w:lang w:val="en-US"/>
        </w:rPr>
        <w:t>s, [s. l.], v. 10, n. 9, p. 778, 2019.</w:t>
      </w:r>
      <w:r w:rsidRPr="00A21860">
        <w:rPr>
          <w:sz w:val="20"/>
          <w:szCs w:val="20"/>
          <w:lang w:val="en-US"/>
        </w:rPr>
        <w:t xml:space="preserve"> </w:t>
      </w:r>
      <w:r w:rsidRPr="00A21860">
        <w:rPr>
          <w:sz w:val="20"/>
          <w:szCs w:val="20"/>
        </w:rPr>
        <w:t>DOI:</w:t>
      </w:r>
      <w:r w:rsidRPr="00BD6869">
        <w:rPr>
          <w:b/>
          <w:bCs/>
          <w:sz w:val="20"/>
          <w:szCs w:val="20"/>
        </w:rPr>
        <w:t xml:space="preserve"> </w:t>
      </w:r>
      <w:hyperlink r:id="rId10">
        <w:r w:rsidRPr="00BD6869">
          <w:rPr>
            <w:rStyle w:val="Hyperlink"/>
            <w:color w:val="auto"/>
            <w:sz w:val="20"/>
            <w:szCs w:val="20"/>
            <w:u w:val="none"/>
          </w:rPr>
          <w:t>10.3390/f10090778</w:t>
        </w:r>
      </w:hyperlink>
    </w:p>
    <w:p w14:paraId="2AF2A58D" w14:textId="039388A3" w:rsidR="00BD6869" w:rsidRPr="00BD6869" w:rsidRDefault="00BD6869" w:rsidP="00BD6869">
      <w:pPr>
        <w:ind w:firstLine="0"/>
        <w:rPr>
          <w:rFonts w:eastAsia="Arial"/>
          <w:b/>
          <w:bCs/>
          <w:color w:val="4F5671"/>
          <w:sz w:val="20"/>
          <w:szCs w:val="20"/>
        </w:rPr>
      </w:pPr>
    </w:p>
    <w:p w14:paraId="4DED85FE" w14:textId="2DE24D50" w:rsidR="00BD6869" w:rsidRPr="00BD6869" w:rsidRDefault="00BD6869" w:rsidP="00BD6869">
      <w:pPr>
        <w:ind w:firstLine="0"/>
        <w:rPr>
          <w:rFonts w:eastAsia="Arial"/>
          <w:b/>
          <w:bCs/>
          <w:color w:val="4F5671"/>
          <w:sz w:val="20"/>
          <w:szCs w:val="20"/>
        </w:rPr>
      </w:pPr>
    </w:p>
    <w:p w14:paraId="5B3EE516" w14:textId="34182FFD" w:rsidR="009D720A" w:rsidRPr="00BD6869" w:rsidRDefault="009D720A" w:rsidP="00BD6869">
      <w:pPr>
        <w:spacing w:after="100"/>
        <w:rPr>
          <w:sz w:val="20"/>
          <w:szCs w:val="20"/>
        </w:rPr>
      </w:pPr>
    </w:p>
    <w:sectPr w:rsidR="009D720A" w:rsidRPr="00BD6869">
      <w:headerReference w:type="even" r:id="rId11"/>
      <w:headerReference w:type="default" r:id="rId12"/>
      <w:footerReference w:type="even" r:id="rId13"/>
      <w:footerReference w:type="default" r:id="rId14"/>
      <w:headerReference w:type="first" r:id="rId15"/>
      <w:footerReference w:type="first" r:id="rId16"/>
      <w:pgSz w:w="11910" w:h="16840"/>
      <w:pgMar w:top="1909" w:right="1134" w:bottom="1134" w:left="1701" w:header="1418" w:footer="14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2CA89" w14:textId="77777777" w:rsidR="00987F21" w:rsidRDefault="00987F21">
      <w:r>
        <w:separator/>
      </w:r>
    </w:p>
  </w:endnote>
  <w:endnote w:type="continuationSeparator" w:id="0">
    <w:p w14:paraId="708AC6F5" w14:textId="77777777" w:rsidR="00987F21" w:rsidRDefault="0098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3604" w14:textId="77777777" w:rsidR="009D720A" w:rsidRDefault="009D720A">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DA9C" w14:textId="77777777" w:rsidR="009D720A" w:rsidRDefault="009D720A">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30731" w14:textId="77777777" w:rsidR="009D720A" w:rsidRDefault="009D720A">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9EE47" w14:textId="77777777" w:rsidR="00987F21" w:rsidRDefault="00987F21">
      <w:r>
        <w:separator/>
      </w:r>
    </w:p>
  </w:footnote>
  <w:footnote w:type="continuationSeparator" w:id="0">
    <w:p w14:paraId="76E22AD5" w14:textId="77777777" w:rsidR="00987F21" w:rsidRDefault="00987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3F0A" w14:textId="77777777" w:rsidR="009D720A" w:rsidRDefault="009D720A">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5E5E8" w14:textId="77777777" w:rsidR="009D720A" w:rsidRDefault="009D720A">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B6076" w14:textId="77777777" w:rsidR="009D720A" w:rsidRDefault="009F6F59">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14:anchorId="3F213C7F" wp14:editId="791AAA60">
          <wp:extent cx="5274310" cy="791210"/>
          <wp:effectExtent l="0" t="0" r="0" b="0"/>
          <wp:docPr id="43765513" name="image3.pn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3.png" descr="Desenho de personagem de desenho animado&#10;&#10;Descrição gerada automaticamente com confiança média"/>
                  <pic:cNvPicPr preferRelativeResize="0"/>
                </pic:nvPicPr>
                <pic:blipFill>
                  <a:blip r:embed="rId1"/>
                  <a:srcRect/>
                  <a:stretch>
                    <a:fillRect/>
                  </a:stretch>
                </pic:blipFill>
                <pic:spPr>
                  <a:xfrm>
                    <a:off x="0" y="0"/>
                    <a:ext cx="5274310" cy="79121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B39EF"/>
    <w:multiLevelType w:val="multilevel"/>
    <w:tmpl w:val="A1E65CFA"/>
    <w:lvl w:ilvl="0">
      <w:start w:val="1"/>
      <w:numFmt w:val="bullet"/>
      <w:lvlText w:val="●"/>
      <w:lvlJc w:val="left"/>
      <w:pPr>
        <w:ind w:left="1429" w:hanging="360"/>
      </w:pPr>
      <w:rPr>
        <w:u w:val="none"/>
      </w:rPr>
    </w:lvl>
    <w:lvl w:ilvl="1">
      <w:start w:val="1"/>
      <w:numFmt w:val="bullet"/>
      <w:lvlText w:val="o"/>
      <w:lvlJc w:val="left"/>
      <w:pPr>
        <w:ind w:left="2149" w:hanging="360"/>
      </w:pPr>
      <w:rPr>
        <w:u w:val="none"/>
      </w:rPr>
    </w:lvl>
    <w:lvl w:ilvl="2">
      <w:start w:val="1"/>
      <w:numFmt w:val="bullet"/>
      <w:lvlText w:val="▪"/>
      <w:lvlJc w:val="left"/>
      <w:pPr>
        <w:ind w:left="2869" w:hanging="360"/>
      </w:pPr>
      <w:rPr>
        <w:u w:val="none"/>
      </w:rPr>
    </w:lvl>
    <w:lvl w:ilvl="3">
      <w:start w:val="1"/>
      <w:numFmt w:val="bullet"/>
      <w:lvlText w:val="●"/>
      <w:lvlJc w:val="left"/>
      <w:pPr>
        <w:ind w:left="3589" w:hanging="360"/>
      </w:pPr>
      <w:rPr>
        <w:u w:val="none"/>
      </w:rPr>
    </w:lvl>
    <w:lvl w:ilvl="4">
      <w:start w:val="1"/>
      <w:numFmt w:val="bullet"/>
      <w:lvlText w:val="o"/>
      <w:lvlJc w:val="left"/>
      <w:pPr>
        <w:ind w:left="4309" w:hanging="360"/>
      </w:pPr>
      <w:rPr>
        <w:u w:val="none"/>
      </w:rPr>
    </w:lvl>
    <w:lvl w:ilvl="5">
      <w:start w:val="1"/>
      <w:numFmt w:val="bullet"/>
      <w:lvlText w:val="▪"/>
      <w:lvlJc w:val="left"/>
      <w:pPr>
        <w:ind w:left="5029" w:hanging="360"/>
      </w:pPr>
      <w:rPr>
        <w:u w:val="none"/>
      </w:rPr>
    </w:lvl>
    <w:lvl w:ilvl="6">
      <w:start w:val="1"/>
      <w:numFmt w:val="bullet"/>
      <w:lvlText w:val="●"/>
      <w:lvlJc w:val="left"/>
      <w:pPr>
        <w:ind w:left="5749" w:hanging="360"/>
      </w:pPr>
      <w:rPr>
        <w:u w:val="none"/>
      </w:rPr>
    </w:lvl>
    <w:lvl w:ilvl="7">
      <w:start w:val="1"/>
      <w:numFmt w:val="bullet"/>
      <w:lvlText w:val="o"/>
      <w:lvlJc w:val="left"/>
      <w:pPr>
        <w:ind w:left="6469" w:hanging="360"/>
      </w:pPr>
      <w:rPr>
        <w:u w:val="none"/>
      </w:rPr>
    </w:lvl>
    <w:lvl w:ilvl="8">
      <w:start w:val="1"/>
      <w:numFmt w:val="bullet"/>
      <w:lvlText w:val="▪"/>
      <w:lvlJc w:val="left"/>
      <w:pPr>
        <w:ind w:left="7189" w:hanging="360"/>
      </w:pPr>
      <w:rPr>
        <w:u w:val="none"/>
      </w:rPr>
    </w:lvl>
  </w:abstractNum>
  <w:abstractNum w:abstractNumId="1" w15:restartNumberingAfterBreak="0">
    <w:nsid w:val="43584C0E"/>
    <w:multiLevelType w:val="multilevel"/>
    <w:tmpl w:val="0002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CD12FB"/>
    <w:multiLevelType w:val="hybridMultilevel"/>
    <w:tmpl w:val="1060A660"/>
    <w:lvl w:ilvl="0" w:tplc="570AB038">
      <w:start w:val="1"/>
      <w:numFmt w:val="bullet"/>
      <w:lvlText w:val=""/>
      <w:lvlJc w:val="left"/>
      <w:pPr>
        <w:ind w:left="720" w:hanging="360"/>
      </w:pPr>
      <w:rPr>
        <w:rFonts w:ascii="Symbol" w:hAnsi="Symbol" w:hint="default"/>
      </w:rPr>
    </w:lvl>
    <w:lvl w:ilvl="1" w:tplc="E3AA72E2">
      <w:start w:val="1"/>
      <w:numFmt w:val="bullet"/>
      <w:lvlText w:val="o"/>
      <w:lvlJc w:val="left"/>
      <w:pPr>
        <w:ind w:left="1440" w:hanging="360"/>
      </w:pPr>
      <w:rPr>
        <w:rFonts w:ascii="Courier New" w:hAnsi="Courier New" w:hint="default"/>
      </w:rPr>
    </w:lvl>
    <w:lvl w:ilvl="2" w:tplc="D7462A84">
      <w:start w:val="1"/>
      <w:numFmt w:val="bullet"/>
      <w:lvlText w:val=""/>
      <w:lvlJc w:val="left"/>
      <w:pPr>
        <w:ind w:left="2160" w:hanging="360"/>
      </w:pPr>
      <w:rPr>
        <w:rFonts w:ascii="Wingdings" w:hAnsi="Wingdings" w:hint="default"/>
      </w:rPr>
    </w:lvl>
    <w:lvl w:ilvl="3" w:tplc="5102286A">
      <w:start w:val="1"/>
      <w:numFmt w:val="bullet"/>
      <w:lvlText w:val=""/>
      <w:lvlJc w:val="left"/>
      <w:pPr>
        <w:ind w:left="2880" w:hanging="360"/>
      </w:pPr>
      <w:rPr>
        <w:rFonts w:ascii="Symbol" w:hAnsi="Symbol" w:hint="default"/>
      </w:rPr>
    </w:lvl>
    <w:lvl w:ilvl="4" w:tplc="C19895F6">
      <w:start w:val="1"/>
      <w:numFmt w:val="bullet"/>
      <w:lvlText w:val="o"/>
      <w:lvlJc w:val="left"/>
      <w:pPr>
        <w:ind w:left="3600" w:hanging="360"/>
      </w:pPr>
      <w:rPr>
        <w:rFonts w:ascii="Courier New" w:hAnsi="Courier New" w:hint="default"/>
      </w:rPr>
    </w:lvl>
    <w:lvl w:ilvl="5" w:tplc="7BC00D3C">
      <w:start w:val="1"/>
      <w:numFmt w:val="bullet"/>
      <w:lvlText w:val=""/>
      <w:lvlJc w:val="left"/>
      <w:pPr>
        <w:ind w:left="4320" w:hanging="360"/>
      </w:pPr>
      <w:rPr>
        <w:rFonts w:ascii="Wingdings" w:hAnsi="Wingdings" w:hint="default"/>
      </w:rPr>
    </w:lvl>
    <w:lvl w:ilvl="6" w:tplc="0D00F372">
      <w:start w:val="1"/>
      <w:numFmt w:val="bullet"/>
      <w:lvlText w:val=""/>
      <w:lvlJc w:val="left"/>
      <w:pPr>
        <w:ind w:left="5040" w:hanging="360"/>
      </w:pPr>
      <w:rPr>
        <w:rFonts w:ascii="Symbol" w:hAnsi="Symbol" w:hint="default"/>
      </w:rPr>
    </w:lvl>
    <w:lvl w:ilvl="7" w:tplc="EAC2B216">
      <w:start w:val="1"/>
      <w:numFmt w:val="bullet"/>
      <w:lvlText w:val="o"/>
      <w:lvlJc w:val="left"/>
      <w:pPr>
        <w:ind w:left="5760" w:hanging="360"/>
      </w:pPr>
      <w:rPr>
        <w:rFonts w:ascii="Courier New" w:hAnsi="Courier New" w:hint="default"/>
      </w:rPr>
    </w:lvl>
    <w:lvl w:ilvl="8" w:tplc="AC049A12">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20A"/>
    <w:rsid w:val="00042FBF"/>
    <w:rsid w:val="000C10F8"/>
    <w:rsid w:val="000E452E"/>
    <w:rsid w:val="0012503A"/>
    <w:rsid w:val="001310AD"/>
    <w:rsid w:val="00135233"/>
    <w:rsid w:val="001361FC"/>
    <w:rsid w:val="00142C43"/>
    <w:rsid w:val="001B1250"/>
    <w:rsid w:val="001C41D3"/>
    <w:rsid w:val="001F043C"/>
    <w:rsid w:val="002014E0"/>
    <w:rsid w:val="00207F1A"/>
    <w:rsid w:val="002217C1"/>
    <w:rsid w:val="002217F3"/>
    <w:rsid w:val="00254B63"/>
    <w:rsid w:val="002C2B25"/>
    <w:rsid w:val="00330755"/>
    <w:rsid w:val="00333247"/>
    <w:rsid w:val="00382945"/>
    <w:rsid w:val="0038470F"/>
    <w:rsid w:val="00395D53"/>
    <w:rsid w:val="003F7D9F"/>
    <w:rsid w:val="00421F3E"/>
    <w:rsid w:val="004D2A4C"/>
    <w:rsid w:val="00525A34"/>
    <w:rsid w:val="00545A77"/>
    <w:rsid w:val="005460C2"/>
    <w:rsid w:val="00547879"/>
    <w:rsid w:val="00565C2D"/>
    <w:rsid w:val="005C3D43"/>
    <w:rsid w:val="00653C1D"/>
    <w:rsid w:val="006A2292"/>
    <w:rsid w:val="006E5B25"/>
    <w:rsid w:val="00714D0C"/>
    <w:rsid w:val="007221D0"/>
    <w:rsid w:val="007308C5"/>
    <w:rsid w:val="00736CB6"/>
    <w:rsid w:val="00744FA6"/>
    <w:rsid w:val="00766ADB"/>
    <w:rsid w:val="007F36A0"/>
    <w:rsid w:val="00807B0E"/>
    <w:rsid w:val="00807BEE"/>
    <w:rsid w:val="00841600"/>
    <w:rsid w:val="00855381"/>
    <w:rsid w:val="008910AB"/>
    <w:rsid w:val="009101FC"/>
    <w:rsid w:val="00922969"/>
    <w:rsid w:val="00973208"/>
    <w:rsid w:val="00987F21"/>
    <w:rsid w:val="009905FF"/>
    <w:rsid w:val="00995528"/>
    <w:rsid w:val="009D720A"/>
    <w:rsid w:val="009E54C8"/>
    <w:rsid w:val="009F6F59"/>
    <w:rsid w:val="00A14B12"/>
    <w:rsid w:val="00A21860"/>
    <w:rsid w:val="00A240B2"/>
    <w:rsid w:val="00A34ECD"/>
    <w:rsid w:val="00A52A04"/>
    <w:rsid w:val="00A65DB0"/>
    <w:rsid w:val="00A7687F"/>
    <w:rsid w:val="00B3778D"/>
    <w:rsid w:val="00B91B77"/>
    <w:rsid w:val="00BB78B2"/>
    <w:rsid w:val="00BC0C75"/>
    <w:rsid w:val="00BC41FA"/>
    <w:rsid w:val="00BD6869"/>
    <w:rsid w:val="00C00177"/>
    <w:rsid w:val="00C64790"/>
    <w:rsid w:val="00C85645"/>
    <w:rsid w:val="00CB2BA3"/>
    <w:rsid w:val="00D13728"/>
    <w:rsid w:val="00D22F08"/>
    <w:rsid w:val="00D418E2"/>
    <w:rsid w:val="00D662AF"/>
    <w:rsid w:val="00E1074F"/>
    <w:rsid w:val="00ED3D38"/>
    <w:rsid w:val="00EE0731"/>
    <w:rsid w:val="00F24C36"/>
    <w:rsid w:val="00F53C53"/>
    <w:rsid w:val="00F81B3D"/>
    <w:rsid w:val="00FA6C74"/>
    <w:rsid w:val="00FB0DE7"/>
    <w:rsid w:val="00FE23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DD90"/>
  <w15:docId w15:val="{EFFFB537-033E-48C3-8D29-469A8CF2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pt-BR"/>
    </w:rPr>
  </w:style>
  <w:style w:type="paragraph" w:styleId="Ttulo1">
    <w:name w:val="heading 1"/>
    <w:basedOn w:val="Normal"/>
    <w:uiPriority w:val="9"/>
    <w:qFormat/>
    <w:pPr>
      <w:spacing w:before="18"/>
      <w:ind w:left="107"/>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973" w:hanging="355"/>
    </w:pPr>
  </w:style>
  <w:style w:type="paragraph" w:customStyle="1" w:styleId="TableParagraph">
    <w:name w:val="Table Paragraph"/>
    <w:basedOn w:val="Normal"/>
    <w:uiPriority w:val="1"/>
    <w:qFormat/>
    <w:pPr>
      <w:ind w:left="108"/>
    </w:pPr>
  </w:style>
  <w:style w:type="paragraph" w:styleId="Cabealho">
    <w:name w:val="header"/>
    <w:basedOn w:val="Normal"/>
    <w:link w:val="CabealhoChar"/>
    <w:uiPriority w:val="99"/>
    <w:unhideWhenUsed/>
    <w:rsid w:val="00324625"/>
    <w:pPr>
      <w:tabs>
        <w:tab w:val="center" w:pos="4252"/>
        <w:tab w:val="right" w:pos="8504"/>
      </w:tabs>
    </w:pPr>
  </w:style>
  <w:style w:type="character" w:customStyle="1" w:styleId="CabealhoChar">
    <w:name w:val="Cabeçalho Char"/>
    <w:basedOn w:val="Fontepargpadro"/>
    <w:link w:val="Cabealho"/>
    <w:uiPriority w:val="99"/>
    <w:rsid w:val="00324625"/>
    <w:rPr>
      <w:rFonts w:ascii="Times New Roman" w:eastAsia="Times New Roman" w:hAnsi="Times New Roman" w:cs="Times New Roman"/>
      <w:lang w:val="pt-BR" w:eastAsia="pt-BR" w:bidi="pt-BR"/>
    </w:rPr>
  </w:style>
  <w:style w:type="paragraph" w:styleId="Rodap">
    <w:name w:val="footer"/>
    <w:basedOn w:val="Normal"/>
    <w:link w:val="RodapChar"/>
    <w:uiPriority w:val="99"/>
    <w:unhideWhenUsed/>
    <w:rsid w:val="00324625"/>
    <w:pPr>
      <w:tabs>
        <w:tab w:val="center" w:pos="4252"/>
        <w:tab w:val="right" w:pos="8504"/>
      </w:tabs>
    </w:pPr>
  </w:style>
  <w:style w:type="character" w:customStyle="1" w:styleId="RodapChar">
    <w:name w:val="Rodapé Char"/>
    <w:basedOn w:val="Fontepargpadro"/>
    <w:link w:val="Rodap"/>
    <w:uiPriority w:val="99"/>
    <w:rsid w:val="00324625"/>
    <w:rPr>
      <w:rFonts w:ascii="Times New Roman" w:eastAsia="Times New Roman" w:hAnsi="Times New Roman" w:cs="Times New Roman"/>
      <w:lang w:val="pt-BR" w:eastAsia="pt-BR" w:bidi="pt-BR"/>
    </w:rPr>
  </w:style>
  <w:style w:type="paragraph" w:styleId="NormalWeb">
    <w:name w:val="Normal (Web)"/>
    <w:basedOn w:val="Normal"/>
    <w:uiPriority w:val="99"/>
    <w:rsid w:val="00832A03"/>
    <w:pPr>
      <w:suppressAutoHyphens/>
      <w:spacing w:before="100" w:after="119"/>
    </w:pPr>
    <w:rPr>
      <w:sz w:val="24"/>
      <w:szCs w:val="24"/>
      <w:lang w:val="en-US" w:eastAsia="ar-SA" w:bidi="ar-SA"/>
    </w:rPr>
  </w:style>
  <w:style w:type="character" w:styleId="nfase">
    <w:name w:val="Emphasis"/>
    <w:uiPriority w:val="20"/>
    <w:qFormat/>
    <w:rsid w:val="00832A03"/>
    <w:rPr>
      <w:i/>
      <w:iCs/>
    </w:rPr>
  </w:style>
  <w:style w:type="character" w:styleId="Hyperlink">
    <w:name w:val="Hyperlink"/>
    <w:basedOn w:val="Fontepargpadro"/>
    <w:uiPriority w:val="99"/>
    <w:unhideWhenUsed/>
    <w:rsid w:val="00085E2B"/>
    <w:rPr>
      <w:color w:val="0000FF"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08" w:type="dxa"/>
        <w:right w:w="108" w:type="dxa"/>
      </w:tblCellMar>
    </w:tblPr>
  </w:style>
  <w:style w:type="paragraph" w:styleId="Reviso">
    <w:name w:val="Revision"/>
    <w:hidden/>
    <w:uiPriority w:val="99"/>
    <w:semiHidden/>
    <w:rsid w:val="00B84A84"/>
    <w:rPr>
      <w:lang w:bidi="pt-BR"/>
    </w:rPr>
  </w:style>
  <w:style w:type="table" w:customStyle="1" w:styleId="a1">
    <w:basedOn w:val="TableNormal2"/>
    <w:tblPr>
      <w:tblStyleRowBandSize w:val="1"/>
      <w:tblStyleColBandSize w:val="1"/>
      <w:tblCellMar>
        <w:left w:w="108" w:type="dxa"/>
        <w:right w:w="108" w:type="dxa"/>
      </w:tblCellMar>
    </w:tblPr>
  </w:style>
  <w:style w:type="paragraph" w:customStyle="1" w:styleId="ds-markdown-paragraph">
    <w:name w:val="ds-markdown-paragraph"/>
    <w:basedOn w:val="Normal"/>
    <w:rsid w:val="009101FC"/>
    <w:pPr>
      <w:spacing w:before="100" w:beforeAutospacing="1" w:after="100" w:afterAutospacing="1"/>
    </w:pPr>
    <w:rPr>
      <w:sz w:val="24"/>
      <w:szCs w:val="24"/>
      <w:lang w:bidi="ar-SA"/>
    </w:rPr>
  </w:style>
  <w:style w:type="character" w:styleId="Forte">
    <w:name w:val="Strong"/>
    <w:basedOn w:val="Fontepargpadro"/>
    <w:uiPriority w:val="22"/>
    <w:qFormat/>
    <w:rsid w:val="009101FC"/>
    <w:rPr>
      <w:b/>
      <w:bCs/>
    </w:rPr>
  </w:style>
  <w:style w:type="paragraph" w:styleId="Bibliografia">
    <w:name w:val="Bibliography"/>
    <w:basedOn w:val="Normal"/>
    <w:next w:val="Normal"/>
    <w:uiPriority w:val="37"/>
    <w:semiHidden/>
    <w:unhideWhenUsed/>
    <w:rsid w:val="00BD6869"/>
  </w:style>
  <w:style w:type="paragraph" w:styleId="Legenda">
    <w:name w:val="caption"/>
    <w:basedOn w:val="Normal"/>
    <w:next w:val="Normal"/>
    <w:uiPriority w:val="35"/>
    <w:unhideWhenUsed/>
    <w:qFormat/>
    <w:rsid w:val="001B1250"/>
    <w:pPr>
      <w:spacing w:after="200"/>
    </w:pPr>
    <w:rPr>
      <w:i/>
      <w:iCs/>
      <w:color w:val="1F497D" w:themeColor="text2"/>
      <w:sz w:val="18"/>
      <w:szCs w:val="18"/>
    </w:rPr>
  </w:style>
  <w:style w:type="character" w:styleId="TextodoEspaoReservado">
    <w:name w:val="Placeholder Text"/>
    <w:basedOn w:val="Fontepargpadro"/>
    <w:uiPriority w:val="99"/>
    <w:semiHidden/>
    <w:rsid w:val="00A768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3790">
      <w:bodyDiv w:val="1"/>
      <w:marLeft w:val="0"/>
      <w:marRight w:val="0"/>
      <w:marTop w:val="0"/>
      <w:marBottom w:val="0"/>
      <w:divBdr>
        <w:top w:val="none" w:sz="0" w:space="0" w:color="auto"/>
        <w:left w:val="none" w:sz="0" w:space="0" w:color="auto"/>
        <w:bottom w:val="none" w:sz="0" w:space="0" w:color="auto"/>
        <w:right w:val="none" w:sz="0" w:space="0" w:color="auto"/>
      </w:divBdr>
    </w:div>
    <w:div w:id="258753230">
      <w:bodyDiv w:val="1"/>
      <w:marLeft w:val="0"/>
      <w:marRight w:val="0"/>
      <w:marTop w:val="0"/>
      <w:marBottom w:val="0"/>
      <w:divBdr>
        <w:top w:val="none" w:sz="0" w:space="0" w:color="auto"/>
        <w:left w:val="none" w:sz="0" w:space="0" w:color="auto"/>
        <w:bottom w:val="none" w:sz="0" w:space="0" w:color="auto"/>
        <w:right w:val="none" w:sz="0" w:space="0" w:color="auto"/>
      </w:divBdr>
    </w:div>
    <w:div w:id="292563911">
      <w:bodyDiv w:val="1"/>
      <w:marLeft w:val="0"/>
      <w:marRight w:val="0"/>
      <w:marTop w:val="0"/>
      <w:marBottom w:val="0"/>
      <w:divBdr>
        <w:top w:val="none" w:sz="0" w:space="0" w:color="auto"/>
        <w:left w:val="none" w:sz="0" w:space="0" w:color="auto"/>
        <w:bottom w:val="none" w:sz="0" w:space="0" w:color="auto"/>
        <w:right w:val="none" w:sz="0" w:space="0" w:color="auto"/>
      </w:divBdr>
    </w:div>
    <w:div w:id="363678364">
      <w:bodyDiv w:val="1"/>
      <w:marLeft w:val="0"/>
      <w:marRight w:val="0"/>
      <w:marTop w:val="0"/>
      <w:marBottom w:val="0"/>
      <w:divBdr>
        <w:top w:val="none" w:sz="0" w:space="0" w:color="auto"/>
        <w:left w:val="none" w:sz="0" w:space="0" w:color="auto"/>
        <w:bottom w:val="none" w:sz="0" w:space="0" w:color="auto"/>
        <w:right w:val="none" w:sz="0" w:space="0" w:color="auto"/>
      </w:divBdr>
    </w:div>
    <w:div w:id="400980950">
      <w:bodyDiv w:val="1"/>
      <w:marLeft w:val="0"/>
      <w:marRight w:val="0"/>
      <w:marTop w:val="0"/>
      <w:marBottom w:val="0"/>
      <w:divBdr>
        <w:top w:val="none" w:sz="0" w:space="0" w:color="auto"/>
        <w:left w:val="none" w:sz="0" w:space="0" w:color="auto"/>
        <w:bottom w:val="none" w:sz="0" w:space="0" w:color="auto"/>
        <w:right w:val="none" w:sz="0" w:space="0" w:color="auto"/>
      </w:divBdr>
    </w:div>
    <w:div w:id="412508649">
      <w:bodyDiv w:val="1"/>
      <w:marLeft w:val="0"/>
      <w:marRight w:val="0"/>
      <w:marTop w:val="0"/>
      <w:marBottom w:val="0"/>
      <w:divBdr>
        <w:top w:val="none" w:sz="0" w:space="0" w:color="auto"/>
        <w:left w:val="none" w:sz="0" w:space="0" w:color="auto"/>
        <w:bottom w:val="none" w:sz="0" w:space="0" w:color="auto"/>
        <w:right w:val="none" w:sz="0" w:space="0" w:color="auto"/>
      </w:divBdr>
    </w:div>
    <w:div w:id="905607416">
      <w:bodyDiv w:val="1"/>
      <w:marLeft w:val="0"/>
      <w:marRight w:val="0"/>
      <w:marTop w:val="0"/>
      <w:marBottom w:val="0"/>
      <w:divBdr>
        <w:top w:val="none" w:sz="0" w:space="0" w:color="auto"/>
        <w:left w:val="none" w:sz="0" w:space="0" w:color="auto"/>
        <w:bottom w:val="none" w:sz="0" w:space="0" w:color="auto"/>
        <w:right w:val="none" w:sz="0" w:space="0" w:color="auto"/>
      </w:divBdr>
    </w:div>
    <w:div w:id="978608257">
      <w:bodyDiv w:val="1"/>
      <w:marLeft w:val="0"/>
      <w:marRight w:val="0"/>
      <w:marTop w:val="0"/>
      <w:marBottom w:val="0"/>
      <w:divBdr>
        <w:top w:val="none" w:sz="0" w:space="0" w:color="auto"/>
        <w:left w:val="none" w:sz="0" w:space="0" w:color="auto"/>
        <w:bottom w:val="none" w:sz="0" w:space="0" w:color="auto"/>
        <w:right w:val="none" w:sz="0" w:space="0" w:color="auto"/>
      </w:divBdr>
    </w:div>
    <w:div w:id="1194349358">
      <w:bodyDiv w:val="1"/>
      <w:marLeft w:val="0"/>
      <w:marRight w:val="0"/>
      <w:marTop w:val="0"/>
      <w:marBottom w:val="0"/>
      <w:divBdr>
        <w:top w:val="none" w:sz="0" w:space="0" w:color="auto"/>
        <w:left w:val="none" w:sz="0" w:space="0" w:color="auto"/>
        <w:bottom w:val="none" w:sz="0" w:space="0" w:color="auto"/>
        <w:right w:val="none" w:sz="0" w:space="0" w:color="auto"/>
      </w:divBdr>
    </w:div>
    <w:div w:id="1384938992">
      <w:bodyDiv w:val="1"/>
      <w:marLeft w:val="0"/>
      <w:marRight w:val="0"/>
      <w:marTop w:val="0"/>
      <w:marBottom w:val="0"/>
      <w:divBdr>
        <w:top w:val="none" w:sz="0" w:space="0" w:color="auto"/>
        <w:left w:val="none" w:sz="0" w:space="0" w:color="auto"/>
        <w:bottom w:val="none" w:sz="0" w:space="0" w:color="auto"/>
        <w:right w:val="none" w:sz="0" w:space="0" w:color="auto"/>
      </w:divBdr>
    </w:div>
    <w:div w:id="1579631514">
      <w:bodyDiv w:val="1"/>
      <w:marLeft w:val="0"/>
      <w:marRight w:val="0"/>
      <w:marTop w:val="0"/>
      <w:marBottom w:val="0"/>
      <w:divBdr>
        <w:top w:val="none" w:sz="0" w:space="0" w:color="auto"/>
        <w:left w:val="none" w:sz="0" w:space="0" w:color="auto"/>
        <w:bottom w:val="none" w:sz="0" w:space="0" w:color="auto"/>
        <w:right w:val="none" w:sz="0" w:space="0" w:color="auto"/>
      </w:divBdr>
    </w:div>
    <w:div w:id="1746604371">
      <w:bodyDiv w:val="1"/>
      <w:marLeft w:val="0"/>
      <w:marRight w:val="0"/>
      <w:marTop w:val="0"/>
      <w:marBottom w:val="0"/>
      <w:divBdr>
        <w:top w:val="none" w:sz="0" w:space="0" w:color="auto"/>
        <w:left w:val="none" w:sz="0" w:space="0" w:color="auto"/>
        <w:bottom w:val="none" w:sz="0" w:space="0" w:color="auto"/>
        <w:right w:val="none" w:sz="0" w:space="0" w:color="auto"/>
      </w:divBdr>
    </w:div>
    <w:div w:id="1818064028">
      <w:bodyDiv w:val="1"/>
      <w:marLeft w:val="0"/>
      <w:marRight w:val="0"/>
      <w:marTop w:val="0"/>
      <w:marBottom w:val="0"/>
      <w:divBdr>
        <w:top w:val="none" w:sz="0" w:space="0" w:color="auto"/>
        <w:left w:val="none" w:sz="0" w:space="0" w:color="auto"/>
        <w:bottom w:val="none" w:sz="0" w:space="0" w:color="auto"/>
        <w:right w:val="none" w:sz="0" w:space="0" w:color="auto"/>
      </w:divBdr>
    </w:div>
    <w:div w:id="1943420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3390/f10090778" TargetMode="External"/><Relationship Id="rId4" Type="http://schemas.openxmlformats.org/officeDocument/2006/relationships/settings" Target="settings.xml"/><Relationship Id="rId9" Type="http://schemas.openxmlformats.org/officeDocument/2006/relationships/hyperlink" Target="https://doi.org/10.5935/1806-6690.20160082"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Tc28lwHzFXw0O3CQ6gx6YcoyVg==">CgMxLjAaHwoBMBIaChgICVIUChJ0YWJsZS5jbTF2MGc4Y3Zhc3IyCGguZ2pkZ3hzMg5oLnlwOTZpd3Uybzd3ZzgAciExdl9ONWE2SF92RUJwT05DbnByX3l3TEFURlptY3gySXE=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2193</Words>
  <Characters>11848</Characters>
  <Application>Microsoft Office Word</Application>
  <DocSecurity>0</DocSecurity>
  <Lines>98</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Liana Oliveira Costa</dc:creator>
  <cp:lastModifiedBy>Françóyse Dávilla</cp:lastModifiedBy>
  <cp:revision>4</cp:revision>
  <cp:lastPrinted>2025-06-11T00:11:00Z</cp:lastPrinted>
  <dcterms:created xsi:type="dcterms:W3CDTF">2025-06-11T00:13:00Z</dcterms:created>
  <dcterms:modified xsi:type="dcterms:W3CDTF">2025-06-11T00:20:00Z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2018-11-19T00:00:00Z</vt:filetime>
  </property>
  <property fmtid="{D5CDD505-2E9C-101B-9397-08002B2CF9AE}" pid="3" name="Creator">
    <vt:lpwstr>Microsoft® Word 2016</vt:lpwstr>
  </property>
  <property fmtid="{D5CDD505-2E9C-101B-9397-08002B2CF9AE}" pid="4" name="LastSaved">
    <vt:filetime>2019-09-16T00:00:00Z</vt:filetime>
  </property>
</Properties>
</file>