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4A48" w14:textId="384D105A" w:rsidR="00DC5B4B" w:rsidRPr="00EA773B" w:rsidRDefault="00FD0B28" w:rsidP="00DC5B4B">
      <w:pPr>
        <w:jc w:val="center"/>
        <w:rPr>
          <w:sz w:val="24"/>
          <w:szCs w:val="24"/>
        </w:rPr>
      </w:pPr>
      <w:r w:rsidRPr="00EA773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PRIMEIRO REGISTRO DE ACASALAMENTO E PARTO INDUZIDO DA </w:t>
      </w:r>
      <w:r w:rsidR="00517468" w:rsidRPr="00EA773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RAIA-PREGO ENDÊMICA DO BRASIL,</w:t>
      </w:r>
      <w:r w:rsidRPr="00EA773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A773B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Hypanus berthalutzae</w:t>
      </w:r>
    </w:p>
    <w:p w14:paraId="0A444A49" w14:textId="77777777" w:rsidR="00DC5B4B" w:rsidRPr="00EA773B" w:rsidRDefault="00DC5B4B" w:rsidP="00DC5B4B">
      <w:pPr>
        <w:rPr>
          <w:sz w:val="24"/>
          <w:szCs w:val="24"/>
        </w:rPr>
      </w:pPr>
      <w:r w:rsidRPr="00EA773B">
        <w:rPr>
          <w:sz w:val="24"/>
          <w:szCs w:val="24"/>
        </w:rPr>
        <w:br/>
      </w:r>
      <w:r w:rsidRPr="00EA773B">
        <w:rPr>
          <w:sz w:val="24"/>
          <w:szCs w:val="24"/>
        </w:rPr>
        <w:br/>
      </w:r>
    </w:p>
    <w:p w14:paraId="0A444A4A" w14:textId="3E922216" w:rsidR="00DC5B4B" w:rsidRPr="00EA773B" w:rsidRDefault="0077354E" w:rsidP="00DC5B4B">
      <w:pPr>
        <w:jc w:val="both"/>
        <w:rPr>
          <w:sz w:val="24"/>
          <w:szCs w:val="24"/>
        </w:rPr>
      </w:pPr>
      <w:r w:rsidRPr="00EA773B">
        <w:rPr>
          <w:rFonts w:ascii="Arial" w:eastAsia="Arial" w:hAnsi="Arial" w:cs="Arial"/>
          <w:color w:val="000000" w:themeColor="text1"/>
          <w:sz w:val="24"/>
          <w:szCs w:val="24"/>
        </w:rPr>
        <w:t>Vanessa Bettcher</w:t>
      </w:r>
      <w:r w:rsidR="00DC5B4B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¹; </w:t>
      </w:r>
      <w:r w:rsidR="00CA722F" w:rsidRPr="00EA773B">
        <w:rPr>
          <w:rFonts w:ascii="Arial" w:eastAsia="Arial" w:hAnsi="Arial" w:cs="Arial"/>
          <w:color w:val="000000" w:themeColor="text1"/>
          <w:sz w:val="24"/>
          <w:szCs w:val="24"/>
        </w:rPr>
        <w:t>Nayara Bucair</w:t>
      </w:r>
      <w:r w:rsidR="006C0CE0" w:rsidRPr="00EA773B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2</w:t>
      </w:r>
      <w:r w:rsidR="00AA2EEE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; </w:t>
      </w:r>
      <w:r w:rsidR="00CA722F" w:rsidRPr="00EA773B">
        <w:rPr>
          <w:rFonts w:ascii="Arial" w:eastAsia="Arial" w:hAnsi="Arial" w:cs="Arial"/>
          <w:color w:val="000000" w:themeColor="text1"/>
          <w:sz w:val="24"/>
          <w:szCs w:val="24"/>
        </w:rPr>
        <w:t>Liana de Figueiredo Mendes</w:t>
      </w:r>
      <w:r w:rsidR="006C0CE0" w:rsidRPr="00EA773B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3</w:t>
      </w:r>
      <w:r w:rsidR="00AA2EEE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; </w:t>
      </w:r>
      <w:r w:rsidR="00CA722F" w:rsidRPr="00EA773B">
        <w:rPr>
          <w:rFonts w:ascii="Arial" w:eastAsia="Arial" w:hAnsi="Arial" w:cs="Arial"/>
          <w:color w:val="000000" w:themeColor="text1"/>
          <w:sz w:val="24"/>
          <w:szCs w:val="24"/>
        </w:rPr>
        <w:t>Fabio Di Dario</w:t>
      </w:r>
      <w:r w:rsidR="006C0CE0" w:rsidRPr="00EA773B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4</w:t>
      </w:r>
      <w:r w:rsidR="00AA2EEE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; </w:t>
      </w:r>
      <w:r w:rsidR="00CA722F" w:rsidRPr="00EA773B">
        <w:rPr>
          <w:rFonts w:ascii="Arial" w:eastAsia="Arial" w:hAnsi="Arial" w:cs="Arial"/>
          <w:color w:val="000000" w:themeColor="text1"/>
          <w:sz w:val="24"/>
          <w:szCs w:val="24"/>
        </w:rPr>
        <w:t>Rodrigo Leão de Moura</w:t>
      </w:r>
      <w:r w:rsidR="006C0CE0" w:rsidRPr="00EA773B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5</w:t>
      </w:r>
      <w:r w:rsidR="00AA2EEE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; </w:t>
      </w:r>
      <w:r w:rsidR="00CA722F" w:rsidRPr="00EA773B">
        <w:rPr>
          <w:rFonts w:ascii="Arial" w:eastAsia="Arial" w:hAnsi="Arial" w:cs="Arial"/>
          <w:color w:val="000000" w:themeColor="text1"/>
          <w:sz w:val="24"/>
          <w:szCs w:val="24"/>
        </w:rPr>
        <w:t>Ricardo Garla</w:t>
      </w:r>
      <w:r w:rsidR="006C0CE0" w:rsidRPr="00EA773B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6</w:t>
      </w:r>
      <w:r w:rsidR="00AA2EEE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; </w:t>
      </w:r>
      <w:r w:rsidR="00CA722F" w:rsidRPr="00EA773B">
        <w:rPr>
          <w:rFonts w:ascii="Arial" w:eastAsia="Arial" w:hAnsi="Arial" w:cs="Arial"/>
          <w:color w:val="000000" w:themeColor="text1"/>
          <w:sz w:val="24"/>
          <w:szCs w:val="24"/>
        </w:rPr>
        <w:t>Bianca S. Rangel</w:t>
      </w:r>
      <w:r w:rsidR="006C0CE0" w:rsidRPr="00EA773B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7</w:t>
      </w:r>
    </w:p>
    <w:p w14:paraId="0A444A4B" w14:textId="77777777" w:rsidR="00DC5B4B" w:rsidRPr="00EA773B" w:rsidRDefault="00DC5B4B" w:rsidP="00DC5B4B">
      <w:pPr>
        <w:rPr>
          <w:sz w:val="24"/>
          <w:szCs w:val="24"/>
        </w:rPr>
      </w:pPr>
      <w:r w:rsidRPr="00EA773B">
        <w:rPr>
          <w:sz w:val="24"/>
          <w:szCs w:val="24"/>
        </w:rPr>
        <w:br/>
      </w:r>
      <w:r w:rsidRPr="00EA773B">
        <w:rPr>
          <w:sz w:val="24"/>
          <w:szCs w:val="24"/>
        </w:rPr>
        <w:br/>
      </w:r>
    </w:p>
    <w:p w14:paraId="164C6AC4" w14:textId="5D28C81C" w:rsidR="0025609E" w:rsidRPr="00EA773B" w:rsidRDefault="00DC5B4B" w:rsidP="0025609E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A773B">
        <w:rPr>
          <w:rFonts w:ascii="Arial" w:eastAsia="Arial" w:hAnsi="Arial" w:cs="Arial"/>
          <w:color w:val="000000" w:themeColor="text1"/>
          <w:sz w:val="24"/>
          <w:szCs w:val="24"/>
        </w:rPr>
        <w:t>¹</w:t>
      </w:r>
      <w:r w:rsidR="0025609E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 Pós-Graduand</w:t>
      </w:r>
      <w:r w:rsidR="00C628BB" w:rsidRPr="00EA773B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25609E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 em Ecologia e Evolução (PPGEE), Universidade do Estado do Rio de Janeiro (UERJ), Rua São Francisco Xavier, 524, CEP 20550- 900, Rio de Janeiro, RJ, Brazil;</w:t>
      </w:r>
    </w:p>
    <w:p w14:paraId="3C0335DF" w14:textId="0B376C9B" w:rsidR="0025609E" w:rsidRPr="00EA773B" w:rsidRDefault="006C0CE0" w:rsidP="0025609E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A773B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2</w:t>
      </w:r>
      <w:r w:rsidR="0025609E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304DA" w:rsidRPr="00EA773B">
        <w:rPr>
          <w:rFonts w:ascii="Arial" w:eastAsia="Arial" w:hAnsi="Arial" w:cs="Arial"/>
          <w:color w:val="000000" w:themeColor="text1"/>
          <w:sz w:val="24"/>
          <w:szCs w:val="24"/>
        </w:rPr>
        <w:t>Pesquisadora no</w:t>
      </w:r>
      <w:r w:rsidR="0025609E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 Laboratório de Ecologia da Reprodução e do Recrutamento de Organismos Marinhos (ECORREP), </w:t>
      </w:r>
      <w:r w:rsidR="001304DA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Departamento de Oceanografia Biológica, </w:t>
      </w:r>
      <w:r w:rsidR="0025609E" w:rsidRPr="00EA773B">
        <w:rPr>
          <w:rFonts w:ascii="Arial" w:eastAsia="Arial" w:hAnsi="Arial" w:cs="Arial"/>
          <w:color w:val="000000" w:themeColor="text1"/>
          <w:sz w:val="24"/>
          <w:szCs w:val="24"/>
        </w:rPr>
        <w:t>Instituto Oceanográfico, Universidade de São Paulo, São Paulo, Brazil;</w:t>
      </w:r>
    </w:p>
    <w:p w14:paraId="61DC20CE" w14:textId="66D47605" w:rsidR="0025609E" w:rsidRPr="00EA773B" w:rsidRDefault="006C0CE0" w:rsidP="0025609E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A773B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3</w:t>
      </w:r>
      <w:r w:rsidR="0025609E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628BB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Professora no </w:t>
      </w:r>
      <w:r w:rsidR="0025609E" w:rsidRPr="00EA773B">
        <w:rPr>
          <w:rFonts w:ascii="Arial" w:eastAsia="Arial" w:hAnsi="Arial" w:cs="Arial"/>
          <w:color w:val="000000" w:themeColor="text1"/>
          <w:sz w:val="24"/>
          <w:szCs w:val="24"/>
        </w:rPr>
        <w:t>Laboratório do Oceano, Departamento de Ecologia, Centro de Biociências, Universidade Federal do Rio Grande do Norte, Av. Senador Salgado Filho 3000, Natal, RN, 59077-000, Brazil;</w:t>
      </w:r>
    </w:p>
    <w:p w14:paraId="54E35DFE" w14:textId="062C9423" w:rsidR="0025609E" w:rsidRPr="00EA773B" w:rsidRDefault="006C0CE0" w:rsidP="0025609E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A773B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4</w:t>
      </w:r>
      <w:r w:rsidR="0025609E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628BB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Professor no </w:t>
      </w:r>
      <w:r w:rsidR="0025609E" w:rsidRPr="00EA773B">
        <w:rPr>
          <w:rFonts w:ascii="Arial" w:eastAsia="Arial" w:hAnsi="Arial" w:cs="Arial"/>
          <w:color w:val="000000" w:themeColor="text1"/>
          <w:sz w:val="24"/>
          <w:szCs w:val="24"/>
        </w:rPr>
        <w:t>Instituto de Biodiversidade e Sustentabilidade - NUPEM/UFRJ, Universidade Federal do Rio de Janeiro. Av. São José Barreto 764, Macaé, RJ, 27910–970, Brazil;</w:t>
      </w:r>
    </w:p>
    <w:p w14:paraId="3199CD57" w14:textId="690F0AF8" w:rsidR="0025609E" w:rsidRPr="00EA773B" w:rsidRDefault="00691A67" w:rsidP="0025609E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A773B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5</w:t>
      </w:r>
      <w:r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628BB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Professor no </w:t>
      </w:r>
      <w:r w:rsidR="0025609E" w:rsidRPr="00EA773B">
        <w:rPr>
          <w:rFonts w:ascii="Arial" w:eastAsia="Arial" w:hAnsi="Arial" w:cs="Arial"/>
          <w:color w:val="000000" w:themeColor="text1"/>
          <w:sz w:val="24"/>
          <w:szCs w:val="24"/>
        </w:rPr>
        <w:t>Instituto de Biologia and SAGE/COPPE, Universidade Federal do Rio de Janeiro, Rio de Janeiro, RJ, Brazil;</w:t>
      </w:r>
    </w:p>
    <w:p w14:paraId="746743F1" w14:textId="7AC7996B" w:rsidR="0025609E" w:rsidRPr="00EA773B" w:rsidRDefault="00691A67" w:rsidP="0025609E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00EA773B">
        <w:rPr>
          <w:rFonts w:ascii="Arial" w:eastAsia="Arial" w:hAnsi="Arial" w:cs="Arial"/>
          <w:color w:val="000000" w:themeColor="text1"/>
          <w:sz w:val="24"/>
          <w:szCs w:val="24"/>
          <w:vertAlign w:val="superscript"/>
          <w:lang w:val="en-US"/>
        </w:rPr>
        <w:t>6</w:t>
      </w:r>
      <w:r w:rsidR="0025609E" w:rsidRPr="00EA773B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C628BB" w:rsidRPr="00EA773B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Pesquisador em </w:t>
      </w:r>
      <w:r w:rsidR="0025609E" w:rsidRPr="00EA773B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KAUST Beacon Development, King Abdullah University of Science and Technology, 23955-900, Thuwal, Kingdom of Saudi Arabia;</w:t>
      </w:r>
    </w:p>
    <w:p w14:paraId="7B4EC53D" w14:textId="219881C8" w:rsidR="0025609E" w:rsidRPr="00EA773B" w:rsidRDefault="00691A67" w:rsidP="0025609E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A773B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7</w:t>
      </w:r>
      <w:r w:rsidR="0025609E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628BB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Pós-Graduanda em </w:t>
      </w:r>
      <w:r w:rsidR="0025609E" w:rsidRPr="00EA773B">
        <w:rPr>
          <w:rFonts w:ascii="Arial" w:eastAsia="Arial" w:hAnsi="Arial" w:cs="Arial"/>
          <w:color w:val="000000" w:themeColor="text1"/>
          <w:sz w:val="24"/>
          <w:szCs w:val="24"/>
        </w:rPr>
        <w:t>Fisiologia, Instituto de Biociências, Universidade de São Paulo. Rua do Matão, travessa 14, 321, CEP 05508-090, Cidade Universitária, São Paulo, SP, Brazil.</w:t>
      </w:r>
    </w:p>
    <w:p w14:paraId="0A444A4F" w14:textId="77777777" w:rsidR="00DC5B4B" w:rsidRPr="00EA773B" w:rsidRDefault="00DC5B4B" w:rsidP="0025609E">
      <w:pPr>
        <w:jc w:val="both"/>
        <w:rPr>
          <w:sz w:val="24"/>
          <w:szCs w:val="24"/>
        </w:rPr>
      </w:pPr>
      <w:r w:rsidRPr="00EA773B">
        <w:rPr>
          <w:rFonts w:ascii="Arial" w:eastAsia="Arial" w:hAnsi="Arial" w:cs="Arial"/>
          <w:color w:val="000000" w:themeColor="text1"/>
          <w:sz w:val="24"/>
          <w:szCs w:val="24"/>
        </w:rPr>
        <w:br/>
      </w:r>
      <w:r w:rsidRPr="00EA773B">
        <w:rPr>
          <w:sz w:val="24"/>
          <w:szCs w:val="24"/>
        </w:rPr>
        <w:br/>
      </w:r>
    </w:p>
    <w:p w14:paraId="063EA6A3" w14:textId="37984233" w:rsidR="00A44176" w:rsidRPr="00EA773B" w:rsidRDefault="00A44176" w:rsidP="00EA773B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A </w:t>
      </w:r>
      <w:r w:rsidR="005B2B34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raia-prego </w:t>
      </w:r>
      <w:r w:rsidRPr="00EA773B">
        <w:rPr>
          <w:rFonts w:ascii="Arial" w:eastAsia="Arial" w:hAnsi="Arial" w:cs="Arial"/>
          <w:color w:val="000000" w:themeColor="text1"/>
          <w:sz w:val="24"/>
          <w:szCs w:val="24"/>
        </w:rPr>
        <w:t>recentemente descrita</w:t>
      </w:r>
      <w:r w:rsidR="005B2B34" w:rsidRPr="00EA773B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EA773B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Hypanus berthalutzae</w:t>
      </w:r>
      <w:r w:rsidR="005B2B34" w:rsidRPr="00EA773B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 é endêmica </w:t>
      </w:r>
      <w:r w:rsidR="00831C75" w:rsidRPr="00EA773B">
        <w:rPr>
          <w:rFonts w:ascii="Arial" w:eastAsia="Arial" w:hAnsi="Arial" w:cs="Arial"/>
          <w:color w:val="000000" w:themeColor="text1"/>
          <w:sz w:val="24"/>
          <w:szCs w:val="24"/>
        </w:rPr>
        <w:t>do</w:t>
      </w:r>
      <w:r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 Brasil, incluindo </w:t>
      </w:r>
      <w:r w:rsidR="005B2B34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as </w:t>
      </w:r>
      <w:r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ilhas oceânicas. </w:t>
      </w:r>
      <w:r w:rsidR="00C21C25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A espécie está atualmente listada como </w:t>
      </w:r>
      <w:r w:rsidR="002E6676" w:rsidRPr="00EA773B">
        <w:rPr>
          <w:rFonts w:ascii="Arial" w:eastAsia="Arial" w:hAnsi="Arial" w:cs="Arial"/>
          <w:color w:val="000000" w:themeColor="text1"/>
          <w:sz w:val="24"/>
          <w:szCs w:val="24"/>
        </w:rPr>
        <w:t>“</w:t>
      </w:r>
      <w:r w:rsidR="00C21C25" w:rsidRPr="00EA773B">
        <w:rPr>
          <w:rFonts w:ascii="Arial" w:eastAsia="Arial" w:hAnsi="Arial" w:cs="Arial"/>
          <w:color w:val="000000" w:themeColor="text1"/>
          <w:sz w:val="24"/>
          <w:szCs w:val="24"/>
        </w:rPr>
        <w:t>Vulnerável</w:t>
      </w:r>
      <w:r w:rsidR="002E6676" w:rsidRPr="00EA773B">
        <w:rPr>
          <w:rFonts w:ascii="Arial" w:eastAsia="Arial" w:hAnsi="Arial" w:cs="Arial"/>
          <w:color w:val="000000" w:themeColor="text1"/>
          <w:sz w:val="24"/>
          <w:szCs w:val="24"/>
        </w:rPr>
        <w:t>”</w:t>
      </w:r>
      <w:r w:rsidR="00C21C25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 pela Lista Vermelha de Espécies Ameaçadas da União Internacional para a Conservação da Natureza (IUCN) devido à perda de habitat e à pesca direcionada e acessória, com uma diminuição populacional suspeita de 30-49% nos últimos 32 </w:t>
      </w:r>
      <w:r w:rsidR="00D44FC0">
        <w:rPr>
          <w:rFonts w:ascii="Arial" w:eastAsia="Arial" w:hAnsi="Arial" w:cs="Arial"/>
          <w:color w:val="000000" w:themeColor="text1"/>
          <w:sz w:val="24"/>
          <w:szCs w:val="24"/>
        </w:rPr>
        <w:t>anos</w:t>
      </w:r>
      <w:r w:rsidR="00C21C25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Embora se espere que </w:t>
      </w:r>
      <w:r w:rsidR="00BB110D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ela </w:t>
      </w:r>
      <w:r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tenha traços de história de vida semelhantes </w:t>
      </w:r>
      <w:r w:rsidR="00BB110D" w:rsidRPr="00EA773B">
        <w:rPr>
          <w:rFonts w:ascii="Arial" w:eastAsia="Arial" w:hAnsi="Arial" w:cs="Arial"/>
          <w:color w:val="000000" w:themeColor="text1"/>
          <w:sz w:val="24"/>
          <w:szCs w:val="24"/>
        </w:rPr>
        <w:t>à raia-prego</w:t>
      </w:r>
      <w:r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EA773B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H. </w:t>
      </w:r>
      <w:r w:rsidRPr="00EA773B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lastRenderedPageBreak/>
        <w:t>americanus</w:t>
      </w:r>
      <w:r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, pouco se sabe sobre sua biologia reprodutiva. </w:t>
      </w:r>
      <w:r w:rsidR="00BB110D" w:rsidRPr="00EA773B">
        <w:rPr>
          <w:rFonts w:ascii="Arial" w:eastAsia="Arial" w:hAnsi="Arial" w:cs="Arial"/>
          <w:color w:val="000000" w:themeColor="text1"/>
          <w:sz w:val="24"/>
          <w:szCs w:val="24"/>
        </w:rPr>
        <w:t>Nesse trabalho</w:t>
      </w:r>
      <w:r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 apresentamos as primeiras observações de </w:t>
      </w:r>
      <w:r w:rsidR="00562736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acasalamento e </w:t>
      </w:r>
      <w:r w:rsidR="00B46456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um parto induzido </w:t>
      </w:r>
      <w:r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de </w:t>
      </w:r>
      <w:r w:rsidRPr="00EA773B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H. berthalutzae </w:t>
      </w:r>
      <w:r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no Arquipélago de Fernando de Noronha, uma Área Marinha Protegida insular do Oceano Atlântico Equatorial. </w:t>
      </w:r>
      <w:r w:rsidR="001133D1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Todos os avistamentos do comportamento de acasalamento foram feitos a sota-vento da Ilha da Rata (3°48’49,2” S 32°23’25,8” W). </w:t>
      </w:r>
      <w:r w:rsidR="00DD1DF9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Os registros </w:t>
      </w:r>
      <w:r w:rsidR="001133D1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foram </w:t>
      </w:r>
      <w:r w:rsidR="00DD1DF9" w:rsidRPr="00EA773B">
        <w:rPr>
          <w:rFonts w:ascii="Arial" w:eastAsia="Arial" w:hAnsi="Arial" w:cs="Arial"/>
          <w:color w:val="000000" w:themeColor="text1"/>
          <w:sz w:val="24"/>
          <w:szCs w:val="24"/>
        </w:rPr>
        <w:t>obtidos de forma oportuna por meio de expedições científicas, contribuições de cidadãos</w:t>
      </w:r>
      <w:r w:rsidR="00D44F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1DF9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cientistas e cooperação de empresas locais de mídia subaquática. </w:t>
      </w:r>
      <w:r w:rsidR="0047431A" w:rsidRPr="00EA773B">
        <w:rPr>
          <w:rFonts w:ascii="Arial" w:eastAsia="Arial" w:hAnsi="Arial" w:cs="Arial"/>
          <w:color w:val="000000" w:themeColor="text1"/>
          <w:sz w:val="24"/>
          <w:szCs w:val="24"/>
        </w:rPr>
        <w:t>Foram registrados: comportamento de corte (n= 4)</w:t>
      </w:r>
      <w:r w:rsidR="004B1681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="0047431A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 cópula (n= 3)</w:t>
      </w:r>
      <w:r w:rsidR="004B1681" w:rsidRPr="00EA773B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C07B94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7431A" w:rsidRPr="00EA773B">
        <w:rPr>
          <w:rFonts w:ascii="Arial" w:eastAsia="Arial" w:hAnsi="Arial" w:cs="Arial"/>
          <w:color w:val="000000" w:themeColor="text1"/>
          <w:sz w:val="24"/>
          <w:szCs w:val="24"/>
        </w:rPr>
        <w:t>As etapas dos eventos de acasalamento</w:t>
      </w:r>
      <w:r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 incluíram: (1) “perseguição/seguimento próximo”, (2) “mordida pré-copulatória”, (3) inserção/cópula e (4) “separação". </w:t>
      </w:r>
      <w:r w:rsidR="00C07B94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Um parto induzido de uma </w:t>
      </w:r>
      <w:r w:rsidR="00C07B94" w:rsidRPr="00EA773B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H. berthalutzae</w:t>
      </w:r>
      <w:r w:rsidR="00C07B94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 também foi registrado durante uma captura científica para monitoramento de tubarões no arquipélago</w:t>
      </w:r>
      <w:r w:rsidR="003B6674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 (ICMBio #80761)</w:t>
      </w:r>
      <w:r w:rsidR="00C07B94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. O espécime foi acidentalmente capturado por uma linha de espera. </w:t>
      </w:r>
      <w:r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Esses resultados são especialmente relevantes, considerando que registros de comportamento reprodutivo na natureza são raros para elasmobrânquios em geral. Observou-se também que os eventos de acasalamento ocorreram em diferentes meses, sugerindo que o ciclo reprodutivo de </w:t>
      </w:r>
      <w:r w:rsidRPr="00EA773B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H. berthalutzae</w:t>
      </w:r>
      <w:r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 neste sistema insular é assíncrono, como observado para outras espécies de arraias em regiões com condições ambientais favoráveis ​​e alimentos abundantes ao longo do ano. A documentação oportunista do parto induzido permitiu a observação direta e não letal dos dois filhotes no final de maio ou quase no final de maio</w:t>
      </w:r>
      <w:r w:rsidR="00C07B94" w:rsidRPr="00EA773B">
        <w:rPr>
          <w:rFonts w:ascii="Arial" w:eastAsia="Arial" w:hAnsi="Arial" w:cs="Arial"/>
          <w:color w:val="000000" w:themeColor="text1"/>
          <w:sz w:val="24"/>
          <w:szCs w:val="24"/>
        </w:rPr>
        <w:t>, um macho e uma fêmea</w:t>
      </w:r>
      <w:r w:rsidRPr="00EA773B">
        <w:rPr>
          <w:rFonts w:ascii="Arial" w:eastAsia="Arial" w:hAnsi="Arial" w:cs="Arial"/>
          <w:color w:val="000000" w:themeColor="text1"/>
          <w:sz w:val="24"/>
          <w:szCs w:val="24"/>
        </w:rPr>
        <w:t>. Embora preliminares, essas observações devem ser consideradas em futuros planos de manejo, pois fornecem dados relevantes sobre as características da história de vida e comportamento de acasalamento desta espécie endêmica e ameaçada.</w:t>
      </w:r>
    </w:p>
    <w:p w14:paraId="0A444A51" w14:textId="77777777" w:rsidR="00DC5B4B" w:rsidRPr="00EA773B" w:rsidRDefault="00DC5B4B" w:rsidP="00EA773B">
      <w:pPr>
        <w:spacing w:line="360" w:lineRule="auto"/>
        <w:rPr>
          <w:sz w:val="24"/>
          <w:szCs w:val="24"/>
        </w:rPr>
      </w:pPr>
      <w:r w:rsidRPr="00EA773B">
        <w:rPr>
          <w:sz w:val="24"/>
          <w:szCs w:val="24"/>
        </w:rPr>
        <w:br/>
      </w:r>
    </w:p>
    <w:p w14:paraId="0A444A52" w14:textId="42B4AEF2" w:rsidR="00DC5B4B" w:rsidRPr="00EA773B" w:rsidRDefault="00DC5B4B" w:rsidP="00EA773B">
      <w:pPr>
        <w:spacing w:line="360" w:lineRule="auto"/>
        <w:jc w:val="both"/>
        <w:rPr>
          <w:sz w:val="24"/>
          <w:szCs w:val="24"/>
        </w:rPr>
      </w:pPr>
      <w:r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Palavras-chave: </w:t>
      </w:r>
      <w:r w:rsidR="00F46DE5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cópula; corte; </w:t>
      </w:r>
      <w:r w:rsidR="006B6395" w:rsidRPr="00EA773B">
        <w:rPr>
          <w:rFonts w:ascii="Arial" w:eastAsia="Arial" w:hAnsi="Arial" w:cs="Arial"/>
          <w:color w:val="000000" w:themeColor="text1"/>
          <w:sz w:val="24"/>
          <w:szCs w:val="24"/>
        </w:rPr>
        <w:t>reprodução</w:t>
      </w:r>
      <w:r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0A444A54" w14:textId="7E8C49BB" w:rsidR="00D97ADF" w:rsidRPr="00EA773B" w:rsidRDefault="00DC5B4B" w:rsidP="00EA773B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A773B">
        <w:rPr>
          <w:sz w:val="24"/>
          <w:szCs w:val="24"/>
        </w:rPr>
        <w:br/>
      </w:r>
      <w:r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Apoio Financeiro: </w:t>
      </w:r>
      <w:r w:rsidR="00E14DDD" w:rsidRPr="00EA773B">
        <w:rPr>
          <w:rFonts w:ascii="Arial" w:eastAsia="Arial" w:hAnsi="Arial" w:cs="Arial"/>
          <w:color w:val="000000" w:themeColor="text1"/>
          <w:sz w:val="24"/>
          <w:szCs w:val="24"/>
        </w:rPr>
        <w:t>Coordenação de Aperfeiçoamento de Pessoal de Nível Superior – Brasil</w:t>
      </w:r>
      <w:r w:rsidR="002C6446" w:rsidRPr="00EA773B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00E14DDD" w:rsidRPr="00EA773B">
        <w:rPr>
          <w:rFonts w:ascii="Arial" w:eastAsia="Arial" w:hAnsi="Arial" w:cs="Arial"/>
          <w:color w:val="000000" w:themeColor="text1"/>
          <w:sz w:val="24"/>
          <w:szCs w:val="24"/>
        </w:rPr>
        <w:t>CAPES</w:t>
      </w:r>
      <w:r w:rsidR="002C6446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00691D84" w:rsidRPr="00EA773B">
        <w:rPr>
          <w:rFonts w:ascii="Arial" w:eastAsia="Arial" w:hAnsi="Arial" w:cs="Arial"/>
          <w:color w:val="000000" w:themeColor="text1"/>
          <w:sz w:val="24"/>
          <w:szCs w:val="24"/>
        </w:rPr>
        <w:t>88887.370376/2019-00</w:t>
      </w:r>
      <w:r w:rsidR="00E14DDD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) (VBB). Bolsas FUNBIO – Conservando o Futuro do Fundo Brasileiro para a Biodiversidade e Instituto Humanize (#98/2019) </w:t>
      </w:r>
      <w:r w:rsidR="00691D84" w:rsidRPr="00EA773B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="00E14DDD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 Fundação de Amparo à Pesquisa do Estado de São Paulo-FAPESP (#2017/25273-</w:t>
      </w:r>
      <w:r w:rsidR="00E14DDD" w:rsidRPr="00EA773B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0</w:t>
      </w:r>
      <w:r w:rsidR="00691D84" w:rsidRPr="00EA773B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4D5096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00E14DDD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BSR). Conselho Nacional de Desenvolvimento Científico e Tecnológico - PROTAX </w:t>
      </w:r>
      <w:r w:rsidR="004D5096" w:rsidRPr="00EA773B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 w:rsidR="00E14DDD" w:rsidRPr="00EA773B">
        <w:rPr>
          <w:rFonts w:ascii="Arial" w:eastAsia="Arial" w:hAnsi="Arial" w:cs="Arial"/>
          <w:color w:val="000000" w:themeColor="text1"/>
          <w:sz w:val="24"/>
          <w:szCs w:val="24"/>
        </w:rPr>
        <w:t>443302/2020</w:t>
      </w:r>
      <w:r w:rsidR="004D5096" w:rsidRPr="00EA773B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E14DDD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D5096" w:rsidRPr="00EA773B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="00E14DDD" w:rsidRPr="00EA773B">
        <w:rPr>
          <w:rFonts w:ascii="Arial" w:eastAsia="Arial" w:hAnsi="Arial" w:cs="Arial"/>
          <w:color w:val="000000" w:themeColor="text1"/>
          <w:sz w:val="24"/>
          <w:szCs w:val="24"/>
        </w:rPr>
        <w:t xml:space="preserve"> FAPERJ (E-26/210.290/2021) </w:t>
      </w:r>
      <w:r w:rsidR="004D5096" w:rsidRPr="00EA773B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 w:rsidR="00E14DDD" w:rsidRPr="00EA773B">
        <w:rPr>
          <w:rFonts w:ascii="Arial" w:eastAsia="Arial" w:hAnsi="Arial" w:cs="Arial"/>
          <w:color w:val="000000" w:themeColor="text1"/>
          <w:sz w:val="24"/>
          <w:szCs w:val="24"/>
        </w:rPr>
        <w:t>FDD</w:t>
      </w:r>
      <w:r w:rsidR="004D5096" w:rsidRPr="00EA773B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E14DDD" w:rsidRPr="00EA773B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sectPr w:rsidR="00D97ADF" w:rsidRPr="00EA773B" w:rsidSect="00D1517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4B"/>
    <w:rsid w:val="000552F2"/>
    <w:rsid w:val="001133D1"/>
    <w:rsid w:val="001304DA"/>
    <w:rsid w:val="001B2ED0"/>
    <w:rsid w:val="0024759D"/>
    <w:rsid w:val="0025609E"/>
    <w:rsid w:val="002C6446"/>
    <w:rsid w:val="002E6676"/>
    <w:rsid w:val="003B6674"/>
    <w:rsid w:val="00456FE3"/>
    <w:rsid w:val="0047431A"/>
    <w:rsid w:val="00474C91"/>
    <w:rsid w:val="004B1681"/>
    <w:rsid w:val="004C5DC5"/>
    <w:rsid w:val="004D5096"/>
    <w:rsid w:val="00517468"/>
    <w:rsid w:val="00562736"/>
    <w:rsid w:val="005B2B34"/>
    <w:rsid w:val="00691A67"/>
    <w:rsid w:val="00691D84"/>
    <w:rsid w:val="00694B3B"/>
    <w:rsid w:val="006B6395"/>
    <w:rsid w:val="006B63A2"/>
    <w:rsid w:val="006C0CE0"/>
    <w:rsid w:val="0077354E"/>
    <w:rsid w:val="00826A03"/>
    <w:rsid w:val="00831C75"/>
    <w:rsid w:val="008820BE"/>
    <w:rsid w:val="00A44176"/>
    <w:rsid w:val="00AA2EEE"/>
    <w:rsid w:val="00B46456"/>
    <w:rsid w:val="00BB110D"/>
    <w:rsid w:val="00C07B94"/>
    <w:rsid w:val="00C21C25"/>
    <w:rsid w:val="00C628BB"/>
    <w:rsid w:val="00C754CE"/>
    <w:rsid w:val="00CA722F"/>
    <w:rsid w:val="00D1517F"/>
    <w:rsid w:val="00D44FC0"/>
    <w:rsid w:val="00D52B6B"/>
    <w:rsid w:val="00D97ADF"/>
    <w:rsid w:val="00DC5B4B"/>
    <w:rsid w:val="00DD1DF9"/>
    <w:rsid w:val="00E14DDD"/>
    <w:rsid w:val="00EA773B"/>
    <w:rsid w:val="00F16BF2"/>
    <w:rsid w:val="00F46DE5"/>
    <w:rsid w:val="00FD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4A46"/>
  <w15:docId w15:val="{4472A15E-0D22-47FF-9679-3598EFBC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B4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671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Ramos</dc:creator>
  <cp:lastModifiedBy>Vanessa Bettcher</cp:lastModifiedBy>
  <cp:revision>4</cp:revision>
  <dcterms:created xsi:type="dcterms:W3CDTF">2022-10-08T22:12:00Z</dcterms:created>
  <dcterms:modified xsi:type="dcterms:W3CDTF">2022-10-09T00:21:00Z</dcterms:modified>
</cp:coreProperties>
</file>