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D2EFD" w14:textId="36897A05" w:rsidR="19F98F23" w:rsidRDefault="19F98F23" w:rsidP="01F078B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1F078B7">
        <w:rPr>
          <w:rFonts w:ascii="Arial" w:eastAsia="Arial" w:hAnsi="Arial" w:cs="Arial"/>
          <w:b/>
          <w:bCs/>
          <w:sz w:val="24"/>
          <w:szCs w:val="24"/>
        </w:rPr>
        <w:t>Exames de imagem na identificação precoce da atresia biliar neonatal: uma revisão integrativa</w:t>
      </w:r>
    </w:p>
    <w:p w14:paraId="00000002" w14:textId="70B01580" w:rsidR="005D742C" w:rsidRDefault="00316A9A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Juliana K. R. Cruz</w:t>
      </w:r>
      <w:r>
        <w:rPr>
          <w:rFonts w:ascii="Arial" w:eastAsia="Arial" w:hAnsi="Arial" w:cs="Arial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 w:rsidR="00A05F1C"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éssica D. C. Novais</w:t>
      </w:r>
      <w:r w:rsidRPr="00F50B16">
        <w:rPr>
          <w:rFonts w:ascii="Arial" w:eastAsia="Arial" w:hAnsi="Arial" w:cs="Arial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sz w:val="24"/>
          <w:szCs w:val="24"/>
        </w:rPr>
        <w:t>; J</w:t>
      </w:r>
      <w:r w:rsidR="00A05F1C">
        <w:rPr>
          <w:rFonts w:ascii="Arial" w:eastAsia="Arial" w:hAnsi="Arial" w:cs="Arial"/>
          <w:sz w:val="24"/>
          <w:szCs w:val="24"/>
        </w:rPr>
        <w:t>oão Lucas C. Hübne</w:t>
      </w:r>
      <w:r w:rsidR="00347436">
        <w:rPr>
          <w:rFonts w:ascii="Arial" w:eastAsia="Arial" w:hAnsi="Arial" w:cs="Arial"/>
          <w:sz w:val="24"/>
          <w:szCs w:val="24"/>
        </w:rPr>
        <w:t>r</w:t>
      </w:r>
      <w:r w:rsidR="00B304D3" w:rsidRPr="004E6BD7">
        <w:rPr>
          <w:rFonts w:ascii="Arial" w:eastAsia="Arial" w:hAnsi="Arial" w:cs="Arial"/>
          <w:sz w:val="24"/>
          <w:szCs w:val="24"/>
          <w:vertAlign w:val="superscript"/>
        </w:rPr>
        <w:t>2</w:t>
      </w:r>
      <w:r w:rsidR="00B304D3"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z w:val="24"/>
          <w:szCs w:val="24"/>
        </w:rPr>
        <w:t>Cláudio Luiz V. Tannús</w:t>
      </w:r>
      <w:r w:rsidR="00347436" w:rsidRPr="004E6BD7">
        <w:rPr>
          <w:rFonts w:ascii="Arial" w:eastAsia="Arial" w:hAnsi="Arial" w:cs="Arial"/>
          <w:sz w:val="24"/>
          <w:szCs w:val="24"/>
          <w:vertAlign w:val="superscript"/>
        </w:rPr>
        <w:t>3</w:t>
      </w:r>
      <w:r w:rsidR="00347436"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z w:val="24"/>
          <w:szCs w:val="24"/>
        </w:rPr>
        <w:t xml:space="preserve"> Guilherme A. Santos</w:t>
      </w:r>
      <w:r w:rsidR="004E6BD7">
        <w:rPr>
          <w:rFonts w:ascii="Arial" w:eastAsia="Arial" w:hAnsi="Arial" w:cs="Arial"/>
          <w:sz w:val="24"/>
          <w:szCs w:val="24"/>
          <w:vertAlign w:val="superscript"/>
        </w:rPr>
        <w:t>3</w:t>
      </w:r>
      <w:r>
        <w:rPr>
          <w:rFonts w:ascii="Arial" w:eastAsia="Arial" w:hAnsi="Arial" w:cs="Arial"/>
          <w:sz w:val="24"/>
          <w:szCs w:val="24"/>
        </w:rPr>
        <w:t>; Cirênio A. Barbosa*</w:t>
      </w:r>
    </w:p>
    <w:p w14:paraId="00000003" w14:textId="77777777" w:rsidR="005D742C" w:rsidRDefault="00316A9A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</w:t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Professor Adjunto IV do Departamento de Cirurgia, Ginecologia, Obstetrícia e Propedêutica da Escola de Medicina da Universidade Federal de Ouro Preto – UFOP; Membro Titular do Colégio Brasileiro de Cirurgiões – TCBC; Cirurgião Geral no complexo hospitalar Santa Casa de Belo Horizonte/São Lucas, Brasil, 2025.</w:t>
      </w:r>
    </w:p>
    <w:p w14:paraId="00000004" w14:textId="77777777" w:rsidR="005D742C" w:rsidRDefault="005D742C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5" w14:textId="77777777" w:rsidR="005D742C" w:rsidRDefault="00316A9A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Acadêmica de medicina da Faculdade Atenas de Sete Lagoas, Brasil, 2025. E-mail: julianakramer2010.33@gmail.com;</w:t>
      </w:r>
    </w:p>
    <w:p w14:paraId="60931FD0" w14:textId="4875DA4D" w:rsidR="00266F4A" w:rsidRDefault="00316A9A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²</w:t>
      </w:r>
      <w:r w:rsidR="00266F4A">
        <w:rPr>
          <w:rFonts w:ascii="Arial" w:eastAsia="Arial" w:hAnsi="Arial" w:cs="Arial"/>
          <w:sz w:val="24"/>
          <w:szCs w:val="24"/>
        </w:rPr>
        <w:t xml:space="preserve"> Acadêmico de medicina da Faculdade Ciências Médicas de Minas Gerais, Brasil, 2025;</w:t>
      </w:r>
    </w:p>
    <w:p w14:paraId="00000006" w14:textId="1D6DC729" w:rsidR="005D742C" w:rsidRDefault="00266F4A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266F4A">
        <w:rPr>
          <w:rFonts w:ascii="Arial" w:eastAsia="Arial" w:hAnsi="Arial" w:cs="Arial"/>
          <w:sz w:val="24"/>
          <w:szCs w:val="24"/>
          <w:vertAlign w:val="superscript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316A9A">
        <w:rPr>
          <w:rFonts w:ascii="Arial" w:eastAsia="Arial" w:hAnsi="Arial" w:cs="Arial"/>
          <w:sz w:val="24"/>
          <w:szCs w:val="24"/>
        </w:rPr>
        <w:t>Complexo hospitalar Santa Casa de Belo Horizonte/São Lucas, Brasil, 2025.</w:t>
      </w:r>
    </w:p>
    <w:p w14:paraId="00000007" w14:textId="77777777" w:rsidR="005D742C" w:rsidRDefault="005D742C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8" w14:textId="600C59B5" w:rsidR="005D742C" w:rsidRDefault="00316A9A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Palavras-chave:</w:t>
      </w:r>
      <w:r>
        <w:rPr>
          <w:rFonts w:ascii="Arial" w:eastAsia="Arial" w:hAnsi="Arial" w:cs="Arial"/>
          <w:sz w:val="24"/>
          <w:szCs w:val="24"/>
        </w:rPr>
        <w:t xml:space="preserve"> Atresia Biliar</w:t>
      </w:r>
      <w:r w:rsidR="00FB6756"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z w:val="24"/>
          <w:szCs w:val="24"/>
        </w:rPr>
        <w:t xml:space="preserve"> Hepatopatias</w:t>
      </w:r>
      <w:r w:rsidR="00FB6756"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z w:val="24"/>
          <w:szCs w:val="24"/>
        </w:rPr>
        <w:t xml:space="preserve"> Fígado</w:t>
      </w:r>
      <w:r w:rsidR="00FB6756"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z w:val="24"/>
          <w:szCs w:val="24"/>
        </w:rPr>
        <w:t xml:space="preserve"> Doenças Biliares</w:t>
      </w:r>
      <w:r w:rsidR="00FB6756"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z w:val="24"/>
          <w:szCs w:val="24"/>
        </w:rPr>
        <w:t>Transplante.</w:t>
      </w:r>
    </w:p>
    <w:p w14:paraId="00000009" w14:textId="77777777" w:rsidR="005D742C" w:rsidRDefault="005D742C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6CF534B" w14:textId="5EF717DB" w:rsidR="00BC09BD" w:rsidRDefault="00316A9A" w:rsidP="730FE30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1F2DF6B1">
        <w:rPr>
          <w:rFonts w:ascii="Arial" w:eastAsia="Arial" w:hAnsi="Arial" w:cs="Arial"/>
          <w:b/>
          <w:bCs/>
          <w:sz w:val="24"/>
          <w:szCs w:val="24"/>
        </w:rPr>
        <w:t>Introdução</w:t>
      </w:r>
      <w:r w:rsidRPr="1F2DF6B1">
        <w:rPr>
          <w:rFonts w:ascii="Arial" w:eastAsia="Arial" w:hAnsi="Arial" w:cs="Arial"/>
          <w:sz w:val="24"/>
          <w:szCs w:val="24"/>
        </w:rPr>
        <w:t xml:space="preserve">: A atresia biliar (AB) é uma condição obstrutiva que acomete as vias biliares extra-hepáticas, levando à síndrome colestática no período neonatal, sendo a principal causa de transplante hepático na infância. Entretanto, a apresentação clínica pode ser semelhante a outras patologias sindrômicas e infecciosas, exigindo avaliações de imagem para diagnóstico e terapêutica eficaz. </w:t>
      </w:r>
      <w:r w:rsidRPr="1F2DF6B1">
        <w:rPr>
          <w:rFonts w:ascii="Arial" w:eastAsia="Arial" w:hAnsi="Arial" w:cs="Arial"/>
          <w:b/>
          <w:bCs/>
          <w:sz w:val="24"/>
          <w:szCs w:val="24"/>
        </w:rPr>
        <w:t>Objetivo</w:t>
      </w:r>
      <w:r w:rsidRPr="1F2DF6B1">
        <w:rPr>
          <w:rFonts w:ascii="Arial" w:eastAsia="Arial" w:hAnsi="Arial" w:cs="Arial"/>
          <w:sz w:val="24"/>
          <w:szCs w:val="24"/>
        </w:rPr>
        <w:t>: Analisar as técnicas de imagi</w:t>
      </w:r>
      <w:r w:rsidR="145757A1" w:rsidRPr="1F2DF6B1">
        <w:rPr>
          <w:rFonts w:ascii="Arial" w:eastAsia="Arial" w:hAnsi="Arial" w:cs="Arial"/>
          <w:sz w:val="24"/>
          <w:szCs w:val="24"/>
        </w:rPr>
        <w:t>n</w:t>
      </w:r>
      <w:r w:rsidRPr="1F2DF6B1">
        <w:rPr>
          <w:rFonts w:ascii="Arial" w:eastAsia="Arial" w:hAnsi="Arial" w:cs="Arial"/>
          <w:sz w:val="24"/>
          <w:szCs w:val="24"/>
        </w:rPr>
        <w:t xml:space="preserve">ologia médica mais relevantes ao </w:t>
      </w:r>
      <w:r w:rsidR="1C263B97" w:rsidRPr="1F2DF6B1">
        <w:rPr>
          <w:rFonts w:ascii="Arial" w:eastAsia="Arial" w:hAnsi="Arial" w:cs="Arial"/>
          <w:sz w:val="24"/>
          <w:szCs w:val="24"/>
        </w:rPr>
        <w:t xml:space="preserve">diagnóstico do </w:t>
      </w:r>
      <w:r w:rsidRPr="1F2DF6B1">
        <w:rPr>
          <w:rFonts w:ascii="Arial" w:eastAsia="Arial" w:hAnsi="Arial" w:cs="Arial"/>
          <w:sz w:val="24"/>
          <w:szCs w:val="24"/>
        </w:rPr>
        <w:t xml:space="preserve">quadro de AB neonatal. </w:t>
      </w:r>
      <w:r w:rsidRPr="1F2DF6B1">
        <w:rPr>
          <w:rFonts w:ascii="Arial" w:eastAsia="Arial" w:hAnsi="Arial" w:cs="Arial"/>
          <w:b/>
          <w:bCs/>
          <w:sz w:val="24"/>
          <w:szCs w:val="24"/>
        </w:rPr>
        <w:t>Método</w:t>
      </w:r>
      <w:r w:rsidRPr="1F2DF6B1">
        <w:rPr>
          <w:rFonts w:ascii="Arial" w:eastAsia="Arial" w:hAnsi="Arial" w:cs="Arial"/>
          <w:sz w:val="24"/>
          <w:szCs w:val="24"/>
        </w:rPr>
        <w:t xml:space="preserve">: </w:t>
      </w:r>
      <w:r w:rsidR="00FC3B4F" w:rsidRPr="1F2DF6B1">
        <w:rPr>
          <w:rFonts w:ascii="Arial" w:eastAsia="Arial" w:hAnsi="Arial" w:cs="Arial"/>
          <w:sz w:val="24"/>
          <w:szCs w:val="24"/>
        </w:rPr>
        <w:t>Foi realizada u</w:t>
      </w:r>
      <w:r w:rsidR="00BC09BD" w:rsidRPr="1F2DF6B1">
        <w:rPr>
          <w:rFonts w:ascii="Arial" w:eastAsia="Arial" w:hAnsi="Arial" w:cs="Arial"/>
          <w:sz w:val="24"/>
          <w:szCs w:val="24"/>
        </w:rPr>
        <w:t>ma</w:t>
      </w:r>
      <w:r w:rsidRPr="1F2DF6B1">
        <w:rPr>
          <w:rFonts w:ascii="Arial" w:eastAsia="Arial" w:hAnsi="Arial" w:cs="Arial"/>
          <w:sz w:val="24"/>
          <w:szCs w:val="24"/>
        </w:rPr>
        <w:t xml:space="preserve"> revisão integrativa na base de dados “</w:t>
      </w:r>
      <w:r w:rsidR="00FC3B4F" w:rsidRPr="1F2DF6B1">
        <w:rPr>
          <w:rFonts w:ascii="Arial" w:eastAsia="Arial" w:hAnsi="Arial" w:cs="Arial"/>
          <w:sz w:val="24"/>
          <w:szCs w:val="24"/>
        </w:rPr>
        <w:t>PubMed</w:t>
      </w:r>
      <w:r w:rsidRPr="1F2DF6B1">
        <w:rPr>
          <w:rFonts w:ascii="Arial" w:eastAsia="Arial" w:hAnsi="Arial" w:cs="Arial"/>
          <w:sz w:val="24"/>
          <w:szCs w:val="24"/>
        </w:rPr>
        <w:t xml:space="preserve">”, utilizando os descritores “Kasai” e “Biliary atresia”. Foram incluídos artigos de revisão e relatos de caso </w:t>
      </w:r>
      <w:r w:rsidR="00BC09BD" w:rsidRPr="1F2DF6B1">
        <w:rPr>
          <w:rFonts w:ascii="Arial" w:eastAsia="Arial" w:hAnsi="Arial" w:cs="Arial"/>
          <w:sz w:val="24"/>
          <w:szCs w:val="24"/>
        </w:rPr>
        <w:t>publicados nos</w:t>
      </w:r>
      <w:r w:rsidRPr="1F2DF6B1">
        <w:rPr>
          <w:rFonts w:ascii="Arial" w:eastAsia="Arial" w:hAnsi="Arial" w:cs="Arial"/>
          <w:sz w:val="24"/>
          <w:szCs w:val="24"/>
        </w:rPr>
        <w:t xml:space="preserve"> últimos </w:t>
      </w:r>
      <w:r w:rsidR="00FB768A" w:rsidRPr="1F2DF6B1">
        <w:rPr>
          <w:rFonts w:ascii="Arial" w:eastAsia="Arial" w:hAnsi="Arial" w:cs="Arial"/>
          <w:sz w:val="24"/>
          <w:szCs w:val="24"/>
        </w:rPr>
        <w:t>dez</w:t>
      </w:r>
      <w:r w:rsidRPr="1F2DF6B1">
        <w:rPr>
          <w:rFonts w:ascii="Arial" w:eastAsia="Arial" w:hAnsi="Arial" w:cs="Arial"/>
          <w:sz w:val="24"/>
          <w:szCs w:val="24"/>
        </w:rPr>
        <w:t xml:space="preserve"> anos. </w:t>
      </w:r>
      <w:r w:rsidRPr="1F2DF6B1">
        <w:rPr>
          <w:rFonts w:ascii="Arial" w:eastAsia="Arial" w:hAnsi="Arial" w:cs="Arial"/>
          <w:b/>
          <w:bCs/>
          <w:sz w:val="24"/>
          <w:szCs w:val="24"/>
        </w:rPr>
        <w:t>Resultados com discussão</w:t>
      </w:r>
      <w:r w:rsidRPr="1F2DF6B1">
        <w:rPr>
          <w:rFonts w:ascii="Arial" w:eastAsia="Arial" w:hAnsi="Arial" w:cs="Arial"/>
          <w:sz w:val="24"/>
          <w:szCs w:val="24"/>
        </w:rPr>
        <w:t xml:space="preserve">: A AB não tratada precocemente </w:t>
      </w:r>
      <w:r w:rsidR="00F7021F" w:rsidRPr="1F2DF6B1">
        <w:rPr>
          <w:rFonts w:ascii="Arial" w:eastAsia="Arial" w:hAnsi="Arial" w:cs="Arial"/>
          <w:sz w:val="24"/>
          <w:szCs w:val="24"/>
        </w:rPr>
        <w:t>apresenta</w:t>
      </w:r>
      <w:r w:rsidRPr="1F2DF6B1">
        <w:rPr>
          <w:rFonts w:ascii="Arial" w:eastAsia="Arial" w:hAnsi="Arial" w:cs="Arial"/>
          <w:sz w:val="24"/>
          <w:szCs w:val="24"/>
        </w:rPr>
        <w:t xml:space="preserve"> complicações graves como icterícia, fibrose, hipertensão portal e cirrose biliar secundária, que lesionam a morfologia hepática, levando à necessidade de transplante de fígado. Porém, tal procedimento possui limitações em pacientes pediátricas, </w:t>
      </w:r>
      <w:r w:rsidR="3D25AF3F" w:rsidRPr="1F2DF6B1">
        <w:rPr>
          <w:rFonts w:ascii="Arial" w:eastAsia="Arial" w:hAnsi="Arial" w:cs="Arial"/>
          <w:sz w:val="24"/>
          <w:szCs w:val="24"/>
        </w:rPr>
        <w:t>devido à</w:t>
      </w:r>
      <w:r w:rsidRPr="1F2DF6B1">
        <w:rPr>
          <w:rFonts w:ascii="Arial" w:eastAsia="Arial" w:hAnsi="Arial" w:cs="Arial"/>
          <w:sz w:val="24"/>
          <w:szCs w:val="24"/>
        </w:rPr>
        <w:t xml:space="preserve"> imaturidade imunológica desses indivíduos. Em razão disso, a portoenterostomia de Kasai é indicada como medida paliativa inicial, proporcionando cerca de </w:t>
      </w:r>
      <w:r w:rsidR="0094789B" w:rsidRPr="1F2DF6B1">
        <w:rPr>
          <w:rFonts w:ascii="Arial" w:eastAsia="Arial" w:hAnsi="Arial" w:cs="Arial"/>
          <w:sz w:val="24"/>
          <w:szCs w:val="24"/>
        </w:rPr>
        <w:t>dez</w:t>
      </w:r>
      <w:r w:rsidRPr="1F2DF6B1">
        <w:rPr>
          <w:rFonts w:ascii="Arial" w:eastAsia="Arial" w:hAnsi="Arial" w:cs="Arial"/>
          <w:sz w:val="24"/>
          <w:szCs w:val="24"/>
        </w:rPr>
        <w:t xml:space="preserve"> anos de </w:t>
      </w:r>
      <w:r w:rsidRPr="1F2DF6B1">
        <w:rPr>
          <w:rFonts w:ascii="Arial" w:eastAsia="Arial" w:hAnsi="Arial" w:cs="Arial"/>
          <w:sz w:val="24"/>
          <w:szCs w:val="24"/>
        </w:rPr>
        <w:lastRenderedPageBreak/>
        <w:t>sobrevida em até 80% dos casos até a transplantação. Entretanto, o sucesso dessa abordagem depende da execução antes de</w:t>
      </w:r>
      <w:r w:rsidR="0ED924B1" w:rsidRPr="1F2DF6B1">
        <w:rPr>
          <w:rFonts w:ascii="Arial" w:eastAsia="Arial" w:hAnsi="Arial" w:cs="Arial"/>
          <w:sz w:val="24"/>
          <w:szCs w:val="24"/>
        </w:rPr>
        <w:t xml:space="preserve"> completados</w:t>
      </w:r>
      <w:r w:rsidRPr="1F2DF6B1">
        <w:rPr>
          <w:rFonts w:ascii="Arial" w:eastAsia="Arial" w:hAnsi="Arial" w:cs="Arial"/>
          <w:sz w:val="24"/>
          <w:szCs w:val="24"/>
        </w:rPr>
        <w:t xml:space="preserve"> 90 dias de vida, </w:t>
      </w:r>
      <w:r w:rsidR="0094789B" w:rsidRPr="1F2DF6B1">
        <w:rPr>
          <w:rFonts w:ascii="Arial" w:eastAsia="Arial" w:hAnsi="Arial" w:cs="Arial"/>
          <w:sz w:val="24"/>
          <w:szCs w:val="24"/>
        </w:rPr>
        <w:t xml:space="preserve">visto </w:t>
      </w:r>
      <w:r w:rsidRPr="1F2DF6B1">
        <w:rPr>
          <w:rFonts w:ascii="Arial" w:eastAsia="Arial" w:hAnsi="Arial" w:cs="Arial"/>
          <w:sz w:val="24"/>
          <w:szCs w:val="24"/>
        </w:rPr>
        <w:t>que após esse período apenas 26,6% dos pacientes alcançam a sobrevida prevista. Assim, a agilidade do diagnóstico é um aspecto de relevância, sendo indicada a realização de exames de imagem. Primariamente, a ultrassonografia</w:t>
      </w:r>
      <w:r w:rsidR="00D132A3" w:rsidRPr="1F2DF6B1">
        <w:rPr>
          <w:rFonts w:ascii="Arial" w:eastAsia="Arial" w:hAnsi="Arial" w:cs="Arial"/>
          <w:sz w:val="24"/>
          <w:szCs w:val="24"/>
        </w:rPr>
        <w:t xml:space="preserve"> </w:t>
      </w:r>
      <w:r w:rsidRPr="1F2DF6B1">
        <w:rPr>
          <w:rFonts w:ascii="Arial" w:eastAsia="Arial" w:hAnsi="Arial" w:cs="Arial"/>
          <w:sz w:val="24"/>
          <w:szCs w:val="24"/>
        </w:rPr>
        <w:t xml:space="preserve">é essencial para visualização da morfologia hepática, dos cálculos e </w:t>
      </w:r>
      <w:r w:rsidR="00083B62" w:rsidRPr="1F2DF6B1">
        <w:rPr>
          <w:rFonts w:ascii="Arial" w:eastAsia="Arial" w:hAnsi="Arial" w:cs="Arial"/>
          <w:sz w:val="24"/>
          <w:szCs w:val="24"/>
        </w:rPr>
        <w:t>d</w:t>
      </w:r>
      <w:r w:rsidRPr="1F2DF6B1">
        <w:rPr>
          <w:rFonts w:ascii="Arial" w:eastAsia="Arial" w:hAnsi="Arial" w:cs="Arial"/>
          <w:sz w:val="24"/>
          <w:szCs w:val="24"/>
        </w:rPr>
        <w:t>a</w:t>
      </w:r>
      <w:r w:rsidR="00083B62" w:rsidRPr="1F2DF6B1">
        <w:rPr>
          <w:rFonts w:ascii="Arial" w:eastAsia="Arial" w:hAnsi="Arial" w:cs="Arial"/>
          <w:sz w:val="24"/>
          <w:szCs w:val="24"/>
        </w:rPr>
        <w:t xml:space="preserve"> </w:t>
      </w:r>
      <w:r w:rsidRPr="1F2DF6B1">
        <w:rPr>
          <w:rFonts w:ascii="Arial" w:eastAsia="Arial" w:hAnsi="Arial" w:cs="Arial"/>
          <w:sz w:val="24"/>
          <w:szCs w:val="24"/>
        </w:rPr>
        <w:t>dilatação do ducto biliar. Em segundo plano, a colangiografia por ressonância magnética oferece imagens detalhadas de possíveis obstruções e malformações locais. De maneira complementar, a tomografia computadorizada auxilia na avaliação das estruturas hepáticas</w:t>
      </w:r>
      <w:r w:rsidR="009C012D" w:rsidRPr="1F2DF6B1">
        <w:rPr>
          <w:rFonts w:ascii="Arial" w:eastAsia="Arial" w:hAnsi="Arial" w:cs="Arial"/>
          <w:sz w:val="24"/>
          <w:szCs w:val="24"/>
        </w:rPr>
        <w:t>,</w:t>
      </w:r>
      <w:r w:rsidRPr="1F2DF6B1">
        <w:rPr>
          <w:rFonts w:ascii="Arial" w:eastAsia="Arial" w:hAnsi="Arial" w:cs="Arial"/>
          <w:sz w:val="24"/>
          <w:szCs w:val="24"/>
        </w:rPr>
        <w:t xml:space="preserve"> e a cintilografia hepatobiliar, por meio do emprego de radiofármacos, na análise do fluxo e da função hepatocelular. Assim, os achados imagi</w:t>
      </w:r>
      <w:r w:rsidR="731719FE" w:rsidRPr="1F2DF6B1">
        <w:rPr>
          <w:rFonts w:ascii="Arial" w:eastAsia="Arial" w:hAnsi="Arial" w:cs="Arial"/>
          <w:sz w:val="24"/>
          <w:szCs w:val="24"/>
        </w:rPr>
        <w:t>n</w:t>
      </w:r>
      <w:r w:rsidRPr="1F2DF6B1">
        <w:rPr>
          <w:rFonts w:ascii="Arial" w:eastAsia="Arial" w:hAnsi="Arial" w:cs="Arial"/>
          <w:sz w:val="24"/>
          <w:szCs w:val="24"/>
        </w:rPr>
        <w:t xml:space="preserve">ológicos auxiliam na tomada de decisão a respeito da técnica cirúrgica mais adequada à anastomose, seja </w:t>
      </w:r>
      <w:r w:rsidR="182AA06A" w:rsidRPr="1F2DF6B1">
        <w:rPr>
          <w:rFonts w:ascii="Arial" w:eastAsia="Arial" w:hAnsi="Arial" w:cs="Arial"/>
          <w:sz w:val="24"/>
          <w:szCs w:val="24"/>
        </w:rPr>
        <w:t xml:space="preserve">ela </w:t>
      </w:r>
      <w:r w:rsidRPr="1F2DF6B1">
        <w:rPr>
          <w:rFonts w:ascii="Arial" w:eastAsia="Arial" w:hAnsi="Arial" w:cs="Arial"/>
          <w:sz w:val="24"/>
          <w:szCs w:val="24"/>
        </w:rPr>
        <w:t xml:space="preserve">em “Y” ou “H”. </w:t>
      </w:r>
      <w:r w:rsidRPr="1F2DF6B1">
        <w:rPr>
          <w:rFonts w:ascii="Arial" w:eastAsia="Arial" w:hAnsi="Arial" w:cs="Arial"/>
          <w:b/>
          <w:bCs/>
          <w:sz w:val="24"/>
          <w:szCs w:val="24"/>
        </w:rPr>
        <w:t>Conclusão</w:t>
      </w:r>
      <w:r w:rsidRPr="1F2DF6B1">
        <w:rPr>
          <w:rFonts w:ascii="Arial" w:eastAsia="Arial" w:hAnsi="Arial" w:cs="Arial"/>
          <w:sz w:val="24"/>
          <w:szCs w:val="24"/>
        </w:rPr>
        <w:t xml:space="preserve">: </w:t>
      </w:r>
      <w:r w:rsidR="00BC09BD" w:rsidRPr="1F2DF6B1">
        <w:rPr>
          <w:rFonts w:ascii="Arial" w:eastAsia="Arial" w:hAnsi="Arial" w:cs="Arial"/>
          <w:sz w:val="24"/>
          <w:szCs w:val="24"/>
        </w:rPr>
        <w:t xml:space="preserve">A utilização </w:t>
      </w:r>
      <w:r w:rsidRPr="1F2DF6B1">
        <w:rPr>
          <w:rFonts w:ascii="Arial" w:eastAsia="Arial" w:hAnsi="Arial" w:cs="Arial"/>
          <w:sz w:val="24"/>
          <w:szCs w:val="24"/>
        </w:rPr>
        <w:t>precoce, direcionada e adequada</w:t>
      </w:r>
      <w:r w:rsidR="00BC09BD" w:rsidRPr="1F2DF6B1">
        <w:rPr>
          <w:rFonts w:ascii="Arial" w:eastAsia="Arial" w:hAnsi="Arial" w:cs="Arial"/>
          <w:sz w:val="24"/>
          <w:szCs w:val="24"/>
        </w:rPr>
        <w:t xml:space="preserve"> de exames de imagem </w:t>
      </w:r>
      <w:r w:rsidRPr="1F2DF6B1">
        <w:rPr>
          <w:rFonts w:ascii="Arial" w:eastAsia="Arial" w:hAnsi="Arial" w:cs="Arial"/>
          <w:sz w:val="24"/>
          <w:szCs w:val="24"/>
        </w:rPr>
        <w:t xml:space="preserve">é </w:t>
      </w:r>
      <w:r w:rsidR="00BC09BD" w:rsidRPr="1F2DF6B1">
        <w:rPr>
          <w:rFonts w:ascii="Arial" w:eastAsia="Arial" w:hAnsi="Arial" w:cs="Arial"/>
          <w:sz w:val="24"/>
          <w:szCs w:val="24"/>
        </w:rPr>
        <w:t xml:space="preserve">essencial no diagnóstico </w:t>
      </w:r>
      <w:r w:rsidRPr="1F2DF6B1">
        <w:rPr>
          <w:rFonts w:ascii="Arial" w:eastAsia="Arial" w:hAnsi="Arial" w:cs="Arial"/>
          <w:sz w:val="24"/>
          <w:szCs w:val="24"/>
        </w:rPr>
        <w:t>da AB, viabilizando o</w:t>
      </w:r>
      <w:r w:rsidR="00BC09BD" w:rsidRPr="1F2DF6B1">
        <w:rPr>
          <w:rFonts w:ascii="Arial" w:eastAsia="Arial" w:hAnsi="Arial" w:cs="Arial"/>
          <w:sz w:val="24"/>
          <w:szCs w:val="24"/>
        </w:rPr>
        <w:t xml:space="preserve"> diagnóstico</w:t>
      </w:r>
      <w:r w:rsidRPr="1F2DF6B1">
        <w:rPr>
          <w:rFonts w:ascii="Arial" w:eastAsia="Arial" w:hAnsi="Arial" w:cs="Arial"/>
          <w:sz w:val="24"/>
          <w:szCs w:val="24"/>
        </w:rPr>
        <w:t xml:space="preserve"> adequado</w:t>
      </w:r>
      <w:r w:rsidR="00BC09BD" w:rsidRPr="1F2DF6B1">
        <w:rPr>
          <w:rFonts w:ascii="Arial" w:eastAsia="Arial" w:hAnsi="Arial" w:cs="Arial"/>
          <w:sz w:val="24"/>
          <w:szCs w:val="24"/>
        </w:rPr>
        <w:t xml:space="preserve"> e</w:t>
      </w:r>
      <w:r w:rsidRPr="1F2DF6B1">
        <w:rPr>
          <w:rFonts w:ascii="Arial" w:eastAsia="Arial" w:hAnsi="Arial" w:cs="Arial"/>
          <w:sz w:val="24"/>
          <w:szCs w:val="24"/>
        </w:rPr>
        <w:t xml:space="preserve"> a</w:t>
      </w:r>
      <w:r w:rsidR="00BC09BD" w:rsidRPr="1F2DF6B1">
        <w:rPr>
          <w:rFonts w:ascii="Arial" w:eastAsia="Arial" w:hAnsi="Arial" w:cs="Arial"/>
          <w:sz w:val="24"/>
          <w:szCs w:val="24"/>
        </w:rPr>
        <w:t xml:space="preserve"> definição da melhor abordagem cirúrgica</w:t>
      </w:r>
      <w:r w:rsidRPr="1F2DF6B1">
        <w:rPr>
          <w:rFonts w:ascii="Arial" w:eastAsia="Arial" w:hAnsi="Arial" w:cs="Arial"/>
          <w:sz w:val="24"/>
          <w:szCs w:val="24"/>
        </w:rPr>
        <w:t>, impactando diretamente a sobrevida e qualidade de vida dos pacientes</w:t>
      </w:r>
      <w:r w:rsidR="00BC09BD" w:rsidRPr="1F2DF6B1">
        <w:rPr>
          <w:rFonts w:ascii="Arial" w:eastAsia="Arial" w:hAnsi="Arial" w:cs="Arial"/>
          <w:sz w:val="24"/>
          <w:szCs w:val="24"/>
        </w:rPr>
        <w:t xml:space="preserve">. </w:t>
      </w:r>
    </w:p>
    <w:p w14:paraId="0000000B" w14:textId="77777777" w:rsidR="005D742C" w:rsidRDefault="00316A9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Referências</w:t>
      </w:r>
    </w:p>
    <w:p w14:paraId="0000000C" w14:textId="77777777" w:rsidR="005D742C" w:rsidRDefault="00316A9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Lara Elias Habr, Nathalia Coelho Fernandes, Távora M, Isabella, Gustavo Rocha Barcelos, Mendonça G, et al. CIRUGIA DE KASAI: INDICAÇÕES E TÉCNICAS. Brazilian Journal of Implantology and Health Sciences [Internet]. 2024 Mar 20;6(3):1719–32. https://doi.org/10.36557/2674-8169.2024v6n3p1719-1732</w:t>
      </w:r>
    </w:p>
    <w:p w14:paraId="0000000E" w14:textId="5345BECF" w:rsidR="005D742C" w:rsidRDefault="00316A9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Bruno Baiocchi Pinto, Salvador. DESVENDANDO A ATRESIA DAS VIAS BILIARES: UMA ANÁLISE ABRANGENTE. Revista Contemporânea. 2023 Aug 11;3(8):11553–64. https://doi.org/10.56083/rcv3n8-088</w:t>
      </w:r>
    </w:p>
    <w:p w14:paraId="0000000F" w14:textId="77777777" w:rsidR="005D742C" w:rsidRDefault="00316A9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Rocha MS, Ueda SK, Machado MC, Pinotti HW. Colangiopancreatografia por ressonância magnética: uma nova forma de avaliar as vias biliares e pancreáticas. Revista da Associação Médica Brasileira. 1998 Sep;44(3). https://doi.org/10.1590/s0104-42301998000300011</w:t>
      </w:r>
    </w:p>
    <w:p w14:paraId="00000012" w14:textId="335EEEA2" w:rsidR="005D742C" w:rsidRDefault="00316A9A" w:rsidP="0035634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Yang C, Ke M, Zhou Y, Xu H, Diao M, Li L. Impact of early Kasai portoenterostomy on short-term outcomes of biliary atresia: A systematic review and meta-analysis. Frontiers in surgery [Internet]. 2022 Sep 1 [cited 2024 Apr 18];9. https://doi.org/10.3389/fsurg.2022.924506</w:t>
      </w:r>
    </w:p>
    <w:sectPr w:rsidR="005D742C"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36ABE0-549E-41BA-B07B-0B87CAC4D317}"/>
    <w:embedItalic r:id="rId2" w:fontKey="{C3DFB560-C31E-486F-A0D6-9764DB69845C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ICTFontTextStyleBody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E5B8F0C-0E56-45CE-8E59-E6BB001B82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5DB40F-A486-4DC8-B9D3-594090BFC5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42C"/>
    <w:rsid w:val="00083B62"/>
    <w:rsid w:val="000A5B3E"/>
    <w:rsid w:val="00266F4A"/>
    <w:rsid w:val="00316A9A"/>
    <w:rsid w:val="00347436"/>
    <w:rsid w:val="00356346"/>
    <w:rsid w:val="003B6AB4"/>
    <w:rsid w:val="00466D02"/>
    <w:rsid w:val="004E6BD7"/>
    <w:rsid w:val="005C27B9"/>
    <w:rsid w:val="005D742C"/>
    <w:rsid w:val="006267DD"/>
    <w:rsid w:val="006F4294"/>
    <w:rsid w:val="007039EB"/>
    <w:rsid w:val="0084198D"/>
    <w:rsid w:val="00917175"/>
    <w:rsid w:val="0094789B"/>
    <w:rsid w:val="00980D9C"/>
    <w:rsid w:val="009C012D"/>
    <w:rsid w:val="00A05F1C"/>
    <w:rsid w:val="00B304D3"/>
    <w:rsid w:val="00BC09BD"/>
    <w:rsid w:val="00C3070A"/>
    <w:rsid w:val="00CC3353"/>
    <w:rsid w:val="00D132A3"/>
    <w:rsid w:val="00DC0AB1"/>
    <w:rsid w:val="00E85D2E"/>
    <w:rsid w:val="00EC351B"/>
    <w:rsid w:val="00F50B16"/>
    <w:rsid w:val="00F7021F"/>
    <w:rsid w:val="00FB6756"/>
    <w:rsid w:val="00FB768A"/>
    <w:rsid w:val="00FC3B4F"/>
    <w:rsid w:val="01F078B7"/>
    <w:rsid w:val="0A028EA4"/>
    <w:rsid w:val="0ED924B1"/>
    <w:rsid w:val="145757A1"/>
    <w:rsid w:val="182AA06A"/>
    <w:rsid w:val="19F98F23"/>
    <w:rsid w:val="1C263B97"/>
    <w:rsid w:val="1F2DF6B1"/>
    <w:rsid w:val="2420BEB6"/>
    <w:rsid w:val="261A8AB7"/>
    <w:rsid w:val="3D25AF3F"/>
    <w:rsid w:val="5C27F504"/>
    <w:rsid w:val="5F37D76D"/>
    <w:rsid w:val="640065FA"/>
    <w:rsid w:val="730FE30D"/>
    <w:rsid w:val="731719FE"/>
    <w:rsid w:val="7911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B386F"/>
  <w15:docId w15:val="{1FD05988-E0F5-48A2-BC7B-39245E15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customStyle="1" w:styleId="p1">
    <w:name w:val="p1"/>
    <w:basedOn w:val="Normal"/>
    <w:rsid w:val="00BC09BD"/>
    <w:pPr>
      <w:spacing w:after="0" w:line="240" w:lineRule="auto"/>
    </w:pPr>
    <w:rPr>
      <w:rFonts w:ascii=".AppleSystemUIFont" w:eastAsiaTheme="minorEastAsia" w:hAnsi=".AppleSystemUIFont" w:cs="Times New Roman"/>
      <w:color w:val="111111"/>
      <w:sz w:val="26"/>
      <w:szCs w:val="26"/>
    </w:rPr>
  </w:style>
  <w:style w:type="character" w:customStyle="1" w:styleId="s1">
    <w:name w:val="s1"/>
    <w:basedOn w:val="Fontepargpadro"/>
    <w:rsid w:val="00BC09BD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nXPbAd9eGJzmffSbezklQg6QTw==">CgMxLjA4AHIhMTlGUUd0eEtLMF8zdjl2Y2xKUm5Ba0VsakdQVmVIdGRl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684</Words>
  <Characters>3696</Characters>
  <Application>Microsoft Office Word</Application>
  <DocSecurity>0</DocSecurity>
  <Lines>30</Lines>
  <Paragraphs>8</Paragraphs>
  <ScaleCrop>false</ScaleCrop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Jéssica Corradi</dc:creator>
  <cp:keywords/>
  <cp:lastModifiedBy>Jéssica Corradi</cp:lastModifiedBy>
  <cp:revision>3</cp:revision>
  <dcterms:created xsi:type="dcterms:W3CDTF">2025-04-15T03:57:00Z</dcterms:created>
  <dcterms:modified xsi:type="dcterms:W3CDTF">2025-04-15T04:10:00Z</dcterms:modified>
</cp:coreProperties>
</file>