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DOENÇA DE WILSON: UM RELATO DE CASO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Autores: Priscylla Frazão Rodrigues</w:t>
      </w:r>
      <w:r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Claudio Vinicius Barroso Queirós de Lima</w:t>
      </w:r>
      <w:r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Pedro Henrique de Souza</w:t>
      </w:r>
      <w:r>
        <w:rPr>
          <w:rFonts w:ascii="Arial" w:eastAsia="Times New Roman" w:hAnsi="Arial" w:cs="Arial"/>
          <w:color w:val="000000"/>
          <w:sz w:val="14"/>
          <w:szCs w:val="16"/>
          <w:vertAlign w:val="superscript"/>
          <w:lang w:eastAsia="pt-BR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Erica de Araújo Silva Mendes</w:t>
      </w:r>
      <w:r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  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Federal do Piauí</w:t>
      </w:r>
      <w:r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bookmarkStart w:id="0" w:name="_GoBack"/>
      <w:bookmarkEnd w:id="0"/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Estadual do Mato Grosso do Sul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</w:t>
      </w:r>
    </w:p>
    <w:p>
      <w:pPr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INTRODUÇÃO: </w:t>
      </w:r>
      <w:r>
        <w:rPr>
          <w:rFonts w:ascii="Arial" w:hAnsi="Arial" w:cs="Arial"/>
          <w:color w:val="000000"/>
        </w:rPr>
        <w:t>A Doença de Wilson (DW) é um distúrbio autossômico recessivo</w:t>
      </w:r>
      <w:r>
        <w:rPr>
          <w:rFonts w:ascii="Arial" w:hAnsi="Arial" w:cs="Arial"/>
          <w:color w:val="000000"/>
        </w:rPr>
        <w:t xml:space="preserve"> raro</w:t>
      </w:r>
      <w:r>
        <w:rPr>
          <w:rFonts w:ascii="Arial" w:hAnsi="Arial" w:cs="Arial"/>
          <w:color w:val="000000"/>
        </w:rPr>
        <w:t xml:space="preserve">, em que há presença de mutações no gene ATP7B, responsável pela codificação da proteína </w:t>
      </w:r>
      <w:proofErr w:type="spellStart"/>
      <w:r>
        <w:rPr>
          <w:rFonts w:ascii="Arial" w:hAnsi="Arial" w:cs="Arial"/>
          <w:color w:val="000000"/>
        </w:rPr>
        <w:t>ATPase</w:t>
      </w:r>
      <w:proofErr w:type="spellEnd"/>
      <w:r>
        <w:rPr>
          <w:rFonts w:ascii="Arial" w:hAnsi="Arial" w:cs="Arial"/>
          <w:color w:val="000000"/>
        </w:rPr>
        <w:t xml:space="preserve"> transportadora de cobre (Cu), cujas funções são excretar esse mineral pela bile e agregá-lo à </w:t>
      </w:r>
      <w:proofErr w:type="spellStart"/>
      <w:r>
        <w:rPr>
          <w:rFonts w:ascii="Arial" w:hAnsi="Arial" w:cs="Arial"/>
          <w:color w:val="000000"/>
        </w:rPr>
        <w:t>ceruloplasmina</w:t>
      </w:r>
      <w:proofErr w:type="spellEnd"/>
      <w:r>
        <w:rPr>
          <w:rFonts w:ascii="Arial" w:hAnsi="Arial" w:cs="Arial"/>
          <w:color w:val="000000"/>
        </w:rPr>
        <w:t xml:space="preserve"> (CER). Os sinais e sintomas dessa patologia são variáveis e decorrem do acúmulo de Cu em diferentes locais do corpo, sobretudo fígado, cérebro e olhos. O diagnóstico é clínico e laboratorial, sendo importantes achados como anéis de </w:t>
      </w:r>
      <w:proofErr w:type="spellStart"/>
      <w:r>
        <w:rPr>
          <w:rFonts w:ascii="Arial" w:hAnsi="Arial" w:cs="Arial"/>
          <w:color w:val="000000"/>
        </w:rPr>
        <w:t>Kayser</w:t>
      </w:r>
      <w:proofErr w:type="spellEnd"/>
      <w:r>
        <w:rPr>
          <w:rFonts w:ascii="Arial" w:hAnsi="Arial" w:cs="Arial"/>
          <w:color w:val="000000"/>
        </w:rPr>
        <w:t xml:space="preserve">-Fleischer (KF), níveis de CER sérica baixos, concentração hepática de Cu elevada e alta quantidade do Cu na urina. </w:t>
      </w:r>
      <w:r>
        <w:rPr>
          <w:rFonts w:ascii="Arial" w:hAnsi="Arial" w:cs="Arial"/>
          <w:b/>
          <w:bCs/>
          <w:color w:val="000000"/>
        </w:rPr>
        <w:t xml:space="preserve">RELATO DE CASO: </w:t>
      </w:r>
      <w:r>
        <w:rPr>
          <w:rFonts w:ascii="Arial" w:hAnsi="Arial" w:cs="Arial"/>
          <w:color w:val="000000"/>
        </w:rPr>
        <w:t xml:space="preserve">Homem, 22 anos, buscou a unidade de saúde para realizar exames de rotina. Queixava-se de lesões </w:t>
      </w:r>
      <w:proofErr w:type="spellStart"/>
      <w:r>
        <w:rPr>
          <w:rFonts w:ascii="Arial" w:hAnsi="Arial" w:cs="Arial"/>
          <w:color w:val="000000"/>
        </w:rPr>
        <w:t>descamativas</w:t>
      </w:r>
      <w:proofErr w:type="spellEnd"/>
      <w:r>
        <w:rPr>
          <w:rFonts w:ascii="Arial" w:hAnsi="Arial" w:cs="Arial"/>
          <w:color w:val="000000"/>
        </w:rPr>
        <w:t xml:space="preserve"> em MMSS e de pele ressecada, sem prurido. Referiu exposição solar sem uso de protetor. Apontou, ainda, ansiedade, pensamentos confusos e ideações suicidas. Negou alterações abdominais. Possui história familiar positiva de hepatopatia e há relação consanguínea entre os progenitores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Ao exame físico, observaram-se as lesões indicadas além de tremores de extremidades superiores. Para complementar, solicitaram-se exames laboratoriais e de imagem. Na US de abdome total, observou-se esplenomegalia, além de fígado de dimensões normais, de contornos serrilhados, com </w:t>
      </w:r>
      <w:proofErr w:type="spellStart"/>
      <w:r>
        <w:rPr>
          <w:rFonts w:ascii="Arial" w:hAnsi="Arial" w:cs="Arial"/>
          <w:color w:val="000000"/>
        </w:rPr>
        <w:t>ecotextura</w:t>
      </w:r>
      <w:proofErr w:type="spellEnd"/>
      <w:r>
        <w:rPr>
          <w:rFonts w:ascii="Arial" w:hAnsi="Arial" w:cs="Arial"/>
          <w:color w:val="000000"/>
        </w:rPr>
        <w:t xml:space="preserve"> difusamente heterogênea e </w:t>
      </w:r>
      <w:proofErr w:type="spellStart"/>
      <w:r>
        <w:rPr>
          <w:rFonts w:ascii="Arial" w:hAnsi="Arial" w:cs="Arial"/>
          <w:color w:val="000000"/>
        </w:rPr>
        <w:t>hipoecogênica</w:t>
      </w:r>
      <w:proofErr w:type="spellEnd"/>
      <w:r>
        <w:rPr>
          <w:rFonts w:ascii="Arial" w:hAnsi="Arial" w:cs="Arial"/>
          <w:color w:val="000000"/>
        </w:rPr>
        <w:t xml:space="preserve">, apresentando ainda formações nodulares </w:t>
      </w:r>
      <w:proofErr w:type="spellStart"/>
      <w:r>
        <w:rPr>
          <w:rFonts w:ascii="Arial" w:hAnsi="Arial" w:cs="Arial"/>
          <w:color w:val="000000"/>
        </w:rPr>
        <w:t>hiperecogênicas</w:t>
      </w:r>
      <w:proofErr w:type="spellEnd"/>
      <w:r>
        <w:rPr>
          <w:rFonts w:ascii="Arial" w:hAnsi="Arial" w:cs="Arial"/>
          <w:color w:val="000000"/>
        </w:rPr>
        <w:t>, circunscritas, esparsas por todo parênquima. Os exames laboratoriais indicaram elevação do AST e ALT e redução do ácido úrico. Por meio de sorologias, foram descartadas hepatites virais e, com 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TC de abdome e pelve, foi possível confirmar os achados da US. No retorno clínico, houve piora das queixas neuropsiquiátricas e detectou-se </w:t>
      </w:r>
      <w:proofErr w:type="spellStart"/>
      <w:r>
        <w:rPr>
          <w:rFonts w:ascii="Arial" w:hAnsi="Arial" w:cs="Arial"/>
          <w:color w:val="000000"/>
        </w:rPr>
        <w:t>disartria</w:t>
      </w:r>
      <w:proofErr w:type="spellEnd"/>
      <w:r>
        <w:rPr>
          <w:rFonts w:ascii="Arial" w:hAnsi="Arial" w:cs="Arial"/>
          <w:color w:val="000000"/>
        </w:rPr>
        <w:t xml:space="preserve">. Ao exame oftalmológico, perceberam-se possíveis anéis de KF. Diante disso, solicitaram-se exames de investigação para DW. A citar, as dosagens de CER e de Cu sérico e urinário continham alterações. A RM de crânio indicou alteração sugestiva de DW. Com diagnóstico de DW confirmado, o paciente foi encaminhado para serviço especializado em hepatologia. </w:t>
      </w:r>
      <w:r>
        <w:rPr>
          <w:rFonts w:ascii="Arial" w:hAnsi="Arial" w:cs="Arial"/>
          <w:b/>
          <w:bCs/>
          <w:color w:val="000000"/>
        </w:rPr>
        <w:t xml:space="preserve">CONSIDERAÇÕES FINAIS: </w:t>
      </w:r>
      <w:r>
        <w:rPr>
          <w:rFonts w:ascii="Arial" w:hAnsi="Arial" w:cs="Arial"/>
          <w:color w:val="000000"/>
        </w:rPr>
        <w:t>A DW é uma doença genética</w:t>
      </w:r>
      <w:r>
        <w:rPr>
          <w:rFonts w:ascii="Arial" w:hAnsi="Arial" w:cs="Arial"/>
          <w:color w:val="000000"/>
        </w:rPr>
        <w:t xml:space="preserve"> cujo paciente necessita de atendimento multiprofissional, tendo em vista que as alterações encontradas podem afetar vários sistemas. O sucesso do tratamento e a prevenção de sequelas dependem de diagnóstico precoce e de acompanhamento especializado.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EC07B-AD71-40E6-9D24-9B85A609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419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Priscylla F.</dc:creator>
  <cp:keywords/>
  <dc:description/>
  <cp:lastModifiedBy>Priscylla F.</cp:lastModifiedBy>
  <cp:revision>11</cp:revision>
  <dcterms:created xsi:type="dcterms:W3CDTF">2020-06-29T21:40:00Z</dcterms:created>
  <dcterms:modified xsi:type="dcterms:W3CDTF">2020-07-01T12:33:00Z</dcterms:modified>
</cp:coreProperties>
</file>