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0813474" wp14:paraId="592032A5" wp14:textId="2E87DDE5">
      <w:pPr>
        <w:pStyle w:val="Normal"/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2D7FAD2D">
        <w:drawing>
          <wp:inline xmlns:wp14="http://schemas.microsoft.com/office/word/2010/wordprocessingDrawing" wp14:editId="0572B6E8" wp14:anchorId="435C4280">
            <wp:extent cx="5943600" cy="1952625"/>
            <wp:effectExtent l="0" t="0" r="0" b="0"/>
            <wp:docPr id="5835129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eeabe0795541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813474" w:rsidR="2D7FAD2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0813474" wp14:paraId="1FD7F739" wp14:textId="657E6D3D">
      <w:pPr>
        <w:pStyle w:val="Normal"/>
        <w:spacing w:before="240" w:beforeAutospacing="off" w:after="159" w:afterAutospacing="off" w:line="259" w:lineRule="auto"/>
        <w:jc w:val="center"/>
      </w:pPr>
      <w:r w:rsidRPr="70813474" w:rsidR="1027928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DORAMEIRAS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SÃO MESMO MULHERES CARENTES E ABOBALHADAS? O que 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professoras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nos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narram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sobre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suas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aprendizagens</w:t>
      </w:r>
      <w:r w:rsidRPr="70813474" w:rsidR="102792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com K-dramas.</w:t>
      </w:r>
    </w:p>
    <w:p xmlns:wp14="http://schemas.microsoft.com/office/word/2010/wordml" w:rsidP="70813474" wp14:paraId="29FC080E" wp14:textId="2CEDE2A7">
      <w:pPr>
        <w:spacing w:before="240" w:beforeAutospacing="off" w:after="0" w:afterAutospacing="off" w:line="240" w:lineRule="auto"/>
        <w:ind w:left="2880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0813474" w:rsidR="1027928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Bianca de Menezes Castro da Silva – Doutoranda em Educação </w:t>
      </w:r>
      <w:r w:rsidRPr="70813474" w:rsidR="1027928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ProPEd</w:t>
      </w:r>
    </w:p>
    <w:p xmlns:wp14="http://schemas.microsoft.com/office/word/2010/wordml" w:rsidP="70813474" wp14:paraId="595D9F03" wp14:textId="2A076F8C">
      <w:pPr>
        <w:spacing w:before="240" w:beforeAutospacing="off" w:after="0" w:afterAutospacing="off" w:line="240" w:lineRule="auto"/>
        <w:ind w:left="2880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0813474" w:rsidR="36ABD1B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Maria da Conceição Silva Soares – Docente no </w:t>
      </w:r>
      <w:r w:rsidRPr="70813474" w:rsidR="36ABD1B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ProP</w:t>
      </w:r>
      <w:r w:rsidRPr="70813474" w:rsidR="0D9B0BA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Ed</w:t>
      </w:r>
    </w:p>
    <w:p xmlns:wp14="http://schemas.microsoft.com/office/word/2010/wordml" w:rsidP="5F492ACC" wp14:paraId="70F5A438" wp14:textId="3C785DDE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492ACC" w:rsidR="2D1F37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Resum</w:t>
      </w:r>
      <w:r w:rsidRPr="5F492ACC" w:rsidR="3FE0CA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</w:p>
    <w:p xmlns:wp14="http://schemas.microsoft.com/office/word/2010/wordml" w:rsidP="70813474" wp14:paraId="4C26F51D" wp14:textId="4EC96C4B">
      <w:pPr>
        <w:pStyle w:val="Normal"/>
        <w:spacing w:before="240" w:beforeAutospacing="off" w:after="159" w:afterAutospacing="off" w:line="259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Este trabalho apresenta dados iniciais produzidos com uma pesquisa sobre a onda coreana e a educação, focando-se nos usos que professoras fazem de k-dramas. Situa o aumento do interesse por essas produções no contexto do capitalismo cultural, da cibercultura e dos investimentos do governo e de empresas sul-coreanas em cultura. Em contraponto aos interesses políticos e mercadológicos, o texto traz para a discussão, a partir de uma pesquisa com os cotidianos das redes educativas, que se valeu como procedimento metodológico de conversas online, narrativas de sete professoras sobre as problematizações e aprendizagens que engendram com os dramas coreanos que assistem. As narrativas das professoras apontam para a necessidade de uma pausa para relaxamento e contemplação, para a construção de outros olhares sobre o oriente e para a aquisição de novos hábitos, valores e sensibilidades, criando, com as fabulações que fazem, outros possíveis para a vida conturbada </w:t>
      </w:r>
      <w:r w:rsidRPr="70813474" w:rsidR="4815D78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dentrofora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das escolas.</w:t>
      </w:r>
    </w:p>
    <w:p xmlns:wp14="http://schemas.microsoft.com/office/word/2010/wordml" w:rsidP="70813474" wp14:paraId="5B0C9606" wp14:textId="1D6B9009">
      <w:pPr>
        <w:spacing w:before="240" w:beforeAutospacing="off" w:after="159" w:afterAutospacing="off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0813474" w:rsidR="4815D78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Palavras-chave</w:t>
      </w:r>
      <w:r w:rsidRPr="70813474" w:rsidR="4815D78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K-dramas; 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Apropriação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Fabulações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Criação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possíveis</w:t>
      </w:r>
      <w:r w:rsidRPr="70813474" w:rsidR="4815D7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70813474" wp14:paraId="520B7C67" wp14:textId="0DC3DE6B">
      <w:pPr>
        <w:pStyle w:val="Normal"/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xmlns:wp14="http://schemas.microsoft.com/office/word/2010/wordml" w:rsidP="70813474" wp14:paraId="6CF9AF2B" wp14:textId="631F949C">
      <w:pPr>
        <w:pStyle w:val="Normal"/>
        <w:spacing w:before="240" w:beforeAutospacing="off" w:after="0" w:afterAutospacing="off" w:line="240" w:lineRule="auto"/>
        <w:jc w:val="left"/>
      </w:pPr>
    </w:p>
    <w:p xmlns:wp14="http://schemas.microsoft.com/office/word/2010/wordml" w:rsidP="70813474" wp14:paraId="2C078E63" wp14:textId="4624C6AF">
      <w:pPr>
        <w:pStyle w:val="Normal"/>
      </w:pPr>
    </w:p>
    <w:p w:rsidR="5F492ACC" w:rsidP="5F492ACC" w:rsidRDefault="5F492ACC" w14:paraId="322A5734" w14:textId="1A8F8294">
      <w:pPr>
        <w:pStyle w:val="Normal"/>
      </w:pPr>
    </w:p>
    <w:p w:rsidR="5F492ACC" w:rsidP="5F492ACC" w:rsidRDefault="5F492ACC" w14:paraId="27869AE0" w14:textId="4F9CCC7D">
      <w:pPr>
        <w:pStyle w:val="Normal"/>
      </w:pPr>
    </w:p>
    <w:p w:rsidR="2DFB0C3A" w:rsidP="5F492ACC" w:rsidRDefault="2DFB0C3A" w14:paraId="28C34C97" w14:textId="4949EEEB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2DFB0C3A">
        <w:drawing>
          <wp:inline wp14:editId="030CCB51" wp14:anchorId="4B486B2F">
            <wp:extent cx="5943600" cy="1952625"/>
            <wp:effectExtent l="0" t="0" r="0" b="0"/>
            <wp:docPr id="1207850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5da269667e489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Introdução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paisagem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pesquisa</w:t>
      </w:r>
    </w:p>
    <w:p w:rsidR="3F5123CD" w:rsidP="5F492ACC" w:rsidRDefault="3F5123CD" w14:paraId="5CA8A8BD" w14:textId="0F953F0C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séries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coreanas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(K-dramas)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invadiram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Brasil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entraram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cotidianos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dentrofora</w:t>
      </w:r>
      <w:hyperlink w:anchor="sdfootnote1sym" r:id="R20cb45ce7be84b9f">
        <w:r w:rsidRPr="5F492ACC" w:rsidR="3F5123C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vertAlign w:val="superscript"/>
            <w:lang w:val="en-US"/>
          </w:rPr>
          <w:t>1</w:t>
        </w:r>
      </w:hyperlink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escolas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pedir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licença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mentes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emoções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Em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lugar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há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pausa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ritmo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conturbado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trabalho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diário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há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pessoa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assistindo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comentando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dramas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coreanos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cantinas,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salas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pátios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transportes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públicos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entre outros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espaçostempos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percebidos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livres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exigência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produtividade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desempenho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56BA0FC2" w14:textId="2876D7B0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expansão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consumo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indústria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cultural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Coréia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Sul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ser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pensada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considerarmos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investimentos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empresas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privadas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governo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sul-coreano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no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contexto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capitalismo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cultural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época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caracterizado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pela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circulação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bens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serviços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informação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Trata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-se do que George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Yúdice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(2004)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denominou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conveniência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recurso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finalidades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diversas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No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Coréia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Sul,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recurso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alavancar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desenvolvimento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socioeconômico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contribuir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melhoria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internacionais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2542BE18" w14:textId="05B648E9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compreendermos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esse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fenômeno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é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relevante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também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levar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crescentes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meios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circulação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conteúdos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/com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Cibercultura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seja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produtores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profissionais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usuários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profissionais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movidos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diferentes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interesses,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divulgam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comentam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reproduzem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trechos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traduzem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indicam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K-dramas. Tais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conteúdos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circulam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serviços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streaming</w:t>
      </w:r>
      <w:hyperlink w:anchor="sdfootnote2sym" r:id="Re038350f83f54836">
        <w:r w:rsidRPr="5F492ACC" w:rsidR="3F5123C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vertAlign w:val="superscript"/>
            <w:lang w:val="en-US"/>
          </w:rPr>
          <w:t>2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sites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fãs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redes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sociais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BBD54" w:rsidP="5F492ACC" w:rsidRDefault="3F5BBD54" w14:paraId="2EE6D110" w14:textId="4B01E7F5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3F5BBD54">
        <w:drawing>
          <wp:inline wp14:editId="558C3A8E" wp14:anchorId="7035C0B0">
            <wp:extent cx="5943600" cy="1952625"/>
            <wp:effectExtent l="0" t="0" r="0" b="0"/>
            <wp:docPr id="13445369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423933dcbd4f0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Por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sucesso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dessas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também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imaginário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social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povo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acordo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Silva (2006),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imaginário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sociedades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contemporâneas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seria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apenas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autoinduzido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espontaneamente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constantemente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produzido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contribuição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chama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tecnologias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imaginário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seja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mídias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alimentam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esferas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simbólicas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Tal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imaginário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Coréia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Sul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coreanos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k-dramas é,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vez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constantemente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apropriado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transformado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seus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usuários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23C35BC0" w14:textId="6548381A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Defendemos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circulação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dramas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coreanos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produzem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deslocamentos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teóricos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práticos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políticos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pensarmos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representações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feitas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daquele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país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problematizando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Orientalismo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discurso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Ocidente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dominar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autoridade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Oriente,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forma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propôs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Said (2007).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Trata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-se,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portanto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reconfiguração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partilha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estética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política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sensível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que,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acordo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Rancière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(2005),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remete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dizer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quê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de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lugar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determinando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maneira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comum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presta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à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outros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dessa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partilha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1D8387A5" w14:textId="34700788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Nesse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sentido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pensamos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função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fabuladora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desencadeada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desses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engendra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imagético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(Gonçalves; Head, 2009) dos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sul-coreanos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propõem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autorrepresentar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mesmos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ficcionando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povo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seus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saberes-fazeres-poderes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seus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valores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mesmo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considerando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influência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ocidente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nesse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processo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Trata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-se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autoimagem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individualcoletiva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do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convém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5F492ACC" w:rsidP="5F492ACC" w:rsidRDefault="5F492ACC" w14:paraId="0BBF9FCE" w14:textId="1C1A1F95">
      <w:pPr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707F9C87" w:rsidP="5F492ACC" w:rsidRDefault="707F9C87" w14:paraId="4A3061F7" w14:textId="0658B4B6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707F9C87">
        <w:drawing>
          <wp:inline wp14:editId="56445C6E" wp14:anchorId="34C1CECB">
            <wp:extent cx="5943600" cy="1952625"/>
            <wp:effectExtent l="0" t="0" r="0" b="0"/>
            <wp:docPr id="21079128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078394e311400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contraponto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interesses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políticos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mercadológicos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apontados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traremos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discussão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pesquisa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cotidianos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das redes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educativas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que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valeu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procedimento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metodológico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conversas,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problematizações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aprendizagens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engendram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dramas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coreanos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31C74E6C" w14:textId="17BCAEE4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pesquisa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realizamos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buscamos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trazer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à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usuários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desses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fabricam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fazem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lhes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é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oferecido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Entendemos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práticas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outras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coisas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informadas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outros interesses e outros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desejos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conforme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indica Michel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Certeau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(1994),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agenciamentos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propostos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1942EB8C" w14:textId="68CD3072">
      <w:pPr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Conversas com as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nossas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interlocutoras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/com 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pesquisa</w:t>
      </w:r>
    </w:p>
    <w:p w:rsidR="3F5123CD" w:rsidP="5F492ACC" w:rsidRDefault="3F5123CD" w14:paraId="0FDEA013" w14:textId="64AD5E0A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Conversamos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As conversas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realizadas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individualmente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de modo online,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Google Meet</w:t>
      </w:r>
      <w:hyperlink w:anchor="sdfootnote3sym" r:id="R7b893f7e565648a5">
        <w:r w:rsidRPr="5F492ACC" w:rsidR="3F5123C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vertAlign w:val="superscript"/>
            <w:lang w:val="en-US"/>
          </w:rPr>
          <w:t>3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entre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quatro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19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abril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2024.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Optamos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conversas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entrevistas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considerando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imprevisibilidades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engendram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às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tentativas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controle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Conforme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observações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Larrosa (2003, p. 212): “[...] ...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conversa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é algo que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faça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mas algo no que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... e,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entrar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nela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aonde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previsto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...[...]”.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Ainda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segundo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esse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conversa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podemos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chegar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dizer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queríamos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sabíamos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podíamos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781A5175" w14:textId="288EC71F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conversamos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indicadas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colegas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aceitaram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voluntariamente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pesquisa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setes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contatadas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educação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básica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duas da Rede Municipal de Cariacica (ES)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três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Rede Municipal do Rio de Janeiro (RJ),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atuando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50F4D8A" w:rsidP="5F492ACC" w:rsidRDefault="550F4D8A" w14:paraId="348419A7" w14:textId="6A8DD283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550F4D8A">
        <w:drawing>
          <wp:inline wp14:editId="7589C6D2" wp14:anchorId="30263442">
            <wp:extent cx="5943600" cy="1952625"/>
            <wp:effectExtent l="0" t="0" r="0" b="0"/>
            <wp:docPr id="1344852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810d31658b4a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escolas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educação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infantil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ensino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fundamental,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regência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sala de aula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direção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escola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10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docência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dessas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conversamos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atua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coordenadoria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regional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educação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Rio de Janeiro e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pedagoga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empresarial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que atua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empresa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Tecnologia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Educacional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 ES.</w:t>
      </w:r>
    </w:p>
    <w:p w:rsidR="3F5123CD" w:rsidP="5F492ACC" w:rsidRDefault="3F5123CD" w14:paraId="2BFA07A5" w14:textId="41C7A91E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graduadas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Pedagogia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Algumas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especialização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área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é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doutoranda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Educação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O tempo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há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doramas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varia entre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meses e 10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Mais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metade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delas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sozinha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celular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pela TV,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enquanto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enfrenta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preconceito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ironia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filhos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exceções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três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filhos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outra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filha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recentemente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com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mãe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F492ACC" w:rsidR="3F5123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maioria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Netflix,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contudo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algumas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também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 Telegram, Prime, Star + e YouTube.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Apenas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plataforma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Viki </w:t>
      </w:r>
      <w:hyperlink w:anchor="sdfootnote4sym" r:id="Ra16497a0d5d44a74">
        <w:r w:rsidRPr="5F492ACC" w:rsidR="3F5123C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vertAlign w:val="superscript"/>
            <w:lang w:val="en-US"/>
          </w:rPr>
          <w:t>4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7610743A" w14:textId="518F078E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entraram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dos k-dramas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indicação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amigas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familiares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descobriram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mesmas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maioria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atualmente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segue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indicações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sugeridas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postagens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compartilhadas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redes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sociais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(Facebook, TikTok, Instagram e Kwai)</w:t>
      </w:r>
      <w:hyperlink w:anchor="sdfootnote5sym" r:id="R791d6d16df774559">
        <w:r w:rsidRPr="5F492ACC" w:rsidR="3F5123C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vertAlign w:val="superscript"/>
            <w:lang w:val="en-US"/>
          </w:rPr>
          <w:t>5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3F5123CD" w:rsidP="5F492ACC" w:rsidRDefault="3F5123CD" w14:paraId="3525C175" w14:textId="641A01DA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Quase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dramas à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noite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e/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fins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semana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gênero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preferido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é o romance, 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há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gostam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também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dramas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históricos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suspense, fantasia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pós-apocalíticos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têm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inciativa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“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um Google”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fazer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pesquisas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outros sites para se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aprofundar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alguma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coisa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mostrada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sejam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acontecimentos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históricos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dados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geográficos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hábitos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costumes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alimentos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padrões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beleza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entre outros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assuntos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812ECBE" w:rsidP="5F492ACC" w:rsidRDefault="5812ECBE" w14:paraId="1A459B1E" w14:textId="6D12679B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5812ECBE">
        <w:drawing>
          <wp:inline wp14:editId="0C2EB46F" wp14:anchorId="545B9950">
            <wp:extent cx="5943600" cy="1952625"/>
            <wp:effectExtent l="0" t="0" r="0" b="0"/>
            <wp:docPr id="349451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918d6cfe484fb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fabuladas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pelas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professoras</w:t>
      </w:r>
    </w:p>
    <w:p w:rsidR="3F5123CD" w:rsidP="5F492ACC" w:rsidRDefault="3F5123CD" w14:paraId="62DCD482" w14:textId="2D1AAA33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nossas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pesquisas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fabulações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reinventam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vivido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recriam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experiência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diante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demanda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visando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outros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possíveis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texto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usaremos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pseudônimos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nomes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protagonistas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k-dramas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consideradas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mulheres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fortes</w:t>
      </w:r>
      <w:hyperlink w:anchor="sdfootnote6sym" r:id="Rb674cd2933b04adb">
        <w:r w:rsidRPr="5F492ACC" w:rsidR="3F5123C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vertAlign w:val="superscript"/>
            <w:lang w:val="en-US"/>
          </w:rPr>
          <w:t>6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3F5123CD" w:rsidP="5F492ACC" w:rsidRDefault="3F5123CD" w14:paraId="2160992F" w14:textId="25F3762C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Dado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pouco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espaço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dispomos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traremos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apenas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trechos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apontam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o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consideramos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impactante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construção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outros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olhares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sobre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oriente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próprias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aquisição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valores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sensibilidades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serem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levados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e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necessidade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pausa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relaxamento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contemplação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Tudo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junto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misturado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!</w:t>
      </w:r>
    </w:p>
    <w:p w:rsidR="3F5123CD" w:rsidP="5F492ACC" w:rsidRDefault="3F5123CD" w14:paraId="418ABC92" w14:textId="5DDB657A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hábitos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costumes,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alimentação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vestem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a casa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si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Tudo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é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diferente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Aparentemente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cultura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lá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impressão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tenho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é que um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cuida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do outro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(Kang Mo-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yeon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3F5123CD" w:rsidP="5F492ACC" w:rsidRDefault="3F5123CD" w14:paraId="32D18E90" w14:textId="3A2E64B4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questão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fazer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refeições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juntos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gosto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disso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paciências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deles,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acho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legal.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Às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vezes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estou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muito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agitada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falo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mim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mesma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: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opa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finge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você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está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num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dorama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respira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!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(Ko Moon-young).</w:t>
      </w:r>
    </w:p>
    <w:p w:rsidR="3F5123CD" w:rsidP="5F492ACC" w:rsidRDefault="3F5123CD" w14:paraId="4B9E9148" w14:textId="5A9259A2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Antes,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reparava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homens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asiáticos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Depois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comecei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ver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doramas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passei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achar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lindos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sei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dizer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havia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preconceito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mas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achava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eram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todos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iguais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(Jang Man-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). </w:t>
      </w:r>
    </w:p>
    <w:p w:rsidR="6220530A" w:rsidP="5F492ACC" w:rsidRDefault="6220530A" w14:paraId="0DB3E532" w14:textId="359DE3D6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6220530A">
        <w:drawing>
          <wp:inline wp14:editId="2363EB28" wp14:anchorId="541B6093">
            <wp:extent cx="5943600" cy="1952625"/>
            <wp:effectExtent l="0" t="0" r="0" b="0"/>
            <wp:docPr id="1235875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57297cd99441a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5123CD" w:rsidP="5F492ACC" w:rsidRDefault="3F5123CD" w14:paraId="6FB8D9E0" w14:textId="7208FDFA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O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primeiro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k-drama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nós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assistimos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foi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“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Pousando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no Amor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”.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Tirando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toda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parte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romântica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série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foi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muito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interessante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porque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cada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episódio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nós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fomos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entendendo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construção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se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faz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Coréia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do Norte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nessa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concepção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capitalista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Coréia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do Sul é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bem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caricata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(Yoon Se-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</w:p>
    <w:p w:rsidR="3F5123CD" w:rsidP="5F492ACC" w:rsidRDefault="3F5123CD" w14:paraId="0C9E3A2D" w14:textId="00D012FC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questão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ética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questão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limpeza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acho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lindo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adolescentes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limpando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escolas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O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respeito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têm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professores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reverência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estou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falando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submissão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digo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respeito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mesmo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honrar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aquela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pessoa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é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figura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autoridade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(Do Bong-soon).</w:t>
      </w:r>
    </w:p>
    <w:p w:rsidR="3F5123CD" w:rsidP="5F492ACC" w:rsidRDefault="3F5123CD" w14:paraId="15A81D93" w14:textId="46EBBB61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Eu sou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pessoa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muito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curiosa,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então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gosto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conhecer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outras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culturas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questão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valorizam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o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processo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conquista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O tempo deles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parece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ser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diferente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nosso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tempo, dos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ocidentais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(Jo Yi-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</w:p>
    <w:p w:rsidR="3F5123CD" w:rsidP="5F492ACC" w:rsidRDefault="3F5123CD" w14:paraId="3E98D0B1" w14:textId="4543E099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Eu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acho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palavra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define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dorama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mim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é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sutileza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As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sutilezas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muitas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vezes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gente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tem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tempo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apreciar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É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 fosse um outro tempo. É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eu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descolasse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realidade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conturbada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e fosse para um outro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Um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que me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convida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desacelerar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olhar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pra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mim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para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meus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desejos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e para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meus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sentimentos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com outros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olhos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(Hong Hae-in).</w:t>
      </w:r>
    </w:p>
    <w:p w:rsidR="5F492ACC" w:rsidP="5F492ACC" w:rsidRDefault="5F492ACC" w14:paraId="3F6BB194" w14:textId="56CC7058">
      <w:pPr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w:rsidR="27214726" w:rsidP="5F492ACC" w:rsidRDefault="27214726" w14:paraId="1DDE00CD" w14:textId="4B5908BF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27214726">
        <w:drawing>
          <wp:inline wp14:editId="25E5D135" wp14:anchorId="7412FB2A">
            <wp:extent cx="5943600" cy="1952625"/>
            <wp:effectExtent l="0" t="0" r="0" b="0"/>
            <wp:docPr id="18241459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101a58531b430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5123CD" w:rsidP="5F492ACC" w:rsidRDefault="3F5123CD" w14:paraId="05BA71AB" w14:textId="61C80477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-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Essas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coisas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você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se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permite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ver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porque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trazem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você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para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esse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mundo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Um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pôr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do sol que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você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assiste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aquela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caminhada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debaixo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das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cerejeiras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fazem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repensar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modos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vivemos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(Ko Moon-young).</w:t>
      </w:r>
    </w:p>
    <w:p w:rsidR="3F5123CD" w:rsidP="5F492ACC" w:rsidRDefault="3F5123CD" w14:paraId="1D6CAA4D" w14:textId="0FE2A8DD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outras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cabem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neste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texto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constituem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fabulações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astuciosas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engendradas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fazem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k-dramas, para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pensar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conturbada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dentrofora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escolas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Em um tempo que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vida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pouco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calma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paz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serenidade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narrativas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professoras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insinuam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sutilmente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outros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modos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viver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possíveis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Mas,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isso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já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é um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assunto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para ser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desenvolvido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outro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momento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F5123CD" w:rsidP="5F492ACC" w:rsidRDefault="3F5123CD" w14:paraId="356216DA" w14:textId="2C2FF301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Referências</w:t>
      </w:r>
      <w:r w:rsidRPr="5F492ACC" w:rsidR="3F5123C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:</w:t>
      </w:r>
    </w:p>
    <w:p w:rsidR="3F5123CD" w:rsidP="5F492ACC" w:rsidRDefault="3F5123CD" w14:paraId="6A08A854" w14:textId="7944AE26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CERTEAU, Michel de.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Invenção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Cotidiano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1. Artes de Fazer.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Tradução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Ephraim Ferreira Alves, Petrópolis, RJ: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Vozes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1994.</w:t>
      </w:r>
    </w:p>
    <w:p w:rsidR="3F5123CD" w:rsidP="5F492ACC" w:rsidRDefault="3F5123CD" w14:paraId="2A09C1E1" w14:textId="31D8B3DB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GONÇALVES, M.; HEAD, S. (Orgs.).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Devires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imagéticos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etnografia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o outro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suas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imagens. Rio de Janeiro: 7 Letras, 2009.</w:t>
      </w:r>
    </w:p>
    <w:p w:rsidR="3F5123CD" w:rsidP="5F492ACC" w:rsidRDefault="3F5123CD" w14:paraId="21C5A7D6" w14:textId="3DE88DAD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LARROSA, Jorge.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Epílogo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conversa. In: SKLIAR, Carlos.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Pedagogia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improvavél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) da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diferença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e se o outro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estivesse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aí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? Rio de Janeiro DP&amp;A, 2003. </w:t>
      </w:r>
    </w:p>
    <w:p w:rsidR="19EB193F" w:rsidP="5F492ACC" w:rsidRDefault="19EB193F" w14:paraId="32CD39F5" w14:textId="6A09693D">
      <w:pPr>
        <w:pStyle w:val="Normal"/>
        <w:spacing w:before="240" w:beforeAutospacing="off" w:after="159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19EB193F">
        <w:drawing>
          <wp:inline wp14:editId="6A726A4A" wp14:anchorId="0A6769A8">
            <wp:extent cx="5943600" cy="1952625"/>
            <wp:effectExtent l="0" t="0" r="0" b="0"/>
            <wp:docPr id="7955782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e17878d2b5492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5123CD" w:rsidP="5F492ACC" w:rsidRDefault="3F5123CD" w14:paraId="5C8D887F" w14:textId="2B620B03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RANCIÈRE, J.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partilha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sensível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estética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política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São Paulo: Ed. 34, 2005.</w:t>
      </w:r>
    </w:p>
    <w:p w:rsidR="3F5123CD" w:rsidP="5F492ACC" w:rsidRDefault="3F5123CD" w14:paraId="5E2840F1" w14:textId="33FB5614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SAID, Edward.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Orientalismo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o Oriente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invenção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Ocidente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São Paulo: Companhia das Letras, 2007.</w:t>
      </w:r>
    </w:p>
    <w:p w:rsidR="3F5123CD" w:rsidP="5F492ACC" w:rsidRDefault="3F5123CD" w14:paraId="2595FB27" w14:textId="70E9BC79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SILVA,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Juremir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Machado da.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As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tecnologias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do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imaginário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Porto Alegre: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Sulina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2006.</w:t>
      </w:r>
    </w:p>
    <w:p w:rsidR="3F5123CD" w:rsidP="5F492ACC" w:rsidRDefault="3F5123CD" w14:paraId="0859C4C0" w14:textId="5E96DD62">
      <w:pPr>
        <w:spacing w:before="240" w:beforeAutospacing="off" w:after="159" w:afterAutospacing="off" w:line="360" w:lineRule="auto"/>
        <w:jc w:val="both"/>
      </w:pP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YÚDICE, George.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conveniência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cultura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usos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era global. Belo Horizonte: Editora UFMG, 2004.</w:t>
      </w:r>
    </w:p>
    <w:p w:rsidR="3F5123CD" w:rsidP="5F492ACC" w:rsidRDefault="3F5123CD" w14:paraId="7E07213C" w14:textId="03DC14EE">
      <w:pPr>
        <w:spacing w:before="200" w:beforeAutospacing="off" w:after="142" w:afterAutospacing="off" w:line="276" w:lineRule="auto"/>
        <w:jc w:val="both"/>
      </w:pPr>
      <w:hyperlink w:anchor="sdfootnote1anc" r:id="R2d4d1fd1f9cd4fef">
        <w:r w:rsidRPr="5F492ACC" w:rsidR="3F5123CD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1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Nas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pesquisas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com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cotidianos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grafamos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juntos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itálico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termos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remetem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contingências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podem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ser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pensadas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separadamente, de um modo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dicotômico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da forma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como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aparecem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discursos que se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tornaram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hegemônicos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na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modernidade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histórica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científica.</w:t>
      </w:r>
    </w:p>
    <w:p w:rsidR="3F5123CD" w:rsidP="5F492ACC" w:rsidRDefault="3F5123CD" w14:paraId="5F83C73D" w14:textId="2F820D62">
      <w:pPr>
        <w:spacing w:before="200" w:beforeAutospacing="off" w:after="142" w:afterAutospacing="off" w:line="276" w:lineRule="auto"/>
        <w:jc w:val="both"/>
      </w:pPr>
      <w:hyperlink w:anchor="sdfootnote2anc" r:id="R6ab2bebe40b045af">
        <w:r w:rsidRPr="5F492ACC" w:rsidR="3F5123CD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2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Tecnologia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transmissão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conteúdo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online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permite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consumir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filmes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séries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músicas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modo online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baixar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para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assistir offline.</w:t>
      </w:r>
    </w:p>
    <w:p w:rsidR="3F5123CD" w:rsidP="5F492ACC" w:rsidRDefault="3F5123CD" w14:paraId="1B1DC8CF" w14:textId="3C1729DF">
      <w:pPr>
        <w:spacing w:before="200" w:beforeAutospacing="off" w:after="142" w:afterAutospacing="off" w:line="276" w:lineRule="auto"/>
        <w:jc w:val="both"/>
      </w:pPr>
      <w:hyperlink w:anchor="sdfootnote3anc" r:id="R2d44e3a9190d4913">
        <w:r w:rsidRPr="5F492ACC" w:rsidR="3F5123CD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3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Plataforma para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reuniões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online,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disponibiliza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diferentes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recursos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conforme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 plano do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usuário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pode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ser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gratuito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pago.</w:t>
      </w:r>
    </w:p>
    <w:p w:rsidR="3F5123CD" w:rsidP="5F492ACC" w:rsidRDefault="3F5123CD" w14:paraId="24131F72" w14:textId="2A7FB005">
      <w:pPr>
        <w:spacing w:before="200" w:beforeAutospacing="off" w:after="142" w:afterAutospacing="off" w:line="276" w:lineRule="auto"/>
        <w:jc w:val="both"/>
      </w:pPr>
      <w:hyperlink w:anchor="sdfootnote4anc" r:id="Rab24bdfa1d194a03">
        <w:r w:rsidRPr="5F492ACC" w:rsidR="3F5123CD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4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Netflix,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Prime, Star+ e Viki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serviços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streaming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assinatura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permitem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assistir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séries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filmes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um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aparelho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conectado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à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internet. O Telegram é um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aplicativo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conversação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gratuito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usuário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pode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enviar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mensagens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instantâneas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texto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fotos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vídeos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outras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mídias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No Telegram o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usuário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encontra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também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canais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disponibilizam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gratuitamente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dramas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legendados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YouTube é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uma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plataforma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vídeos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online,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usuários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podem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assistir,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criar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compartilhar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vídeos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pela internet.</w:t>
      </w:r>
    </w:p>
    <w:p w:rsidR="085048AD" w:rsidP="5F492ACC" w:rsidRDefault="085048AD" w14:paraId="460C1B66" w14:textId="3E7F5F6D">
      <w:pPr>
        <w:pStyle w:val="Normal"/>
        <w:spacing w:before="200" w:beforeAutospacing="off" w:after="142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085048AD">
        <w:drawing>
          <wp:inline wp14:editId="4B07D992" wp14:anchorId="1C233DFB">
            <wp:extent cx="5943600" cy="1952625"/>
            <wp:effectExtent l="0" t="0" r="0" b="0"/>
            <wp:docPr id="20250652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b5d0625e7740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1952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5123CD" w:rsidP="5F492ACC" w:rsidRDefault="3F5123CD" w14:paraId="3ED0E0EB" w14:textId="282671DD">
      <w:pPr>
        <w:spacing w:before="200" w:beforeAutospacing="off" w:after="142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hyperlink w:anchor="sdfootnote5anc" r:id="R63d71c018b1b4361">
        <w:r w:rsidRPr="5F492ACC" w:rsidR="3F5123CD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5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Facebook e Instagram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redes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sociais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que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conectam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usuários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no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mundo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todo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permitem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compartilhar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textos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fotos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vídeos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com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outros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usuários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sejam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eles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seguidores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ou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O TikTok e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o Kwai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redes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sociais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destinadas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à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criação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compartilhamento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vídeos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curtos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</w:t>
      </w:r>
      <w:r>
        <w:tab/>
      </w:r>
    </w:p>
    <w:p w:rsidR="3F5123CD" w:rsidP="5F492ACC" w:rsidRDefault="3F5123CD" w14:paraId="51244BEE" w14:textId="15DF76B2">
      <w:pPr>
        <w:spacing w:before="200" w:beforeAutospacing="off" w:after="142" w:afterAutospacing="off" w:line="276" w:lineRule="auto"/>
        <w:jc w:val="both"/>
      </w:pPr>
      <w:hyperlink w:anchor="sdfootnote6anc" r:id="R597d29a6fddf4725">
        <w:r w:rsidRPr="5F492ACC" w:rsidR="3F5123CD">
          <w:rPr>
            <w:rStyle w:val="Hyperlink"/>
            <w:rFonts w:ascii="Aptos" w:hAnsi="Aptos" w:eastAsia="Aptos" w:cs="Aptos"/>
            <w:noProof w:val="0"/>
            <w:sz w:val="20"/>
            <w:szCs w:val="20"/>
            <w:lang w:val="en-US"/>
          </w:rPr>
          <w:t>6</w:t>
        </w:r>
      </w:hyperlink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Os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nomes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escolhidos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foram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Ko Moon-young,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Tudo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bem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não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ser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normal; Yoon Se-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ri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Pousando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no amor; Do Bong-soon, de- Strong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woman Do Bong-soon; Hong Hae-in, de Rainha das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lágrimas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; Jang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Man-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wol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de Hotel del Luna; Kang Mo-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yeon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de 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Descendentes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do sol; e </w:t>
      </w:r>
      <w:r>
        <w:tab/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Jo Yi-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seo</w:t>
      </w:r>
      <w:r w:rsidRPr="5F492ACC" w:rsidR="3F5123C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de Itaewon class.</w:t>
      </w:r>
    </w:p>
    <w:p w:rsidR="5F492ACC" w:rsidP="5F492ACC" w:rsidRDefault="5F492ACC" w14:paraId="43EDC398" w14:textId="354B6BB7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8658B"/>
    <w:rsid w:val="050B4950"/>
    <w:rsid w:val="085048AD"/>
    <w:rsid w:val="0A95D849"/>
    <w:rsid w:val="0B08648D"/>
    <w:rsid w:val="0CA434EE"/>
    <w:rsid w:val="0D9B0BA4"/>
    <w:rsid w:val="1027928C"/>
    <w:rsid w:val="17F214FE"/>
    <w:rsid w:val="19EB193F"/>
    <w:rsid w:val="1A4150AB"/>
    <w:rsid w:val="1B989C24"/>
    <w:rsid w:val="1D346C85"/>
    <w:rsid w:val="22686471"/>
    <w:rsid w:val="24D9D73A"/>
    <w:rsid w:val="27214726"/>
    <w:rsid w:val="27FC4116"/>
    <w:rsid w:val="2D1F3773"/>
    <w:rsid w:val="2D7FAD2D"/>
    <w:rsid w:val="2DFB0C3A"/>
    <w:rsid w:val="34F7E88A"/>
    <w:rsid w:val="3618658B"/>
    <w:rsid w:val="36ABD1B2"/>
    <w:rsid w:val="371A19F9"/>
    <w:rsid w:val="3D10F9B6"/>
    <w:rsid w:val="3E43F2DE"/>
    <w:rsid w:val="3F5123CD"/>
    <w:rsid w:val="3F5BBD54"/>
    <w:rsid w:val="3FE0CAE5"/>
    <w:rsid w:val="4748F8CE"/>
    <w:rsid w:val="4815D784"/>
    <w:rsid w:val="4C57E86E"/>
    <w:rsid w:val="4F8F8930"/>
    <w:rsid w:val="550F4D8A"/>
    <w:rsid w:val="57386AFB"/>
    <w:rsid w:val="5812ECBE"/>
    <w:rsid w:val="5B75BB79"/>
    <w:rsid w:val="5F492ACC"/>
    <w:rsid w:val="6220530A"/>
    <w:rsid w:val="6A2729D6"/>
    <w:rsid w:val="6CD92B9C"/>
    <w:rsid w:val="707F9C87"/>
    <w:rsid w:val="70813474"/>
    <w:rsid w:val="7641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E318"/>
  <w15:chartTrackingRefBased/>
  <w15:docId w15:val="{CF6FACDA-31B2-44C9-8C8B-7A45A9CCC6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9eeabe079554179" /><Relationship Type="http://schemas.openxmlformats.org/officeDocument/2006/relationships/image" Target="/media/image2.png" Id="Rb85da269667e4899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20cb45ce7be84b9f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e038350f83f54836" /><Relationship Type="http://schemas.openxmlformats.org/officeDocument/2006/relationships/image" Target="/media/image3.png" Id="R96423933dcbd4f07" /><Relationship Type="http://schemas.openxmlformats.org/officeDocument/2006/relationships/image" Target="/media/image4.png" Id="R0b078394e311400c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7b893f7e565648a5" /><Relationship Type="http://schemas.openxmlformats.org/officeDocument/2006/relationships/image" Target="/media/image5.png" Id="R46810d31658b4abe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a16497a0d5d44a74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791d6d16df774559" /><Relationship Type="http://schemas.openxmlformats.org/officeDocument/2006/relationships/image" Target="/media/image6.png" Id="Rd0918d6cfe484fb3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b674cd2933b04adb" /><Relationship Type="http://schemas.openxmlformats.org/officeDocument/2006/relationships/image" Target="/media/image7.png" Id="R3957297cd99441ad" /><Relationship Type="http://schemas.openxmlformats.org/officeDocument/2006/relationships/image" Target="/media/image8.png" Id="R6c101a58531b4300" /><Relationship Type="http://schemas.openxmlformats.org/officeDocument/2006/relationships/image" Target="/media/image9.png" Id="R12e17878d2b5492e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2d4d1fd1f9cd4fef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6ab2bebe40b045af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2d44e3a9190d4913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ab24bdfa1d194a03" /><Relationship Type="http://schemas.openxmlformats.org/officeDocument/2006/relationships/image" Target="/media/imagea.png" Id="R97b5d0625e774064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63d71c018b1b4361" /><Relationship Type="http://schemas.openxmlformats.org/officeDocument/2006/relationships/hyperlink" Target="https://brc-word-edit.officeapps.live.com/we/wordeditorframe.aspx?ui=en-US&amp;rs=en-US&amp;wopisrc=https%3A%2F%2Frioeduca-my.sharepoint.com%2Fpersonal%2Fbianca_menezes_rioeduca_net%2F_vti_bin%2Fwopi.ashx%2Ffiles%2F8ef3c0ab088f46028bc732c660cd2103&amp;wdorigin=AuthPrompt.OFFICECOM-WEB.MAIN.EDGEWORTH&amp;wdprevioussessionsrc=HarmonyWeb&amp;wdprevioussession=9cc7158e-f9ad-40da-b4a4-12eb84a99d36&amp;wdenableroaming=1&amp;wdfr=1&amp;mscc=1&amp;wdodb=1&amp;hid=097F24A1-90AF-5000-6CA9-EEFBAE303219.0&amp;uih=sharepointcom&amp;wdlcid=en-US&amp;jsapi=1&amp;jsapiver=v2&amp;corrid=804c3471-295a-0ff8-66ca-9950192e6a6f&amp;usid=804c3471-295a-0ff8-66ca-9950192e6a6f&amp;newsession=1&amp;sftc=1&amp;uihit=docaspx&amp;muv=1&amp;cac=1&amp;sams=1&amp;mtf=1&amp;sfp=1&amp;sdp=1&amp;hch=1&amp;hwfh=1&amp;dchat=1&amp;sc=%7B%22pmo%22%3A%22https%3A%2F%2Frioeduca-my.sharepoint.com%22%2C%22pmshare%22%3Atrue%7D&amp;ctp=LeastProtected&amp;rct=Normal&amp;instantedit=1&amp;wopicomplete=1&amp;wdredirectionreason=Unified_SingleFlush" TargetMode="External" Id="R597d29a6fddf47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2024-05-01T19:35:18.9460008Z</dcterms:created>
  <dcterms:modified xsi:type="dcterms:W3CDTF">2024-05-01T20:33:45.5300965Z</dcterms:modified>
  <dc:creator>BIANCA DE MENEZES CASTRO DA SILVA</dc:creator>
  <lastModifiedBy>BIANCA DE MENEZES CASTRO DA SILVA</lastModifiedBy>
</coreProperties>
</file>