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76" w:rsidRPr="00C719AD" w:rsidRDefault="001C0076" w:rsidP="001C0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35430181"/>
      <w:bookmarkStart w:id="1" w:name="_GoBack"/>
      <w:r w:rsidRPr="00C719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CONHECIMENTO DE GESTANTES FRENTE O CALENDÁRIO NACIONAL DE VACINAÇÃO NA ATENÇÃO PRIMÁRIA A SAÚDE</w:t>
      </w:r>
    </w:p>
    <w:bookmarkEnd w:id="0"/>
    <w:bookmarkEnd w:id="1"/>
    <w:p w:rsidR="001C0076" w:rsidRPr="00C719AD" w:rsidRDefault="001C0076" w:rsidP="001C0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PREGNANT WOMEN'S KNOWLEDGE OF THE NATIONAL CALENDAR IN PRIMARY HEALTH CARE</w:t>
      </w:r>
    </w:p>
    <w:p w:rsidR="001C0076" w:rsidRPr="00C719AD" w:rsidRDefault="001C0076" w:rsidP="001C00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Larissa </w:t>
      </w:r>
      <w:proofErr w:type="spellStart"/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Christiny</w:t>
      </w:r>
      <w:proofErr w:type="spellEnd"/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Amorim dos Santos. Universidade Iguaçu (UNIG)</w:t>
      </w: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</w:p>
    <w:p w:rsidR="001C0076" w:rsidRPr="00C719AD" w:rsidRDefault="001C0076" w:rsidP="001C00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Miriam Maria Ferreira Guedes. Universidade Iguaçu (UNIG)</w:t>
      </w: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</w:p>
    <w:p w:rsidR="001C0076" w:rsidRPr="00C719AD" w:rsidRDefault="001C0076" w:rsidP="001C00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Andreia Cordeiro Andrade. Universidade Iguaçu (UNIG)</w:t>
      </w: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</w:p>
    <w:p w:rsidR="001C0076" w:rsidRPr="00C719AD" w:rsidRDefault="001C0076" w:rsidP="001C00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Janaína Borges e Silva da Silva. Faculdade Venda Nova Imigrante (FAVENI)</w:t>
      </w: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</w:p>
    <w:p w:rsidR="001C0076" w:rsidRPr="00C719AD" w:rsidRDefault="001C0076" w:rsidP="001C00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Marcos Paulo Lopes de Oliveira. Enfermeiro. Universidade Veiga de Almeida (UVA)</w:t>
      </w: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1C0076" w:rsidRPr="00C719AD" w:rsidRDefault="001C0076" w:rsidP="001C00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Simone Ferreira Mello Silva. Universidade Iguaçu (UNIG)</w:t>
      </w: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</w:p>
    <w:p w:rsidR="001C0076" w:rsidRPr="00C719AD" w:rsidRDefault="001C0076" w:rsidP="001C00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Carla de Souza Couto. Faculdade Uniredentor</w:t>
      </w: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</w:p>
    <w:p w:rsidR="001C0076" w:rsidRPr="00C719AD" w:rsidRDefault="001C0076" w:rsidP="001C00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Margaret Alves de Carvalho. Universidade Gama e Souza</w:t>
      </w: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8</w:t>
      </w:r>
    </w:p>
    <w:p w:rsidR="001C0076" w:rsidRPr="00C719AD" w:rsidRDefault="001C0076" w:rsidP="001C00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Camila de Sousa Martins Isaias. Universidade Iguaçu (UNIG)</w:t>
      </w: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9</w:t>
      </w:r>
    </w:p>
    <w:p w:rsidR="001C0076" w:rsidRPr="00C719AD" w:rsidRDefault="001C0076" w:rsidP="001C00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bookmarkStart w:id="2" w:name="_Hlk135336156"/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Amanda Machado da Conceição Silva Universidade Iguaçu (UNIG)</w:t>
      </w: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10</w:t>
      </w:r>
    </w:p>
    <w:p w:rsidR="001C0076" w:rsidRPr="00C719AD" w:rsidRDefault="001C0076" w:rsidP="001C00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Sérgio Ricardo de </w:t>
      </w:r>
      <w:proofErr w:type="spellStart"/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Alcantara</w:t>
      </w:r>
      <w:proofErr w:type="spellEnd"/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Universidade Estácio de Sá (UNESA)</w:t>
      </w: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11</w:t>
      </w:r>
    </w:p>
    <w:p w:rsidR="001C0076" w:rsidRPr="00C719AD" w:rsidRDefault="001C0076" w:rsidP="001C00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proofErr w:type="spellStart"/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Elcio</w:t>
      </w:r>
      <w:proofErr w:type="spellEnd"/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Gomes dos Reis. Universidade Severino Sombra</w:t>
      </w: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12</w:t>
      </w:r>
    </w:p>
    <w:p w:rsidR="001C0076" w:rsidRPr="00C719AD" w:rsidRDefault="001C0076" w:rsidP="001C00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Maria Bárbara </w:t>
      </w:r>
      <w:proofErr w:type="spellStart"/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Barreyra</w:t>
      </w:r>
      <w:proofErr w:type="spellEnd"/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de Medeiros. Universidade Iguaçu (UNIG)</w:t>
      </w: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13</w:t>
      </w:r>
    </w:p>
    <w:bookmarkEnd w:id="2"/>
    <w:p w:rsidR="001C0076" w:rsidRPr="00C719AD" w:rsidRDefault="001C0076" w:rsidP="001C00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Wanderson Alves Ribeiro. Universidade Iguaçu (</w:t>
      </w:r>
      <w:proofErr w:type="gramStart"/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UNIG)/</w:t>
      </w:r>
      <w:proofErr w:type="gramEnd"/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Universidade Federal Fluminense (UFF)</w:t>
      </w:r>
      <w:r w:rsidRPr="00C719A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14</w:t>
      </w:r>
    </w:p>
    <w:p w:rsidR="001C0076" w:rsidRPr="00C719AD" w:rsidRDefault="001C0076" w:rsidP="001C0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RESUMO:</w:t>
      </w:r>
    </w:p>
    <w:p w:rsidR="001C0076" w:rsidRPr="00C719AD" w:rsidRDefault="001C0076" w:rsidP="001C00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Introdução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Política Nacional de Atenção Básica (PNAB) foi aprovada pela portaria GM/MS, número 2436, de 21 de setembro de 2017, que estabelece diretrizes e normas para a organização da PNAB, que atualiza definições, responsabilidades, infraestrutura, ambiência, funcionamento da Atenção Primária à Saúde, atribuições dos profissionais, processo de trabalho e financiamento das ações</w:t>
      </w:r>
      <w:r w:rsidRPr="00C719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Objetivo:</w:t>
      </w:r>
      <w:r w:rsidRPr="00C719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Reproduzir a perspectiva da gestante frente a vacinação. Para tal, </w:t>
      </w:r>
      <w:r w:rsidRPr="00C719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trata-se de um estudo descritivo do tipo bibliográfico com abordagem qualitativa dos dados através da análise de publicações científicos. </w:t>
      </w:r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Metodologia:</w:t>
      </w:r>
      <w:r w:rsidRPr="00C719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de literatura, nas seguintes bases de dados: Base de Dados em Enfermagem (BDENF), e Literatura Latino-Americana e do Caribe em Ciências da Saúde (LILACS) e na biblioteca eletrônica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Scientific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Electronic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Library Online (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SciELO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entre os anos de 2019 a 2023. </w:t>
      </w:r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Resultados e Discussão:</w:t>
      </w:r>
      <w:r w:rsidRPr="00C719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O cuidado pré-natal é imprescindível para a qualidade do trabalho de parto, parto e puerpério</w:t>
      </w:r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fatores que interferem na cobertura vacinal das gestantes de alto risco do município pesquisado em: desconhecimento das vacinas recebidas, dificuldade em compreender a importância da vacinação, conhecimento sobre a importância da vacinação somente para o bebê, conhecimento das vacinas recebidas e a presença de dificuldades no ato de vacinação. </w:t>
      </w:r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Conclusão:</w:t>
      </w:r>
      <w:r w:rsidRPr="00C719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É necessário que os profissionais busquem conhecimento acerca do assunto, procurando aprimorar as orientações fornecidas às gestantes. E ainda, é importante que as instituições de saúde ofereçam cursos e capacitações aos profissionais facilitando a atualizações dos mesmos sobre o tema.</w:t>
      </w:r>
    </w:p>
    <w:p w:rsidR="001C0076" w:rsidRPr="00C719AD" w:rsidRDefault="001C0076" w:rsidP="001C0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Palavras-chave:</w:t>
      </w:r>
      <w:r w:rsidRPr="00C719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Atenção Primária à Saúde;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19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Conhecimento;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19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Gestantes.</w:t>
      </w:r>
    </w:p>
    <w:p w:rsidR="001C0076" w:rsidRPr="00C719AD" w:rsidRDefault="001C0076" w:rsidP="001C0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C0076" w:rsidRPr="00C719AD" w:rsidRDefault="001C0076" w:rsidP="001C0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ABSTRACT</w:t>
      </w:r>
    </w:p>
    <w:p w:rsidR="001C0076" w:rsidRPr="00C719AD" w:rsidRDefault="001C0076" w:rsidP="001C00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Introduction</w:t>
      </w:r>
      <w:proofErr w:type="spellEnd"/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National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Primary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Care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Policy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(PNAB)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was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approved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by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ordinance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GM/MS,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number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2436,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of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September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21, 2017,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which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establishes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guidelines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norms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for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organization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of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PNAB,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which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updates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definitions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responsibilities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infrastructure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ambience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functioning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of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Primary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Health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Care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attributions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of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professionals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work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process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financing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of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actions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Objective</w:t>
      </w:r>
      <w:proofErr w:type="spellEnd"/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to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reproduce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perspective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of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pregnant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women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regarding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vaccination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To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this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end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it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descriptive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study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of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bibliographic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type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with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qualitative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approach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to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data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through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analysis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of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scientific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publications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Methodology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This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literature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review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in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following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Databases</w:t>
      </w:r>
      <w:proofErr w:type="spellEnd"/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Database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Nursing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(BDENF),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Latin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American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Caribbean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Literature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in Health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Sciences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(LILACS)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electronic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library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Scientific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Electronic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Library Online </w:t>
      </w:r>
      <w:proofErr w:type="gram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SciELO</w:t>
      </w:r>
      <w:proofErr w:type="spellEnd"/>
      <w:proofErr w:type="gram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),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between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years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2019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to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2023. </w:t>
      </w:r>
      <w:proofErr w:type="spellStart"/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Results</w:t>
      </w:r>
      <w:proofErr w:type="spellEnd"/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and</w:t>
      </w:r>
      <w:proofErr w:type="spellEnd"/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Discussion</w:t>
      </w:r>
      <w:proofErr w:type="spellEnd"/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Prenatal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care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essential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for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quality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of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labor, delivery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puerperium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The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factors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that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interfere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with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vaccination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coverage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of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high-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risk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pregnant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women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municipality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researched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in: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lack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of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knowledge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about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vaccines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received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difficulty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understanding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importance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of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vaccination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knowledge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about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importance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of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vaccination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only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for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baby,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knowledge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of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vaccines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received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presence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of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difficulties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act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of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vaccination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Conclusion</w:t>
      </w:r>
      <w:proofErr w:type="spellEnd"/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It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necessary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for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professionals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to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seek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knowledge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about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subject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seeking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to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improve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guidelines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provided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to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pregnant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women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Furthermore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it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important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that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health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institutions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offer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courses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training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to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professionals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facilitating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their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updates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on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subject</w:t>
      </w:r>
      <w:proofErr w:type="spellEnd"/>
      <w:r w:rsidRPr="00C71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1C0076" w:rsidRPr="00C719AD" w:rsidRDefault="001C0076" w:rsidP="001C0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Keywords</w:t>
      </w:r>
      <w:proofErr w:type="spellEnd"/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C719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Primary</w:t>
      </w:r>
      <w:proofErr w:type="spellEnd"/>
      <w:r w:rsidRPr="00C719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Health </w:t>
      </w:r>
      <w:proofErr w:type="spellStart"/>
      <w:r w:rsidRPr="00C719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Care</w:t>
      </w:r>
      <w:proofErr w:type="spellEnd"/>
      <w:r w:rsidRPr="00C719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C719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Knowledge</w:t>
      </w:r>
      <w:proofErr w:type="spellEnd"/>
      <w:r w:rsidRPr="00C719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C719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Pregnant</w:t>
      </w:r>
      <w:proofErr w:type="spellEnd"/>
      <w:r w:rsidRPr="00C719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women</w:t>
      </w:r>
      <w:proofErr w:type="spellEnd"/>
      <w:r w:rsidRPr="00C719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C0076" w:rsidRPr="00C719AD" w:rsidRDefault="001C0076" w:rsidP="001C0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E-mail do autor principal:</w:t>
      </w:r>
      <w:bookmarkStart w:id="3" w:name="_Hlk135336197"/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19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enf.wandersonribeiro@gmail.com</w:t>
      </w:r>
    </w:p>
    <w:bookmarkEnd w:id="3"/>
    <w:p w:rsidR="001C0076" w:rsidRPr="00C719AD" w:rsidRDefault="001C0076" w:rsidP="001C0076">
      <w:pPr>
        <w:spacing w:before="96" w:after="96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INTRODUÇÃO 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interesse pelo estudo sobre imunização na gravidez no contexto da Atenção Básica (AB) surgiu durante os estágios do curso de pós-graduação em Enfermagem Obstétrica na Unidade de Saúde da Família, no qual foram realizadas consultas de pré-natal. Nesta oportunidade, percebemos a importância de pesquisarmos sobre o tema. Haja vista, a lacuna de conhecimento existente na literatura científica sobre o assunto e a relevância do mesmo no cenário atual da saúde pública (COSTA </w:t>
      </w:r>
      <w:r w:rsidRPr="00C719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al.,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2021).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Política Nacional de Atenção Básica (PNAB) foi aprovada pela portaria GM/MS, número 2436, de 21 de setembro de 2017, que estabelece diretrizes e normas para a organização da PNAB, que atualiza definições, responsabilidades, infraestrutura, ambiência, funcionamento da Atenção Básica (AB), atribuições dos profissionais, processo de trabalho e financiamento das ações da AB (PEREIRA </w:t>
      </w:r>
      <w:r w:rsidRPr="00C719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al.,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2019).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PNAB estabelece como a função da AB ser coordenadora e ordenadora do cuidado através dos princípios e diretrizes do SUS e da Rede de Atenção as Saúde (RAS). Dentre eles, estão citados a universalidade, equidade, 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integralidade, regionalização, hierarquização,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territorialização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população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adscrita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cuidado centrado na pessoa, resolutividade, longitudinal idade no cuidado, coordenação do cuidado, ordenação da rede e participação da comunidade (COSTA </w:t>
      </w:r>
      <w:r w:rsidRPr="00C719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al.,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2021). 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PNAB estabelece que os princípios e diretrizes do SUS e da RAS a serem operacionalizados na AB são universalidade, equidade, integralidade, regionalização, hierarquização,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territorialização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população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adscrita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cuidado centrado na pessoa, 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resolutividade, longitudinal idade no cuidado, coordenação do cuidado, ordenação da rede e participação da comunidade (SILVA </w:t>
      </w:r>
      <w:r w:rsidRPr="00C719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al.,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2019).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disso, a PNAB esclarece que a vigilância em saúde é de extrema importância para a AB atingir as metas estabelecidas que atendam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necessidades de saúde da população. E, a vigilância em saúde abrange o Programa Nacional de Imunização (PNI) (OLIVEIRA </w:t>
      </w:r>
      <w:r w:rsidRPr="00C719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al.,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2019).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PNI define estratégias de vacinação através de calendários, atualizados frequentemente, que são formulados, levando em consideração aspectos epidemiológicos, o risco, vulnerabilidade e especificidades sociais. Ademais, estabelece recomendações sobre os imunizantes, especificando a vacina apropriada para cada público, incluindo crianças, adultos, idosos, povos indígenas e gestantes (SILVA </w:t>
      </w:r>
      <w:r w:rsidRPr="00C719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al.,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2019).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O PNI, a Federação Brasileira das Associações de Ginecologia e Obstetrícia (FEBRASGO) e a Sociedade Brasileira de Imunizações (SBIM) orientam que sejam administradas nas gestantes, às seguintes vacinas indicadas em situações específicas e outras que são contraindicadas (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SILVEIRA </w:t>
      </w:r>
      <w:r w:rsidRPr="00C719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al.,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2021).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SBIM informa que as vacinas recomendadas em situações específicas são hepatite </w:t>
      </w:r>
      <w:proofErr w:type="gram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A, as</w:t>
      </w:r>
      <w:proofErr w:type="gram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pneumocócicas Hepatites A e B, meningocócicas conjugadas ACWY/C, Meningocócica B e Febre Amarela. Para a administração destas vacinas, é preciso avaliar os aspectos epidemiológicos e a presença de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comorbidades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consideradas de risco para as doenças evitáveis pelos imunizantes (SILVA </w:t>
      </w:r>
      <w:r w:rsidRPr="00C719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al.,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2019).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as vacinas contraindicadas são </w:t>
      </w:r>
      <w:proofErr w:type="gram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tríplice</w:t>
      </w:r>
      <w:proofErr w:type="gram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viral (Sarampo, Caxumba e rubéola), HPV 4, varicela e dengue. Estas vacinas, exceto HPV são constituídas por bactérias e vírus atenuados, podendo apresentar risco de contaminação do feto pela vacina, por isso são contraindicadas (COSTA </w:t>
      </w:r>
      <w:r w:rsidRPr="00C719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al.,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2021).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Diante do exposto, o presente estudo tem o objetivo principal de reproduzir a perspectiva da gestante frente a vacinação. E, esta pesquisa tem como objetivos específicos identificar as principais inquietações das gestantes para não adesão e descrever as orientações do enfermeiro para adesão à vacinação.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0076" w:rsidRPr="00C719AD" w:rsidRDefault="001C0076" w:rsidP="001C0076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METODOLOGIA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Trata-se de um estudo de abordagem qualitativa, de cunho descritivo, do tipo revisão integrativa, onde será abordado sobre o aleitamento materno para prematuros. Foi realizado por meio de busca em base de dados disponíveis na Biblioteca Virtual de Saúde (BVS) nas seguintes bases de dados: LILACS, BDENF, MEDLINE e Google Acadêmico.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A pesquisa qualitativa pode ser definida como a que se fundamenta principalmente em análises qualitativas, caracterizando-se, em princípio, pela não utilização de instrumental estatístico na análise de dados (BARDIN, 2011).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Não é apenas a “pesquisa não quantitativa”, tendo desenvolvido sua própria identidade. Assim, visa entender, descrever e explicar os fenômenos sociais de modos diferentes, através da análise de experiências individuais e grupais, exame de interações e comunicações que estejam se desenvolvendo, assim como da investigação de documentos (textos, imagens, filmes ou músicas) ou traços semelhantes de experiências e integrações (FLICK, 2009).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Também possui caráter descritivo, cujo foco não consiste na abordagem, mas sim no processo e seu significado, ou seja, o principal objetivo é a interpretação do fenômeno objeto de estudo (SILVA; MENEZES, 2001).</w:t>
      </w:r>
    </w:p>
    <w:p w:rsidR="001C0076" w:rsidRPr="00C719AD" w:rsidRDefault="001C0076" w:rsidP="001C0076">
      <w:pPr>
        <w:pStyle w:val="Corpodetexto"/>
        <w:spacing w:after="160" w:line="360" w:lineRule="auto"/>
        <w:ind w:firstLine="709"/>
        <w:jc w:val="both"/>
        <w:rPr>
          <w:b w:val="0"/>
          <w:bCs w:val="0"/>
          <w:color w:val="000000" w:themeColor="text1"/>
        </w:rPr>
      </w:pPr>
      <w:r w:rsidRPr="00C719AD">
        <w:rPr>
          <w:b w:val="0"/>
          <w:bCs w:val="0"/>
          <w:color w:val="000000" w:themeColor="text1"/>
        </w:rPr>
        <w:t>Ressalta-se</w:t>
      </w:r>
      <w:r w:rsidRPr="00C719AD">
        <w:rPr>
          <w:b w:val="0"/>
          <w:bCs w:val="0"/>
          <w:color w:val="000000" w:themeColor="text1"/>
          <w:spacing w:val="13"/>
        </w:rPr>
        <w:t xml:space="preserve"> </w:t>
      </w:r>
      <w:r w:rsidRPr="00C719AD">
        <w:rPr>
          <w:b w:val="0"/>
          <w:bCs w:val="0"/>
          <w:color w:val="000000" w:themeColor="text1"/>
        </w:rPr>
        <w:t>que</w:t>
      </w:r>
      <w:r w:rsidRPr="00C719AD">
        <w:rPr>
          <w:b w:val="0"/>
          <w:bCs w:val="0"/>
          <w:color w:val="000000" w:themeColor="text1"/>
          <w:spacing w:val="11"/>
        </w:rPr>
        <w:t xml:space="preserve"> </w:t>
      </w:r>
      <w:r w:rsidRPr="00C719AD">
        <w:rPr>
          <w:b w:val="0"/>
          <w:bCs w:val="0"/>
          <w:color w:val="000000" w:themeColor="text1"/>
        </w:rPr>
        <w:t>os</w:t>
      </w:r>
      <w:r w:rsidRPr="00C719AD">
        <w:rPr>
          <w:b w:val="0"/>
          <w:bCs w:val="0"/>
          <w:color w:val="000000" w:themeColor="text1"/>
          <w:spacing w:val="12"/>
        </w:rPr>
        <w:t xml:space="preserve"> </w:t>
      </w:r>
      <w:r w:rsidRPr="00C719AD">
        <w:rPr>
          <w:b w:val="0"/>
          <w:bCs w:val="0"/>
          <w:color w:val="000000" w:themeColor="text1"/>
        </w:rPr>
        <w:t>critérios</w:t>
      </w:r>
      <w:r w:rsidRPr="00C719AD">
        <w:rPr>
          <w:b w:val="0"/>
          <w:bCs w:val="0"/>
          <w:color w:val="000000" w:themeColor="text1"/>
          <w:spacing w:val="12"/>
        </w:rPr>
        <w:t xml:space="preserve"> </w:t>
      </w:r>
      <w:r w:rsidRPr="00C719AD">
        <w:rPr>
          <w:b w:val="0"/>
          <w:bCs w:val="0"/>
          <w:color w:val="000000" w:themeColor="text1"/>
        </w:rPr>
        <w:t>de inclusão para seleção</w:t>
      </w:r>
      <w:r w:rsidRPr="00C719AD">
        <w:rPr>
          <w:b w:val="0"/>
          <w:bCs w:val="0"/>
          <w:color w:val="000000" w:themeColor="text1"/>
          <w:spacing w:val="1"/>
        </w:rPr>
        <w:t xml:space="preserve"> </w:t>
      </w:r>
      <w:r w:rsidRPr="00C719AD">
        <w:rPr>
          <w:b w:val="0"/>
          <w:bCs w:val="0"/>
          <w:color w:val="000000" w:themeColor="text1"/>
        </w:rPr>
        <w:t>foram:</w:t>
      </w:r>
      <w:r w:rsidRPr="00C719AD">
        <w:rPr>
          <w:b w:val="0"/>
          <w:bCs w:val="0"/>
          <w:color w:val="000000" w:themeColor="text1"/>
          <w:spacing w:val="1"/>
        </w:rPr>
        <w:t xml:space="preserve"> </w:t>
      </w:r>
      <w:r w:rsidRPr="00C719AD">
        <w:rPr>
          <w:b w:val="0"/>
          <w:bCs w:val="0"/>
          <w:color w:val="000000" w:themeColor="text1"/>
        </w:rPr>
        <w:t>artigos</w:t>
      </w:r>
      <w:r w:rsidRPr="00C719AD">
        <w:rPr>
          <w:b w:val="0"/>
          <w:bCs w:val="0"/>
          <w:color w:val="000000" w:themeColor="text1"/>
          <w:spacing w:val="1"/>
        </w:rPr>
        <w:t xml:space="preserve"> </w:t>
      </w:r>
      <w:r w:rsidRPr="00C719AD">
        <w:rPr>
          <w:b w:val="0"/>
          <w:bCs w:val="0"/>
          <w:color w:val="000000" w:themeColor="text1"/>
        </w:rPr>
        <w:t>disponíveis</w:t>
      </w:r>
      <w:r w:rsidRPr="00C719AD">
        <w:rPr>
          <w:b w:val="0"/>
          <w:bCs w:val="0"/>
          <w:color w:val="000000" w:themeColor="text1"/>
          <w:spacing w:val="1"/>
        </w:rPr>
        <w:t xml:space="preserve"> </w:t>
      </w:r>
      <w:r w:rsidRPr="00C719AD">
        <w:rPr>
          <w:b w:val="0"/>
          <w:bCs w:val="0"/>
          <w:color w:val="000000" w:themeColor="text1"/>
        </w:rPr>
        <w:t>em</w:t>
      </w:r>
      <w:r w:rsidRPr="00C719AD">
        <w:rPr>
          <w:b w:val="0"/>
          <w:bCs w:val="0"/>
          <w:color w:val="000000" w:themeColor="text1"/>
          <w:spacing w:val="1"/>
        </w:rPr>
        <w:t xml:space="preserve"> </w:t>
      </w:r>
      <w:r w:rsidRPr="00C719AD">
        <w:rPr>
          <w:b w:val="0"/>
          <w:bCs w:val="0"/>
          <w:color w:val="000000" w:themeColor="text1"/>
        </w:rPr>
        <w:t>português,</w:t>
      </w:r>
      <w:r w:rsidRPr="00C719AD">
        <w:rPr>
          <w:b w:val="0"/>
          <w:bCs w:val="0"/>
          <w:color w:val="000000" w:themeColor="text1"/>
          <w:spacing w:val="1"/>
        </w:rPr>
        <w:t xml:space="preserve"> </w:t>
      </w:r>
      <w:r w:rsidRPr="00C719AD">
        <w:rPr>
          <w:b w:val="0"/>
          <w:bCs w:val="0"/>
          <w:color w:val="000000" w:themeColor="text1"/>
        </w:rPr>
        <w:t>no</w:t>
      </w:r>
      <w:r w:rsidRPr="00C719AD">
        <w:rPr>
          <w:b w:val="0"/>
          <w:bCs w:val="0"/>
          <w:color w:val="000000" w:themeColor="text1"/>
          <w:spacing w:val="1"/>
        </w:rPr>
        <w:t xml:space="preserve"> </w:t>
      </w:r>
      <w:r w:rsidRPr="00C719AD">
        <w:rPr>
          <w:b w:val="0"/>
          <w:bCs w:val="0"/>
          <w:color w:val="000000" w:themeColor="text1"/>
        </w:rPr>
        <w:t>período</w:t>
      </w:r>
      <w:r w:rsidRPr="00C719AD">
        <w:rPr>
          <w:b w:val="0"/>
          <w:bCs w:val="0"/>
          <w:color w:val="000000" w:themeColor="text1"/>
          <w:spacing w:val="1"/>
        </w:rPr>
        <w:t xml:space="preserve"> </w:t>
      </w:r>
      <w:r w:rsidRPr="00C719AD">
        <w:rPr>
          <w:b w:val="0"/>
          <w:bCs w:val="0"/>
          <w:color w:val="000000" w:themeColor="text1"/>
        </w:rPr>
        <w:t>de</w:t>
      </w:r>
      <w:r w:rsidRPr="00C719AD">
        <w:rPr>
          <w:b w:val="0"/>
          <w:bCs w:val="0"/>
          <w:color w:val="000000" w:themeColor="text1"/>
          <w:spacing w:val="1"/>
        </w:rPr>
        <w:t xml:space="preserve"> </w:t>
      </w:r>
      <w:r w:rsidRPr="00C719AD">
        <w:rPr>
          <w:b w:val="0"/>
          <w:bCs w:val="0"/>
          <w:color w:val="000000" w:themeColor="text1"/>
        </w:rPr>
        <w:t>2019</w:t>
      </w:r>
      <w:r w:rsidRPr="00C719AD">
        <w:rPr>
          <w:b w:val="0"/>
          <w:bCs w:val="0"/>
          <w:color w:val="000000" w:themeColor="text1"/>
          <w:spacing w:val="1"/>
        </w:rPr>
        <w:t xml:space="preserve"> </w:t>
      </w:r>
      <w:r w:rsidRPr="00C719AD">
        <w:rPr>
          <w:b w:val="0"/>
          <w:bCs w:val="0"/>
          <w:color w:val="000000" w:themeColor="text1"/>
        </w:rPr>
        <w:t>a</w:t>
      </w:r>
      <w:r w:rsidRPr="00C719AD">
        <w:rPr>
          <w:b w:val="0"/>
          <w:bCs w:val="0"/>
          <w:color w:val="000000" w:themeColor="text1"/>
          <w:spacing w:val="1"/>
        </w:rPr>
        <w:t xml:space="preserve"> </w:t>
      </w:r>
      <w:r w:rsidRPr="00C719AD">
        <w:rPr>
          <w:b w:val="0"/>
          <w:bCs w:val="0"/>
          <w:color w:val="000000" w:themeColor="text1"/>
        </w:rPr>
        <w:t>2023</w:t>
      </w:r>
      <w:r w:rsidRPr="00C719AD">
        <w:rPr>
          <w:b w:val="0"/>
          <w:bCs w:val="0"/>
          <w:color w:val="000000" w:themeColor="text1"/>
          <w:spacing w:val="13"/>
        </w:rPr>
        <w:t xml:space="preserve"> e de </w:t>
      </w:r>
      <w:r w:rsidRPr="00C719AD">
        <w:rPr>
          <w:b w:val="0"/>
          <w:bCs w:val="0"/>
          <w:color w:val="000000" w:themeColor="text1"/>
        </w:rPr>
        <w:t>exclusão</w:t>
      </w:r>
      <w:r w:rsidRPr="00C719AD">
        <w:rPr>
          <w:b w:val="0"/>
          <w:bCs w:val="0"/>
          <w:color w:val="000000" w:themeColor="text1"/>
          <w:spacing w:val="12"/>
        </w:rPr>
        <w:t xml:space="preserve"> </w:t>
      </w:r>
      <w:r w:rsidRPr="00C719AD">
        <w:rPr>
          <w:b w:val="0"/>
          <w:bCs w:val="0"/>
          <w:color w:val="000000" w:themeColor="text1"/>
        </w:rPr>
        <w:t>estabelecidos</w:t>
      </w:r>
      <w:r w:rsidRPr="00C719AD">
        <w:rPr>
          <w:b w:val="0"/>
          <w:bCs w:val="0"/>
          <w:color w:val="000000" w:themeColor="text1"/>
          <w:spacing w:val="11"/>
        </w:rPr>
        <w:t xml:space="preserve"> </w:t>
      </w:r>
      <w:r w:rsidRPr="00C719AD">
        <w:rPr>
          <w:b w:val="0"/>
          <w:bCs w:val="0"/>
          <w:color w:val="000000" w:themeColor="text1"/>
        </w:rPr>
        <w:t>foram: indisponibilidade de acesso, publicações em mais de uma base de dados, resumo,</w:t>
      </w:r>
      <w:r w:rsidRPr="00C719AD">
        <w:rPr>
          <w:b w:val="0"/>
          <w:bCs w:val="0"/>
          <w:color w:val="000000" w:themeColor="text1"/>
          <w:spacing w:val="1"/>
        </w:rPr>
        <w:t xml:space="preserve"> </w:t>
      </w:r>
      <w:r w:rsidRPr="00C719AD">
        <w:rPr>
          <w:b w:val="0"/>
          <w:bCs w:val="0"/>
          <w:color w:val="000000" w:themeColor="text1"/>
        </w:rPr>
        <w:t>textos na forma de projetos, em outros idiomas, fora do recorte temporal definido nos</w:t>
      </w:r>
      <w:r w:rsidRPr="00C719AD">
        <w:rPr>
          <w:b w:val="0"/>
          <w:bCs w:val="0"/>
          <w:color w:val="000000" w:themeColor="text1"/>
          <w:spacing w:val="-64"/>
        </w:rPr>
        <w:t xml:space="preserve"> </w:t>
      </w:r>
      <w:r w:rsidRPr="00C719AD">
        <w:rPr>
          <w:b w:val="0"/>
          <w:bCs w:val="0"/>
          <w:color w:val="000000" w:themeColor="text1"/>
        </w:rPr>
        <w:t>critérios de inclusão e todos os artigos que não são articulados a temática. As</w:t>
      </w:r>
      <w:r w:rsidRPr="00C719AD">
        <w:rPr>
          <w:b w:val="0"/>
          <w:bCs w:val="0"/>
          <w:color w:val="000000" w:themeColor="text1"/>
          <w:spacing w:val="1"/>
        </w:rPr>
        <w:t xml:space="preserve"> </w:t>
      </w:r>
      <w:r w:rsidRPr="00C719AD">
        <w:rPr>
          <w:b w:val="0"/>
          <w:bCs w:val="0"/>
          <w:color w:val="000000" w:themeColor="text1"/>
        </w:rPr>
        <w:t>pesquisas foram encontradas nas seguintes bases de dados BDENF-Enfermagem;</w:t>
      </w:r>
      <w:r w:rsidRPr="00C719AD">
        <w:rPr>
          <w:b w:val="0"/>
          <w:bCs w:val="0"/>
          <w:color w:val="000000" w:themeColor="text1"/>
          <w:spacing w:val="1"/>
        </w:rPr>
        <w:t xml:space="preserve"> </w:t>
      </w:r>
      <w:r w:rsidRPr="00C719AD">
        <w:rPr>
          <w:b w:val="0"/>
          <w:bCs w:val="0"/>
          <w:color w:val="000000" w:themeColor="text1"/>
        </w:rPr>
        <w:t>LILACS</w:t>
      </w:r>
      <w:r w:rsidRPr="00C719AD">
        <w:rPr>
          <w:b w:val="0"/>
          <w:bCs w:val="0"/>
          <w:color w:val="000000" w:themeColor="text1"/>
          <w:spacing w:val="-6"/>
        </w:rPr>
        <w:t xml:space="preserve"> </w:t>
      </w:r>
      <w:r w:rsidRPr="00C719AD">
        <w:rPr>
          <w:b w:val="0"/>
          <w:bCs w:val="0"/>
          <w:color w:val="000000" w:themeColor="text1"/>
        </w:rPr>
        <w:t>e</w:t>
      </w:r>
      <w:r w:rsidRPr="00C719AD">
        <w:rPr>
          <w:b w:val="0"/>
          <w:bCs w:val="0"/>
          <w:color w:val="000000" w:themeColor="text1"/>
          <w:spacing w:val="1"/>
        </w:rPr>
        <w:t xml:space="preserve"> </w:t>
      </w:r>
      <w:r w:rsidRPr="00C719AD">
        <w:rPr>
          <w:b w:val="0"/>
          <w:bCs w:val="0"/>
          <w:color w:val="000000" w:themeColor="text1"/>
        </w:rPr>
        <w:t>MEDLINE. Optou-se</w:t>
      </w:r>
      <w:r w:rsidRPr="00C719AD">
        <w:rPr>
          <w:b w:val="0"/>
          <w:bCs w:val="0"/>
          <w:color w:val="000000" w:themeColor="text1"/>
          <w:spacing w:val="-64"/>
        </w:rPr>
        <w:t xml:space="preserve"> </w:t>
      </w:r>
      <w:r w:rsidRPr="00C719AD">
        <w:rPr>
          <w:b w:val="0"/>
          <w:bCs w:val="0"/>
          <w:color w:val="000000" w:themeColor="text1"/>
        </w:rPr>
        <w:t>pelos seguintes descritores: Atenção Primária à Saúde; Conhecimento; Gestantes.</w:t>
      </w:r>
    </w:p>
    <w:p w:rsidR="001C0076" w:rsidRPr="00C719AD" w:rsidRDefault="001C0076" w:rsidP="001C0076">
      <w:pPr>
        <w:pStyle w:val="Corpodetexto"/>
        <w:spacing w:after="160" w:line="360" w:lineRule="auto"/>
        <w:ind w:firstLine="709"/>
        <w:jc w:val="both"/>
        <w:rPr>
          <w:b w:val="0"/>
          <w:bCs w:val="0"/>
          <w:color w:val="000000" w:themeColor="text1"/>
        </w:rPr>
      </w:pPr>
      <w:r w:rsidRPr="00C719AD">
        <w:rPr>
          <w:b w:val="0"/>
          <w:bCs w:val="0"/>
          <w:color w:val="000000" w:themeColor="text1"/>
        </w:rPr>
        <w:t>Ressalta-se que, por se tratar de uma pesquisa que utiliza como fonte de</w:t>
      </w:r>
      <w:r w:rsidRPr="00C719AD">
        <w:rPr>
          <w:b w:val="0"/>
          <w:bCs w:val="0"/>
          <w:color w:val="000000" w:themeColor="text1"/>
          <w:spacing w:val="1"/>
        </w:rPr>
        <w:t xml:space="preserve"> </w:t>
      </w:r>
      <w:r w:rsidRPr="00C719AD">
        <w:rPr>
          <w:b w:val="0"/>
          <w:bCs w:val="0"/>
          <w:color w:val="000000" w:themeColor="text1"/>
        </w:rPr>
        <w:t>dados uma base secundária e de acesso público, não se faz necessário à aprovação</w:t>
      </w:r>
      <w:r w:rsidRPr="00C719AD">
        <w:rPr>
          <w:b w:val="0"/>
          <w:bCs w:val="0"/>
          <w:color w:val="000000" w:themeColor="text1"/>
          <w:spacing w:val="-64"/>
        </w:rPr>
        <w:t xml:space="preserve"> </w:t>
      </w:r>
      <w:r w:rsidRPr="00C719AD">
        <w:rPr>
          <w:b w:val="0"/>
          <w:bCs w:val="0"/>
          <w:color w:val="000000" w:themeColor="text1"/>
        </w:rPr>
        <w:t>de</w:t>
      </w:r>
      <w:r w:rsidRPr="00C719AD">
        <w:rPr>
          <w:b w:val="0"/>
          <w:bCs w:val="0"/>
          <w:color w:val="000000" w:themeColor="text1"/>
          <w:spacing w:val="-1"/>
        </w:rPr>
        <w:t xml:space="preserve"> </w:t>
      </w:r>
      <w:r w:rsidRPr="00C719AD">
        <w:rPr>
          <w:b w:val="0"/>
          <w:bCs w:val="0"/>
          <w:color w:val="000000" w:themeColor="text1"/>
        </w:rPr>
        <w:t>um Comitê</w:t>
      </w:r>
      <w:r w:rsidRPr="00C719AD">
        <w:rPr>
          <w:b w:val="0"/>
          <w:bCs w:val="0"/>
          <w:color w:val="000000" w:themeColor="text1"/>
          <w:spacing w:val="-4"/>
        </w:rPr>
        <w:t xml:space="preserve"> </w:t>
      </w:r>
      <w:r w:rsidRPr="00C719AD">
        <w:rPr>
          <w:b w:val="0"/>
          <w:bCs w:val="0"/>
          <w:color w:val="000000" w:themeColor="text1"/>
        </w:rPr>
        <w:t>de</w:t>
      </w:r>
      <w:r w:rsidRPr="00C719AD">
        <w:rPr>
          <w:b w:val="0"/>
          <w:bCs w:val="0"/>
          <w:color w:val="000000" w:themeColor="text1"/>
          <w:spacing w:val="-3"/>
        </w:rPr>
        <w:t xml:space="preserve"> </w:t>
      </w:r>
      <w:r w:rsidRPr="00C719AD">
        <w:rPr>
          <w:b w:val="0"/>
          <w:bCs w:val="0"/>
          <w:color w:val="000000" w:themeColor="text1"/>
        </w:rPr>
        <w:t>Ética</w:t>
      </w:r>
      <w:r w:rsidRPr="00C719AD">
        <w:rPr>
          <w:b w:val="0"/>
          <w:bCs w:val="0"/>
          <w:color w:val="000000" w:themeColor="text1"/>
          <w:spacing w:val="-4"/>
        </w:rPr>
        <w:t xml:space="preserve"> </w:t>
      </w:r>
      <w:r w:rsidRPr="00C719AD">
        <w:rPr>
          <w:b w:val="0"/>
          <w:bCs w:val="0"/>
          <w:color w:val="000000" w:themeColor="text1"/>
        </w:rPr>
        <w:t>em</w:t>
      </w:r>
      <w:r w:rsidRPr="00C719AD">
        <w:rPr>
          <w:b w:val="0"/>
          <w:bCs w:val="0"/>
          <w:color w:val="000000" w:themeColor="text1"/>
          <w:spacing w:val="-1"/>
        </w:rPr>
        <w:t xml:space="preserve"> </w:t>
      </w:r>
      <w:r w:rsidRPr="00C719AD">
        <w:rPr>
          <w:b w:val="0"/>
          <w:bCs w:val="0"/>
          <w:color w:val="000000" w:themeColor="text1"/>
        </w:rPr>
        <w:t>Pesquisa</w:t>
      </w:r>
      <w:r w:rsidRPr="00C719AD">
        <w:rPr>
          <w:b w:val="0"/>
          <w:bCs w:val="0"/>
          <w:color w:val="000000" w:themeColor="text1"/>
          <w:spacing w:val="-3"/>
        </w:rPr>
        <w:t xml:space="preserve"> </w:t>
      </w:r>
      <w:r w:rsidRPr="00C719AD">
        <w:rPr>
          <w:b w:val="0"/>
          <w:bCs w:val="0"/>
          <w:color w:val="000000" w:themeColor="text1"/>
        </w:rPr>
        <w:t>para</w:t>
      </w:r>
      <w:r w:rsidRPr="00C719AD">
        <w:rPr>
          <w:b w:val="0"/>
          <w:bCs w:val="0"/>
          <w:color w:val="000000" w:themeColor="text1"/>
          <w:spacing w:val="-4"/>
        </w:rPr>
        <w:t xml:space="preserve"> </w:t>
      </w:r>
      <w:r w:rsidRPr="00C719AD">
        <w:rPr>
          <w:b w:val="0"/>
          <w:bCs w:val="0"/>
          <w:color w:val="000000" w:themeColor="text1"/>
        </w:rPr>
        <w:t>a</w:t>
      </w:r>
      <w:r w:rsidRPr="00C719AD">
        <w:rPr>
          <w:b w:val="0"/>
          <w:bCs w:val="0"/>
          <w:color w:val="000000" w:themeColor="text1"/>
          <w:spacing w:val="-1"/>
        </w:rPr>
        <w:t xml:space="preserve"> </w:t>
      </w:r>
      <w:r w:rsidRPr="00C719AD">
        <w:rPr>
          <w:b w:val="0"/>
          <w:bCs w:val="0"/>
          <w:color w:val="000000" w:themeColor="text1"/>
        </w:rPr>
        <w:t>realização</w:t>
      </w:r>
      <w:r w:rsidRPr="00C719AD">
        <w:rPr>
          <w:b w:val="0"/>
          <w:bCs w:val="0"/>
          <w:color w:val="000000" w:themeColor="text1"/>
          <w:spacing w:val="-2"/>
        </w:rPr>
        <w:t xml:space="preserve"> </w:t>
      </w:r>
      <w:r w:rsidRPr="00C719AD">
        <w:rPr>
          <w:b w:val="0"/>
          <w:bCs w:val="0"/>
          <w:color w:val="000000" w:themeColor="text1"/>
        </w:rPr>
        <w:t>do</w:t>
      </w:r>
      <w:r w:rsidRPr="00C719AD">
        <w:rPr>
          <w:b w:val="0"/>
          <w:bCs w:val="0"/>
          <w:color w:val="000000" w:themeColor="text1"/>
          <w:spacing w:val="-2"/>
        </w:rPr>
        <w:t xml:space="preserve"> </w:t>
      </w:r>
      <w:r w:rsidRPr="00C719AD">
        <w:rPr>
          <w:b w:val="0"/>
          <w:bCs w:val="0"/>
          <w:color w:val="000000" w:themeColor="text1"/>
        </w:rPr>
        <w:t>estudo.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0076" w:rsidRPr="00C719AD" w:rsidRDefault="001C0076" w:rsidP="001C0076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RESULTADOS E DISCUSSÃO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 vacinação em gestantes acontece em um momento de vulnerabilidade e preocupação da mulher, ao passo que, ela se sente responsável pela saúde e bem-estar do feto que está gestando (SILVA </w:t>
      </w:r>
      <w:r w:rsidRPr="00C719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al.,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2021).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Corrobora-se que gestantes que possuem maior número de consultas de pré-natal, apresentam menores proporções de ausência de vacinação e maior prevalência de registro de vacina recombinante para hepatite B., portanto, foi possível inferir que as gestantes que não trabalham e possuem baixa renda, são menos expostas à informação e não priorizam o pré-natal e consequentemente têm baixa adesão vacinal. Logo, as desigualdades sociais interferem na cobertura vacinal (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BITTENCOURT</w:t>
      </w:r>
      <w:r w:rsidRPr="00C719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et al.,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2020).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fatores que interferem na cobertura vacinal das gestantes de alto risco do município pesquisado em: desconhecimento das vacinas recebidas, dificuldade em compreender a importância da vacinação, conhecimento sobre a importância da vacinação somente para o bebê, conhecimento das vacinas recebidas e a presença de dificuldades no ato de vacinação (LEITE </w:t>
      </w:r>
      <w:r w:rsidRPr="00C719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et al., 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2020).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Evidenciou-se a presença de questionamentos das gestantes sobre a eficácia e veracidade da vacina Influenza. As pacientes relataram receio e desconfiança em relação a vacina, justificando a baixa adesão a vacina H1n1 naquele momento. Isso destaca o déficit de informação e presença de falhas na orientação dada pelos profissionais de saúde às gestantes (SILVA </w:t>
      </w:r>
      <w:r w:rsidRPr="00C719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al.,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2021).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0076" w:rsidRPr="00C719AD" w:rsidRDefault="001C0076" w:rsidP="001C0076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 CONCLUSÃO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Pode-se concluir a partir dos estudos analisados que a reduzida qualificação dos profissionais que realizam as consultas de pré-natal sobre o calendário vacinal resulta na baixa adesão vacinal das gestantes. Com isso, pode aumentar os índices de infecções evitáveis em gestantes e em bebês.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Para isso, é necessário que os profissionais busquem conhecimento acerca do assunto, procurando aprimorar as orientações fornecidas às gestantes. E ainda, é importante que as instituições de saúde ofereçam cursos e capacitações aos profissionais facilitando a atualizações dos mesmos sobre o tema.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Ainda, percebeu-se na revisão dos estudos que a inserção da mulher do mercado de trabalho pode influenciar positivamente na cobertura vacinal devido ao maior nível de 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escolaridade e compreensão dessas gestantes, comparado àquelas que não trabalham. Porém, pode ser um fator negativo, quando essas mulheres não são liberadas para a consulta de pré-natal. 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disso, é preciso que o profissional estabeleça estratégias de educação em saúde, a fim de que as gestantes com nível de conhecimento inferior e aquelas que tem baixa adesão as consultas entendam a importância da vacinação. 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Portanto, é de suma importância a orientação qualificada sobre vacinação das gestantes. Isso porque quando a mulher é consciente sobre o impacto da imunização sobre a sua saúde durante a gestação, esse entendimento se perpetuará quando o bebê nascer, levando ao aumento da cobertura vacinal do país. </w:t>
      </w: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0076" w:rsidRPr="00C719AD" w:rsidRDefault="001C0076" w:rsidP="001C00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REFERÊNCIAS </w:t>
      </w:r>
    </w:p>
    <w:p w:rsidR="001C0076" w:rsidRPr="00C719AD" w:rsidRDefault="001C0076" w:rsidP="001C0076">
      <w:pPr>
        <w:pStyle w:val="LO-normal"/>
        <w:spacing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BARDIN, L. Análise de Conteúdo.1° ed. São Paulo: Edições 70, 2011.</w:t>
      </w:r>
    </w:p>
    <w:p w:rsidR="001C0076" w:rsidRPr="00C719AD" w:rsidRDefault="001C0076" w:rsidP="001C0076">
      <w:pPr>
        <w:pStyle w:val="LO-normal"/>
        <w:spacing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_Hlk135433043"/>
      <w:r w:rsidRPr="00C71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BITTENCOURT</w:t>
      </w:r>
      <w:bookmarkEnd w:id="4"/>
      <w:r w:rsidRPr="00C71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S. D. D. A.; CUNHA, E. M.; DOMINGUES, R. M. S. M.; SILVA, B. A. S.; DIAS, M. A. B.; TORRES, J. A.; LEAL, M. D. C. Nascer no Brasil: continuidade do cuidado na gestação e pós-parto à mulher e ao recém-nato. </w:t>
      </w:r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Revista de Saúde Pública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54, p. 100, 2020.</w:t>
      </w:r>
    </w:p>
    <w:p w:rsidR="001C0076" w:rsidRPr="00C719AD" w:rsidRDefault="001C0076" w:rsidP="001C007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COSTA, L. C.; SANTOS, R. L.; BRINGEL, L. S.; BASTOS, A.; SANTOS, M. M.; FILHO, E. P.; BATISTA, R. F. L. Atenção Básica à Saúde: uma comparação entre a atenção pré-natal na Unidade de Saúde da Família e os serviços tradicionais. </w:t>
      </w:r>
      <w:proofErr w:type="spellStart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Brazilian</w:t>
      </w:r>
      <w:proofErr w:type="spellEnd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Journal</w:t>
      </w:r>
      <w:proofErr w:type="spellEnd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Health </w:t>
      </w:r>
      <w:proofErr w:type="spellStart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Research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23, n. 1, p. 79-86, 2021.</w:t>
      </w:r>
    </w:p>
    <w:p w:rsidR="001C0076" w:rsidRPr="00C719AD" w:rsidRDefault="001C0076" w:rsidP="001C0076">
      <w:pPr>
        <w:pStyle w:val="LO-normal"/>
        <w:spacing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C719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FLICK, U. Desenho da pesquisa qualitativa. </w:t>
      </w:r>
      <w:r w:rsidRPr="00C7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Porto Alegre: </w:t>
      </w:r>
      <w:proofErr w:type="spellStart"/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Artmed</w:t>
      </w:r>
      <w:proofErr w:type="spellEnd"/>
      <w:r w:rsidRPr="00C71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,</w:t>
      </w:r>
      <w:r w:rsidRPr="00C7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2009.</w:t>
      </w:r>
    </w:p>
    <w:p w:rsidR="001C0076" w:rsidRPr="00C719AD" w:rsidRDefault="001C0076" w:rsidP="001C007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LEITE, R. D. Desfechos maternos e infantis após a exposição à vacina. </w:t>
      </w:r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Presente e futuro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p. 34, 2020.</w:t>
      </w:r>
    </w:p>
    <w:p w:rsidR="001C0076" w:rsidRPr="00C719AD" w:rsidRDefault="001C0076" w:rsidP="001C007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MENDES, K. S.; SILVEIRA, R. C. C.; GALVÃO, C. M. Revisão integrativa: método de pesquisa para a incorporação de evidências na saúde e na enfermagem. </w:t>
      </w:r>
      <w:r w:rsidRPr="00C719AD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Texto Contexto </w:t>
      </w:r>
      <w:proofErr w:type="spellStart"/>
      <w:r w:rsidRPr="00C719AD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Enferm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Florianópolis, v. 4, n. 17, p. 758-764, 2008.</w:t>
      </w:r>
    </w:p>
    <w:p w:rsidR="001C0076" w:rsidRPr="00C719AD" w:rsidRDefault="001C0076" w:rsidP="001C007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GOMES, A. T.; MARQUES, J. S.; OLIVEIRA, M. M.; LEAL, S. R. M.; BRANDÃO, S. A. D. S. M. Metodologias ativas como instrumento para um olhar sensível e acolhedor sobre a importância da vacinação em adolescentes. </w:t>
      </w:r>
      <w:proofErr w:type="spellStart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Research</w:t>
      </w:r>
      <w:proofErr w:type="spellEnd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Society</w:t>
      </w:r>
      <w:proofErr w:type="spellEnd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Development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9, n. 5, p. e79953131-e79953131, 2020.</w:t>
      </w:r>
    </w:p>
    <w:p w:rsidR="001C0076" w:rsidRPr="00C719AD" w:rsidRDefault="001C0076" w:rsidP="001C007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OLIVEIRA, V. C. D.; TAVARES, L. O. D. M.; MAFORTE, N. T. P.; SILVA, L. N. L. R.; RENNO, H. M. S.; AMARAL, G. G.; VEIGAS, S. M. D. F. A percepção da equipe de enfermagem sobre a segurança do paciente em sala de vacinação. </w:t>
      </w:r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Revista </w:t>
      </w:r>
      <w:proofErr w:type="spellStart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Cuidarte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10, n. 1, 2019.</w:t>
      </w:r>
    </w:p>
    <w:p w:rsidR="001C0076" w:rsidRPr="00C719AD" w:rsidRDefault="001C0076" w:rsidP="001C007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PEREIRA, M. A. D.; LIMA, B. C. D.; DONNINI, D. A.; OLIVEIRA, V. C. D.; GONTIJO, T. L.; RENNO, H. M. S. Gerenciamento de enfermagem em sala de vacina: desafios e potencialidades. </w:t>
      </w:r>
      <w:proofErr w:type="spellStart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</w:t>
      </w:r>
      <w:proofErr w:type="spellEnd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Enferm</w:t>
      </w:r>
      <w:proofErr w:type="spellEnd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UFSM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9, n. 32, p. 1-18, 2019.</w:t>
      </w:r>
    </w:p>
    <w:p w:rsidR="001C0076" w:rsidRPr="00C719AD" w:rsidRDefault="001C0076" w:rsidP="001C007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SILVA, C. R. D.; LORD, V. O.; ELIZANDRO, D. P.; KOWALSKI, T. W. Perfil de imunização na gestação desde a H1N1 em Cachoeirinha: um levantamento a partir dos dados disponíveis no DATASUS. </w:t>
      </w:r>
      <w:proofErr w:type="spellStart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Clinical</w:t>
      </w:r>
      <w:proofErr w:type="spellEnd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biomedical</w:t>
      </w:r>
      <w:proofErr w:type="spellEnd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research</w:t>
      </w:r>
      <w:proofErr w:type="spellEnd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 Porto Alegre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2021.</w:t>
      </w:r>
    </w:p>
    <w:p w:rsidR="00C338CC" w:rsidRPr="001C0076" w:rsidRDefault="001C0076" w:rsidP="001C007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SILVA, M. R. B.; OLIVEIRA, R. B.; ARMADA, H. C. D.; MEDEIROS, C. D. S.; CUNHA, A. L.; MESSIAS, C. M. Imunização: o conhecimento e práticas dos profissionais de enfermagem na sala de vacina. </w:t>
      </w:r>
      <w:proofErr w:type="spellStart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Nursing</w:t>
      </w:r>
      <w:proofErr w:type="spellEnd"/>
      <w:r w:rsidRPr="00C71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(São Paulo)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23, n. 260, p. 3533-3536, 2020.</w:t>
      </w:r>
    </w:p>
    <w:sectPr w:rsidR="00C338CC" w:rsidRPr="001C0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6"/>
    <w:rsid w:val="001C0076"/>
    <w:rsid w:val="00C3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25B7"/>
  <w15:chartTrackingRefBased/>
  <w15:docId w15:val="{8B9DF60C-E036-4385-9569-79A9379E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C007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C00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uiPriority w:val="22"/>
    <w:qFormat/>
    <w:rsid w:val="001C0076"/>
    <w:rPr>
      <w:b/>
      <w:bCs/>
    </w:rPr>
  </w:style>
  <w:style w:type="paragraph" w:customStyle="1" w:styleId="LO-normal">
    <w:name w:val="LO-normal"/>
    <w:qFormat/>
    <w:rsid w:val="001C0076"/>
    <w:pPr>
      <w:suppressAutoHyphens/>
      <w:spacing w:after="200" w:line="276" w:lineRule="auto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2432</Words>
  <Characters>13133</Characters>
  <Application>Microsoft Office Word</Application>
  <DocSecurity>0</DocSecurity>
  <Lines>109</Lines>
  <Paragraphs>31</Paragraphs>
  <ScaleCrop>false</ScaleCrop>
  <Company/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2023-06-22T21:09:00Z</dcterms:created>
  <dcterms:modified xsi:type="dcterms:W3CDTF">2023-06-22T21:10:00Z</dcterms:modified>
</cp:coreProperties>
</file>