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sz w:val="26"/>
          <w:szCs w:val="26"/>
          <w:rtl w:val="0"/>
        </w:rPr>
        <w:t xml:space="preserve">UTILIZAÇÃO DE TENÉBRIOS EM AULA DE GENÉTICA COMO FERRAMENTA DIDÁTICA PARA ESTUDO DE EXPRESSÃO GÊNICA E ADAPTAÇÃO MICROBIANA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Aldenor Vinicius Rocha Teixeira  Universidade do Estado do Amazonas –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avrt.bio20@uea.edu.br</w:t>
        </w:r>
      </w:hyperlink>
      <w:r w:rsidDel="00000000" w:rsidR="00000000" w:rsidRPr="00000000">
        <w:rPr>
          <w:b w:val="1"/>
          <w:color w:val="222a35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Keven Sobreira Ferreira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right"/>
        <w:rPr>
          <w:b w:val="1"/>
          <w:color w:val="222a35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kevensobreira@gmail.com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Carolina Cecília Carvalho Nogueira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ccnogueira@uea.edu.br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Jhon Weiner de Castro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jwcastro@uea.edu.br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Lucianny Thaís Freire Matias</w:t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right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luciannythais@gmail.com</w:t>
      </w:r>
    </w:p>
    <w:p w:rsidR="00000000" w:rsidDel="00000000" w:rsidP="00000000" w:rsidRDefault="00000000" w:rsidRPr="00000000" w14:paraId="0000000E">
      <w:pPr>
        <w:spacing w:after="5" w:line="240" w:lineRule="auto"/>
        <w:ind w:left="6986" w:right="19" w:firstLine="123.99999999999977"/>
        <w:jc w:val="both"/>
        <w:rPr>
          <w:b w:val="1"/>
          <w:color w:val="222a35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Eixo 1 – Inovação, Educação Especial e Inclusão em contextos amazônicos: explorar metodologias; processos educativos inovadores; experiências, práticas; tecnologias em espaços educacionais amazônicos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 Palavras chave – Ensino de Ciências,Genética,Expressão gênica,Tenébrio (Tenebrio molitor),Metodologia ativa,Bactérias simbiontes,Experimentação didática</w:t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INTRODUÇÃO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O uso de metodologias experimentais no ensino de Ciências tem se mostrado essencial para tornar o aprendizado mais significativo, dinâmico e eficaz. A experimentação, mesmo quando realizada de forma simplificada em sala de aula, contribui diretamente para a compreensão de conceitos abstratos e o desenvolvimento do pensamento científico. Segundo Moraes (2015), os experimentos didáticos são ferramentas poderosas no ensino, facilitando a aproximação do aluno com os conteúdos. Além disso, como afirmam Santos (2014) e Santos (2016), o uso de práticas experimentais estimula o interesse dos estudantes e favorece a compreensão dos fenômenos naturais. Com base nesses princípios, foi desenvolvida uma aula prática sobre Genética, utilizando larvas de tenébrios como objeto de estudo.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OBJETIVO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O objetivo da atividade foi observar, de forma prática, a ativação de genes bacterianos simbiontes nos tenébrios (</w:t>
      </w:r>
      <w:r w:rsidDel="00000000" w:rsidR="00000000" w:rsidRPr="00000000">
        <w:rPr>
          <w:i w:val="1"/>
          <w:color w:val="222a35"/>
          <w:rtl w:val="0"/>
        </w:rPr>
        <w:t xml:space="preserve">Tenebrio molitor</w:t>
      </w:r>
      <w:r w:rsidDel="00000000" w:rsidR="00000000" w:rsidRPr="00000000">
        <w:rPr>
          <w:color w:val="222a35"/>
          <w:rtl w:val="0"/>
        </w:rPr>
        <w:t xml:space="preserve">), responsáveis pela produção de enzimas decompositoras, a partir da alteração do ambiente alimentar dos organismos. A proposta buscava integrar conteúdos de Genética, Microbiologia e Ecologia, permitindo que os alunos compreendessem como fatores ambientais influenciam a expressão gênica.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METODOLOGIA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Os tenébrios foram distribuídos em três grupos distintos: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• Grupo Controle</w:t>
      </w:r>
      <w:r w:rsidDel="00000000" w:rsidR="00000000" w:rsidRPr="00000000">
        <w:rPr>
          <w:color w:val="222a35"/>
          <w:rtl w:val="0"/>
        </w:rPr>
        <w:t xml:space="preserve">: alimentado com grãos e sementes (amendoim, milho, aveia), fornecendo uma dieta natural e conhecida.</w:t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• Grupo Isopor</w:t>
      </w:r>
      <w:r w:rsidDel="00000000" w:rsidR="00000000" w:rsidRPr="00000000">
        <w:rPr>
          <w:color w:val="222a35"/>
          <w:rtl w:val="0"/>
        </w:rPr>
        <w:t xml:space="preserve">: alimentado exclusivamente com pedaços de isopor.</w:t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• Grupo Plástico</w:t>
      </w:r>
      <w:r w:rsidDel="00000000" w:rsidR="00000000" w:rsidRPr="00000000">
        <w:rPr>
          <w:color w:val="222a35"/>
          <w:rtl w:val="0"/>
        </w:rPr>
        <w:t xml:space="preserve">: alimentado com fragmentos de plástico como única fonte de nutrição.</w:t>
      </w:r>
    </w:p>
    <w:p w:rsidR="00000000" w:rsidDel="00000000" w:rsidP="00000000" w:rsidRDefault="00000000" w:rsidRPr="00000000" w14:paraId="0000001B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A presença do grupo controle foi essencial para fornecer uma base comparativa, avaliando o comportamento normal dos tenébrios diante de uma dieta adequada. Os alunos acompanharam o comportamento dos insetos durante uma semana. Após esse período, um tenébrio do grupo isopor foi dissecado, e seu conteúdo intestinal foi inoculado em uma placa de Petri com meio BDA (Batata-Dextrose-Ágar), com o objetivo de observar o crescimento de possíveis bactérias simbiontes ativadas.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RESULTADOS E DISCUSSÃO</w:t>
      </w:r>
    </w:p>
    <w:p w:rsidR="00000000" w:rsidDel="00000000" w:rsidP="00000000" w:rsidRDefault="00000000" w:rsidRPr="00000000" w14:paraId="0000001D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Durante o experimento, foi observado que os tenébrios do grupo controle e do grupo isopor permaneceram ativos, apresentando comportamento alimentar normal. O grupo isopor indicou que os tenébrios foram capazes de consumir esse material, sugerindo uma possível ativação de bactérias simbiontes produtoras de enzimas digestivas específicas.</w:t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color w:val="222a35"/>
        </w:rPr>
      </w:pPr>
      <w:r w:rsidDel="00000000" w:rsidR="00000000" w:rsidRPr="00000000">
        <w:rPr>
          <w:color w:val="222a35"/>
          <w:rtl w:val="0"/>
        </w:rPr>
        <w:t xml:space="preserve">O grupo plástico, por outro lado, apresentou comportamento distinto. Muitos tenébrios morreram ou ficaram imóveis, demonstrando sinais de estresse alimentar. Aqueles que sobreviveram o fizeram por meio de </w:t>
      </w:r>
      <w:r w:rsidDel="00000000" w:rsidR="00000000" w:rsidRPr="00000000">
        <w:rPr>
          <w:b w:val="1"/>
          <w:color w:val="222a35"/>
          <w:rtl w:val="0"/>
        </w:rPr>
        <w:t xml:space="preserve">canibalismo</w:t>
      </w:r>
      <w:r w:rsidDel="00000000" w:rsidR="00000000" w:rsidRPr="00000000">
        <w:rPr>
          <w:color w:val="222a35"/>
          <w:rtl w:val="0"/>
        </w:rPr>
        <w:t xml:space="preserve">, alimentando-se de outros indivíduos mortos. Essa resposta extrema sugere que o plástico não é um substrato viável para a nutrição dos tenébrios e que as bactérias simbiontes não conseguiram metabolizá-lo adequadamente. A inoculação do conteúdo intestinal em meio BDA permitiu iniciar o crescimento bacteriano, estimulando a discussão sobre as possibilidades biotecnológicas dessas bactérias.</w:t>
      </w:r>
    </w:p>
    <w:p w:rsidR="00000000" w:rsidDel="00000000" w:rsidP="00000000" w:rsidRDefault="00000000" w:rsidRPr="00000000" w14:paraId="0000001F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CONCLUSÃO</w:t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b w:val="1"/>
          <w:color w:val="222a35"/>
        </w:rPr>
      </w:pPr>
      <w:r w:rsidDel="00000000" w:rsidR="00000000" w:rsidRPr="00000000">
        <w:rPr>
          <w:color w:val="222a35"/>
          <w:rtl w:val="0"/>
        </w:rPr>
        <w:t xml:space="preserve">A aula permitiu aos alunos vivenciarem, na prática, como o ambiente influencia a expressão gênica, contribuindo para a compreensão de conceitos-chave em Genética. O uso dos tenébrios como modelo biológico, aliado à observação direta e à manipulação de variáveis experimentais, promoveu o engajamento dos estudantes e o desenvolvimento do pensamento científico. Os resultados reforçam a importância da experimentação no ensino de Ciências, como defendem Moraes (2015), Santos (2014) e Santos (2016), e indicam o potencial de atividades simples, porém bem estruturadas, para enriquecer o processo de ensino-aprendizagem</w:t>
      </w:r>
      <w:r w:rsidDel="00000000" w:rsidR="00000000" w:rsidRPr="00000000">
        <w:rPr>
          <w:color w:val="222a35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Referências Bibliográficas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br w:type="textWrapping"/>
        <w:t xml:space="preserve">MORAES, José Uibson Pereira; SILVA JUNIOR, Romualdo S. Experimentos didáticos no ensino de física com foco na aprendizagem significativa. Latin-American Journal of Physics Education, v. 9, n. 2, p. 2504-1, 2015.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color w:val="222a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SANTOS, Keila Pereira dos. A importância de experimentos para ensinar ciências no ensino fundamental. 2014.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color w:val="222a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color w:val="222a35"/>
        </w:rPr>
      </w:pPr>
      <w:r w:rsidDel="00000000" w:rsidR="00000000" w:rsidRPr="00000000">
        <w:rPr>
          <w:b w:val="1"/>
          <w:color w:val="222a35"/>
          <w:rtl w:val="0"/>
        </w:rPr>
        <w:t xml:space="preserve">SANTOS, Geciane Aparecida Rosa dos. A importância do uso de experimentos no ensino de ciências. Trabalho de Conclusão de Curso (Licenciatura em Ciências Biológicas)-Instituto de Biologia, Universidade Federal do Rio de Janeiro, Rio de Janeiro, 2016.</w:t>
      </w:r>
    </w:p>
    <w:p w:rsidR="00000000" w:rsidDel="00000000" w:rsidP="00000000" w:rsidRDefault="00000000" w:rsidRPr="00000000" w14:paraId="00000028">
      <w:pPr>
        <w:spacing w:line="360" w:lineRule="auto"/>
        <w:rPr>
          <w:b w:val="1"/>
          <w:color w:val="222a35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0" w:top="2549" w:left="1699" w:right="113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-1081402</wp:posOffset>
          </wp:positionH>
          <wp:positionV relativeFrom="paragraph">
            <wp:posOffset>-3945682</wp:posOffset>
          </wp:positionV>
          <wp:extent cx="7557831" cy="515033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-1104059</wp:posOffset>
          </wp:positionH>
          <wp:positionV relativeFrom="paragraph">
            <wp:posOffset>-440051</wp:posOffset>
          </wp:positionV>
          <wp:extent cx="7626753" cy="56031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2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avrt.bio20@uea.edu.br" TargetMode="External"/><Relationship Id="rId7" Type="http://schemas.openxmlformats.org/officeDocument/2006/relationships/hyperlink" Target="mailto:kevensobreira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