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2D5C" w14:textId="77777777" w:rsidR="004B4AF1" w:rsidRDefault="004B4AF1" w:rsidP="0019423C">
      <w:pPr>
        <w:jc w:val="center"/>
        <w:rPr>
          <w:b/>
          <w:sz w:val="24"/>
          <w:szCs w:val="24"/>
        </w:rPr>
      </w:pPr>
    </w:p>
    <w:p w14:paraId="57A748DC" w14:textId="5D2E86AC" w:rsidR="004B4AF1" w:rsidRDefault="001C5237" w:rsidP="004B4AF1">
      <w:pPr>
        <w:jc w:val="center"/>
        <w:rPr>
          <w:b/>
          <w:sz w:val="24"/>
          <w:szCs w:val="24"/>
        </w:rPr>
      </w:pPr>
      <w:r w:rsidRPr="004B4AF1">
        <w:rPr>
          <w:b/>
          <w:sz w:val="24"/>
          <w:szCs w:val="24"/>
        </w:rPr>
        <w:t>ANÁLISE DA COLETA DE RESÍDUOS EM CLÍNICAS ODONTOLÓGICAS</w:t>
      </w:r>
    </w:p>
    <w:p w14:paraId="5C3C83DB" w14:textId="77777777" w:rsidR="003C1585" w:rsidRPr="004B4AF1" w:rsidRDefault="003C1585" w:rsidP="004B4AF1">
      <w:pPr>
        <w:jc w:val="center"/>
        <w:rPr>
          <w:b/>
          <w:sz w:val="24"/>
          <w:szCs w:val="24"/>
        </w:rPr>
      </w:pPr>
    </w:p>
    <w:p w14:paraId="2368260D" w14:textId="77777777" w:rsidR="00216054" w:rsidRPr="004B4AF1" w:rsidRDefault="00216054" w:rsidP="00216054">
      <w:pPr>
        <w:jc w:val="center"/>
        <w:rPr>
          <w:b/>
          <w:sz w:val="24"/>
          <w:szCs w:val="24"/>
        </w:rPr>
      </w:pPr>
    </w:p>
    <w:p w14:paraId="64EBBB03" w14:textId="11756EC9" w:rsidR="00D9502E" w:rsidRPr="00D9502E" w:rsidRDefault="001C5237" w:rsidP="00D9502E">
      <w:pPr>
        <w:shd w:val="clear" w:color="auto" w:fill="FFFFFF"/>
        <w:tabs>
          <w:tab w:val="left" w:pos="2500"/>
        </w:tabs>
        <w:jc w:val="center"/>
        <w:rPr>
          <w:color w:val="FF0000"/>
          <w:sz w:val="24"/>
          <w:szCs w:val="24"/>
        </w:rPr>
      </w:pPr>
      <w:r w:rsidRPr="004B4AF1">
        <w:rPr>
          <w:bCs/>
          <w:color w:val="000000"/>
          <w:sz w:val="24"/>
          <w:szCs w:val="24"/>
        </w:rPr>
        <w:t>Mariana Freitas Dantas</w:t>
      </w:r>
      <w:r w:rsidR="00F21DAB">
        <w:rPr>
          <w:bCs/>
          <w:color w:val="000000"/>
          <w:sz w:val="24"/>
          <w:szCs w:val="24"/>
        </w:rPr>
        <w:t>¹</w:t>
      </w:r>
      <w:r w:rsidR="007B5B42">
        <w:rPr>
          <w:bCs/>
          <w:color w:val="000000"/>
          <w:sz w:val="24"/>
          <w:szCs w:val="24"/>
        </w:rPr>
        <w:t>; ²</w:t>
      </w:r>
      <w:r w:rsidR="007B5B42" w:rsidRPr="004B4AF1">
        <w:rPr>
          <w:bCs/>
          <w:color w:val="000000"/>
          <w:sz w:val="24"/>
          <w:szCs w:val="24"/>
        </w:rPr>
        <w:t>Thais da Silva Santiago</w:t>
      </w:r>
      <w:r w:rsidR="007B5B42">
        <w:rPr>
          <w:bCs/>
          <w:color w:val="000000"/>
          <w:sz w:val="24"/>
          <w:szCs w:val="24"/>
        </w:rPr>
        <w:t>;</w:t>
      </w:r>
      <w:r w:rsidR="00DB745D">
        <w:rPr>
          <w:bCs/>
          <w:color w:val="000000"/>
          <w:sz w:val="24"/>
          <w:szCs w:val="24"/>
        </w:rPr>
        <w:t xml:space="preserve"> </w:t>
      </w:r>
      <w:r w:rsidR="001925F0">
        <w:rPr>
          <w:bCs/>
          <w:color w:val="000000"/>
          <w:sz w:val="24"/>
          <w:szCs w:val="24"/>
        </w:rPr>
        <w:t>³</w:t>
      </w:r>
      <w:r w:rsidR="00DB745D" w:rsidRPr="004B4AF1">
        <w:rPr>
          <w:bCs/>
          <w:sz w:val="24"/>
          <w:szCs w:val="24"/>
        </w:rPr>
        <w:t>Girlane Mota Rodrigues</w:t>
      </w:r>
      <w:r w:rsidR="003764EB">
        <w:rPr>
          <w:bCs/>
          <w:sz w:val="24"/>
          <w:szCs w:val="24"/>
        </w:rPr>
        <w:t xml:space="preserve">; </w:t>
      </w:r>
      <w:r w:rsidR="000605EB">
        <w:rPr>
          <w:sz w:val="24"/>
          <w:szCs w:val="24"/>
          <w:vertAlign w:val="superscript"/>
        </w:rPr>
        <w:t>4</w:t>
      </w:r>
      <w:r w:rsidR="003764EB" w:rsidRPr="004B4AF1">
        <w:rPr>
          <w:bCs/>
          <w:sz w:val="24"/>
          <w:szCs w:val="24"/>
        </w:rPr>
        <w:t xml:space="preserve">Kailany Oliveira de </w:t>
      </w:r>
      <w:r w:rsidR="000605EB" w:rsidRPr="004B4AF1">
        <w:rPr>
          <w:bCs/>
          <w:sz w:val="24"/>
          <w:szCs w:val="24"/>
        </w:rPr>
        <w:t>Brito</w:t>
      </w:r>
      <w:r w:rsidR="000605EB">
        <w:rPr>
          <w:bCs/>
          <w:sz w:val="24"/>
          <w:szCs w:val="24"/>
        </w:rPr>
        <w:t xml:space="preserve">; </w:t>
      </w:r>
      <w:r w:rsidR="000605EB">
        <w:rPr>
          <w:sz w:val="24"/>
          <w:szCs w:val="24"/>
          <w:vertAlign w:val="superscript"/>
        </w:rPr>
        <w:t>5</w:t>
      </w:r>
      <w:r w:rsidR="000605EB" w:rsidRPr="00D9502E">
        <w:rPr>
          <w:bCs/>
          <w:sz w:val="24"/>
          <w:szCs w:val="24"/>
        </w:rPr>
        <w:t>Fábia</w:t>
      </w:r>
      <w:r w:rsidR="00D9502E" w:rsidRPr="00D9502E">
        <w:rPr>
          <w:bCs/>
          <w:sz w:val="24"/>
          <w:szCs w:val="24"/>
        </w:rPr>
        <w:t xml:space="preserve"> Maria de Souza </w:t>
      </w:r>
    </w:p>
    <w:p w14:paraId="44F6EB7D" w14:textId="42723F27" w:rsidR="00614B3A" w:rsidRDefault="00614B3A" w:rsidP="00216054">
      <w:pPr>
        <w:shd w:val="clear" w:color="auto" w:fill="FFFFFF"/>
        <w:tabs>
          <w:tab w:val="left" w:pos="2500"/>
        </w:tabs>
        <w:jc w:val="center"/>
        <w:rPr>
          <w:bCs/>
          <w:color w:val="000000"/>
          <w:sz w:val="24"/>
          <w:szCs w:val="24"/>
        </w:rPr>
      </w:pPr>
    </w:p>
    <w:p w14:paraId="1E0C330D" w14:textId="4437407E" w:rsidR="00E629EE" w:rsidRPr="004B4AF1" w:rsidRDefault="00F21DAB" w:rsidP="00216054">
      <w:pPr>
        <w:shd w:val="clear" w:color="auto" w:fill="FFFFFF"/>
        <w:tabs>
          <w:tab w:val="left" w:pos="2500"/>
        </w:tabs>
        <w:jc w:val="center"/>
        <w:rPr>
          <w:sz w:val="24"/>
          <w:szCs w:val="24"/>
        </w:rPr>
      </w:pPr>
      <w:r>
        <w:rPr>
          <w:sz w:val="24"/>
          <w:szCs w:val="24"/>
        </w:rPr>
        <w:t>¹</w:t>
      </w:r>
      <w:r w:rsidR="00614B3A">
        <w:rPr>
          <w:sz w:val="24"/>
          <w:szCs w:val="24"/>
        </w:rPr>
        <w:t>Graduanda em Engenharia</w:t>
      </w:r>
      <w:r w:rsidR="00614B3A" w:rsidRPr="004B4AF1">
        <w:rPr>
          <w:bCs/>
          <w:sz w:val="24"/>
          <w:szCs w:val="24"/>
        </w:rPr>
        <w:t xml:space="preserve"> </w:t>
      </w:r>
      <w:r w:rsidR="00614B3A">
        <w:rPr>
          <w:bCs/>
          <w:sz w:val="24"/>
          <w:szCs w:val="24"/>
        </w:rPr>
        <w:t xml:space="preserve">de Produção. </w:t>
      </w:r>
      <w:r w:rsidR="001C5237" w:rsidRPr="004B4AF1">
        <w:rPr>
          <w:bCs/>
          <w:sz w:val="24"/>
          <w:szCs w:val="24"/>
        </w:rPr>
        <w:t>Universidade do Estado do Pará</w:t>
      </w:r>
      <w:r w:rsidR="00614B3A">
        <w:rPr>
          <w:bCs/>
          <w:sz w:val="24"/>
          <w:szCs w:val="24"/>
        </w:rPr>
        <w:t xml:space="preserve"> (UEPA</w:t>
      </w:r>
      <w:r w:rsidR="001C5237" w:rsidRPr="004B4AF1">
        <w:rPr>
          <w:bCs/>
          <w:sz w:val="24"/>
          <w:szCs w:val="24"/>
        </w:rPr>
        <w:t>)</w:t>
      </w:r>
      <w:r w:rsidR="00FA058D">
        <w:rPr>
          <w:bCs/>
          <w:sz w:val="24"/>
          <w:szCs w:val="24"/>
        </w:rPr>
        <w:t xml:space="preserve">. </w:t>
      </w:r>
      <w:hyperlink r:id="rId7" w:history="1">
        <w:r w:rsidR="00FA058D" w:rsidRPr="001221D1">
          <w:rPr>
            <w:rStyle w:val="Hyperlink"/>
            <w:bCs/>
            <w:sz w:val="24"/>
            <w:szCs w:val="24"/>
          </w:rPr>
          <w:t>marianafreitasdantas91@gmail.com</w:t>
        </w:r>
      </w:hyperlink>
    </w:p>
    <w:p w14:paraId="3D27067C" w14:textId="5B4D4CA6" w:rsidR="007B5B42" w:rsidRDefault="00C75377" w:rsidP="00216054">
      <w:pPr>
        <w:shd w:val="clear" w:color="auto" w:fill="FFFFFF"/>
        <w:tabs>
          <w:tab w:val="left" w:pos="2500"/>
        </w:tabs>
        <w:jc w:val="center"/>
        <w:rPr>
          <w:bCs/>
          <w:sz w:val="24"/>
          <w:szCs w:val="24"/>
        </w:rPr>
      </w:pPr>
      <w:r w:rsidRPr="004B4AF1">
        <w:rPr>
          <w:bCs/>
          <w:color w:val="000000"/>
          <w:sz w:val="24"/>
          <w:szCs w:val="24"/>
        </w:rPr>
        <w:t xml:space="preserve"> </w:t>
      </w:r>
      <w:r w:rsidR="00DB745D">
        <w:rPr>
          <w:bCs/>
          <w:color w:val="000000"/>
          <w:sz w:val="24"/>
          <w:szCs w:val="24"/>
        </w:rPr>
        <w:t>²</w:t>
      </w:r>
      <w:r w:rsidR="007B5B42">
        <w:rPr>
          <w:sz w:val="24"/>
          <w:szCs w:val="24"/>
        </w:rPr>
        <w:t>Graduanda em Engenharia</w:t>
      </w:r>
      <w:r w:rsidR="007B5B42" w:rsidRPr="004B4AF1">
        <w:rPr>
          <w:bCs/>
          <w:sz w:val="24"/>
          <w:szCs w:val="24"/>
        </w:rPr>
        <w:t xml:space="preserve"> </w:t>
      </w:r>
      <w:r w:rsidR="007B5B42">
        <w:rPr>
          <w:bCs/>
          <w:sz w:val="24"/>
          <w:szCs w:val="24"/>
        </w:rPr>
        <w:t xml:space="preserve">de Produção. </w:t>
      </w:r>
      <w:r w:rsidR="007B5B42" w:rsidRPr="004B4AF1">
        <w:rPr>
          <w:bCs/>
          <w:sz w:val="24"/>
          <w:szCs w:val="24"/>
        </w:rPr>
        <w:t>Universidade do Estado do Pará</w:t>
      </w:r>
      <w:r w:rsidR="007B5B42">
        <w:rPr>
          <w:bCs/>
          <w:sz w:val="24"/>
          <w:szCs w:val="24"/>
        </w:rPr>
        <w:t xml:space="preserve"> (UEPA</w:t>
      </w:r>
      <w:r w:rsidR="007B5B42" w:rsidRPr="004B4AF1">
        <w:rPr>
          <w:bCs/>
          <w:sz w:val="24"/>
          <w:szCs w:val="24"/>
        </w:rPr>
        <w:t>)</w:t>
      </w:r>
      <w:r w:rsidR="007B5B42">
        <w:rPr>
          <w:bCs/>
          <w:sz w:val="24"/>
          <w:szCs w:val="24"/>
        </w:rPr>
        <w:t xml:space="preserve">. </w:t>
      </w:r>
    </w:p>
    <w:p w14:paraId="2F7646C4" w14:textId="6007B820" w:rsidR="001925F0" w:rsidRDefault="003764EB" w:rsidP="001925F0">
      <w:pPr>
        <w:shd w:val="clear" w:color="auto" w:fill="FFFFFF"/>
        <w:tabs>
          <w:tab w:val="left" w:pos="2500"/>
        </w:tabs>
        <w:jc w:val="center"/>
        <w:rPr>
          <w:bCs/>
          <w:sz w:val="24"/>
          <w:szCs w:val="24"/>
        </w:rPr>
      </w:pPr>
      <w:r>
        <w:rPr>
          <w:bCs/>
          <w:color w:val="000000"/>
          <w:sz w:val="24"/>
          <w:szCs w:val="24"/>
        </w:rPr>
        <w:t>³</w:t>
      </w:r>
      <w:r w:rsidR="001925F0">
        <w:rPr>
          <w:sz w:val="24"/>
          <w:szCs w:val="24"/>
        </w:rPr>
        <w:t>Graduanda em Engenharia</w:t>
      </w:r>
      <w:r w:rsidR="001925F0" w:rsidRPr="004B4AF1">
        <w:rPr>
          <w:bCs/>
          <w:sz w:val="24"/>
          <w:szCs w:val="24"/>
        </w:rPr>
        <w:t xml:space="preserve"> </w:t>
      </w:r>
      <w:r w:rsidR="001925F0">
        <w:rPr>
          <w:bCs/>
          <w:sz w:val="24"/>
          <w:szCs w:val="24"/>
        </w:rPr>
        <w:t xml:space="preserve">de Produção. </w:t>
      </w:r>
      <w:r w:rsidR="001925F0" w:rsidRPr="004B4AF1">
        <w:rPr>
          <w:bCs/>
          <w:sz w:val="24"/>
          <w:szCs w:val="24"/>
        </w:rPr>
        <w:t>Universidade do Estado do Pará</w:t>
      </w:r>
      <w:r w:rsidR="001925F0">
        <w:rPr>
          <w:bCs/>
          <w:sz w:val="24"/>
          <w:szCs w:val="24"/>
        </w:rPr>
        <w:t xml:space="preserve"> (UEPA</w:t>
      </w:r>
      <w:r w:rsidR="001925F0" w:rsidRPr="004B4AF1">
        <w:rPr>
          <w:bCs/>
          <w:sz w:val="24"/>
          <w:szCs w:val="24"/>
        </w:rPr>
        <w:t>)</w:t>
      </w:r>
      <w:r w:rsidR="001925F0">
        <w:rPr>
          <w:bCs/>
          <w:sz w:val="24"/>
          <w:szCs w:val="24"/>
        </w:rPr>
        <w:t xml:space="preserve">. </w:t>
      </w:r>
    </w:p>
    <w:p w14:paraId="4914A9A6" w14:textId="7833F921" w:rsidR="00B35189" w:rsidRDefault="000605EB" w:rsidP="00B35189">
      <w:pPr>
        <w:shd w:val="clear" w:color="auto" w:fill="FFFFFF"/>
        <w:tabs>
          <w:tab w:val="left" w:pos="2500"/>
        </w:tabs>
        <w:jc w:val="center"/>
        <w:rPr>
          <w:bCs/>
          <w:sz w:val="24"/>
          <w:szCs w:val="24"/>
        </w:rPr>
      </w:pPr>
      <w:r>
        <w:rPr>
          <w:sz w:val="24"/>
          <w:szCs w:val="24"/>
          <w:vertAlign w:val="superscript"/>
        </w:rPr>
        <w:t>4</w:t>
      </w:r>
      <w:r>
        <w:rPr>
          <w:sz w:val="24"/>
          <w:szCs w:val="24"/>
        </w:rPr>
        <w:t xml:space="preserve"> </w:t>
      </w:r>
      <w:r w:rsidR="00B35189">
        <w:rPr>
          <w:sz w:val="24"/>
          <w:szCs w:val="24"/>
        </w:rPr>
        <w:t>Graduanda em Engenharia</w:t>
      </w:r>
      <w:r w:rsidR="00B35189" w:rsidRPr="004B4AF1">
        <w:rPr>
          <w:bCs/>
          <w:sz w:val="24"/>
          <w:szCs w:val="24"/>
        </w:rPr>
        <w:t xml:space="preserve"> </w:t>
      </w:r>
      <w:r w:rsidR="00B35189">
        <w:rPr>
          <w:bCs/>
          <w:sz w:val="24"/>
          <w:szCs w:val="24"/>
        </w:rPr>
        <w:t xml:space="preserve">de Produção. </w:t>
      </w:r>
      <w:r w:rsidR="00B35189" w:rsidRPr="004B4AF1">
        <w:rPr>
          <w:bCs/>
          <w:sz w:val="24"/>
          <w:szCs w:val="24"/>
        </w:rPr>
        <w:t>Universidade do Estado do Pará</w:t>
      </w:r>
      <w:r w:rsidR="00B35189">
        <w:rPr>
          <w:bCs/>
          <w:sz w:val="24"/>
          <w:szCs w:val="24"/>
        </w:rPr>
        <w:t xml:space="preserve"> (UEPA</w:t>
      </w:r>
      <w:r w:rsidR="00B35189" w:rsidRPr="004B4AF1">
        <w:rPr>
          <w:bCs/>
          <w:sz w:val="24"/>
          <w:szCs w:val="24"/>
        </w:rPr>
        <w:t>)</w:t>
      </w:r>
      <w:r w:rsidR="00B35189">
        <w:rPr>
          <w:bCs/>
          <w:sz w:val="24"/>
          <w:szCs w:val="24"/>
        </w:rPr>
        <w:t xml:space="preserve">. </w:t>
      </w:r>
    </w:p>
    <w:p w14:paraId="77B8423A" w14:textId="5AD280C2" w:rsidR="00540E86" w:rsidRDefault="000605EB" w:rsidP="00540E86">
      <w:pPr>
        <w:keepLines/>
        <w:shd w:val="clear" w:color="auto" w:fill="FFFFFF"/>
        <w:tabs>
          <w:tab w:val="left" w:pos="2500"/>
        </w:tabs>
        <w:jc w:val="center"/>
        <w:rPr>
          <w:sz w:val="24"/>
          <w:szCs w:val="24"/>
        </w:rPr>
      </w:pPr>
      <w:r>
        <w:rPr>
          <w:sz w:val="24"/>
          <w:szCs w:val="24"/>
          <w:vertAlign w:val="superscript"/>
        </w:rPr>
        <w:t>5</w:t>
      </w:r>
      <w:r w:rsidR="00540E86">
        <w:rPr>
          <w:sz w:val="24"/>
          <w:szCs w:val="24"/>
        </w:rPr>
        <w:t xml:space="preserve"> Doutora em Engenharia de Produção. Universidade do Estado do Pará (UEPA).</w:t>
      </w:r>
    </w:p>
    <w:p w14:paraId="38BD2E21" w14:textId="5DC6C834" w:rsidR="00B35189" w:rsidRPr="003764EB" w:rsidRDefault="00B35189" w:rsidP="00B35189">
      <w:pPr>
        <w:shd w:val="clear" w:color="auto" w:fill="FFFFFF"/>
        <w:tabs>
          <w:tab w:val="left" w:pos="2500"/>
        </w:tabs>
        <w:jc w:val="center"/>
        <w:rPr>
          <w:bCs/>
          <w:color w:val="EE0000"/>
          <w:sz w:val="24"/>
          <w:szCs w:val="24"/>
        </w:rPr>
      </w:pPr>
    </w:p>
    <w:p w14:paraId="72531663" w14:textId="77777777" w:rsidR="00216054" w:rsidRPr="004B4AF1" w:rsidRDefault="00216054" w:rsidP="00216054">
      <w:pPr>
        <w:shd w:val="clear" w:color="auto" w:fill="FFFFFF"/>
        <w:tabs>
          <w:tab w:val="left" w:pos="2500"/>
        </w:tabs>
        <w:rPr>
          <w:color w:val="FF0000"/>
          <w:sz w:val="24"/>
          <w:szCs w:val="24"/>
        </w:rPr>
      </w:pPr>
    </w:p>
    <w:p w14:paraId="2FABC7FE" w14:textId="5DCC5791" w:rsidR="003949CE" w:rsidRPr="004B4AF1" w:rsidRDefault="003949CE" w:rsidP="00355D20">
      <w:pPr>
        <w:pBdr>
          <w:bottom w:val="none" w:sz="0" w:space="8" w:color="000000"/>
        </w:pBdr>
        <w:shd w:val="clear" w:color="auto" w:fill="FFFFFF"/>
        <w:tabs>
          <w:tab w:val="left" w:pos="2500"/>
        </w:tabs>
        <w:jc w:val="center"/>
        <w:rPr>
          <w:b/>
          <w:sz w:val="24"/>
          <w:szCs w:val="24"/>
        </w:rPr>
      </w:pPr>
      <w:r w:rsidRPr="004B4AF1">
        <w:rPr>
          <w:b/>
          <w:sz w:val="24"/>
          <w:szCs w:val="24"/>
        </w:rPr>
        <w:t>RESUMO</w:t>
      </w:r>
    </w:p>
    <w:p w14:paraId="106E62C5" w14:textId="77777777" w:rsidR="00B4184E" w:rsidRPr="00FB3372" w:rsidRDefault="00B4184E" w:rsidP="00E5617D">
      <w:pPr>
        <w:jc w:val="both"/>
        <w:rPr>
          <w:sz w:val="24"/>
          <w:szCs w:val="24"/>
        </w:rPr>
      </w:pPr>
      <w:r w:rsidRPr="00E5617D">
        <w:rPr>
          <w:sz w:val="24"/>
          <w:szCs w:val="24"/>
        </w:rPr>
        <w:t>O artigo</w:t>
      </w:r>
      <w:r w:rsidRPr="00FB3372">
        <w:rPr>
          <w:sz w:val="24"/>
          <w:szCs w:val="24"/>
        </w:rPr>
        <w:t xml:space="preserve"> </w:t>
      </w:r>
      <w:r w:rsidRPr="00E5617D">
        <w:rPr>
          <w:sz w:val="24"/>
          <w:szCs w:val="24"/>
        </w:rPr>
        <w:t xml:space="preserve">objetivou </w:t>
      </w:r>
      <w:r w:rsidRPr="00FB3372">
        <w:rPr>
          <w:sz w:val="24"/>
          <w:szCs w:val="24"/>
        </w:rPr>
        <w:t>identificar os procedimentos de descarte de resíduos odontológicos adotados por clínicas privadas localizadas em uma cidade do sul do Estado do Pará. O cuidado com a vida humana vai além do atendimento clínico, manifestando-se também na responsabilidade ética e técnica de dispor adequadamente os resíduos gerados, em conformidade com as orientações da Resolução da Diretoria Colegiada (RDC) nº 222/2018 da ANVISA. Tal conduta garante que cada descarte constitua um ato de proteção à saúde pública e à sustentabilidade ambiental.</w:t>
      </w:r>
      <w:r w:rsidRPr="00E5617D">
        <w:rPr>
          <w:sz w:val="24"/>
          <w:szCs w:val="24"/>
        </w:rPr>
        <w:t xml:space="preserve"> </w:t>
      </w:r>
      <w:r w:rsidRPr="00FB3372">
        <w:rPr>
          <w:sz w:val="24"/>
          <w:szCs w:val="24"/>
        </w:rPr>
        <w:t>Trata-se de uma pesquisa do tipo survey, com amostragem por conveniência, que utilizou questionários padronizados para a coleta estruturada de dados. Ao término, constatou-se que, embora as clínicas odontológicas tenham avançado na gestão de resíduos, ainda persistem lacunas que comprometem a eficácia do processo. A maioria das instituições dispõe de um Plano de Gerenciamento de Resíduos de Serviços de Saúde (PGRSS); entretanto, sua frequente desatualização reduz a aderência às normas vigentes e dificulta a incorporação de inovações tecnológicas.</w:t>
      </w:r>
      <w:r w:rsidRPr="00E5617D">
        <w:rPr>
          <w:sz w:val="24"/>
          <w:szCs w:val="24"/>
        </w:rPr>
        <w:t xml:space="preserve"> </w:t>
      </w:r>
      <w:r w:rsidRPr="00FB3372">
        <w:rPr>
          <w:sz w:val="24"/>
          <w:szCs w:val="24"/>
        </w:rPr>
        <w:t>Observa-se fragilidade na segregação e identificação dos resíduos, bem como na padronização dos recipientes, o que expõe profissionais e pacientes a riscos de acidentes e contaminações. A gestão de materiais radioativos evidencia responsabilidade institucional; contudo, práticas inadequadas ainda persistem no manejo de resíduos químicos e, sobretudo, no descarte de perfurocortantes, nos quais o uso de contêineres improvisados acentua os riscos ocupacionais.</w:t>
      </w:r>
      <w:r w:rsidRPr="00E5617D">
        <w:rPr>
          <w:sz w:val="24"/>
          <w:szCs w:val="24"/>
        </w:rPr>
        <w:t xml:space="preserve"> </w:t>
      </w:r>
      <w:r w:rsidRPr="00FB3372">
        <w:rPr>
          <w:sz w:val="24"/>
          <w:szCs w:val="24"/>
        </w:rPr>
        <w:t xml:space="preserve">A dependência da coleta pública limita a autonomia das clínicas na gestão dos resíduos, e a escassez de treinamentos regulares compromete a aplicação efetiva das normas de biossegurança. </w:t>
      </w:r>
    </w:p>
    <w:p w14:paraId="71340687" w14:textId="28DF539A" w:rsidR="003949CE" w:rsidRPr="004B4AF1" w:rsidRDefault="001C5237" w:rsidP="0019423C">
      <w:pPr>
        <w:spacing w:before="240" w:after="240"/>
        <w:jc w:val="both"/>
        <w:rPr>
          <w:iCs/>
          <w:sz w:val="24"/>
          <w:szCs w:val="24"/>
        </w:rPr>
      </w:pPr>
      <w:r w:rsidRPr="004B4AF1">
        <w:rPr>
          <w:b/>
          <w:bCs/>
          <w:iCs/>
          <w:sz w:val="24"/>
          <w:szCs w:val="24"/>
        </w:rPr>
        <w:t>Palavras-chave:</w:t>
      </w:r>
      <w:r w:rsidRPr="004B4AF1">
        <w:rPr>
          <w:iCs/>
          <w:sz w:val="24"/>
          <w:szCs w:val="24"/>
        </w:rPr>
        <w:t xml:space="preserve"> Resíduos sólidos. Clínicas odontológicas. Classe dos resíduos.</w:t>
      </w:r>
    </w:p>
    <w:p w14:paraId="73EB5E4E" w14:textId="36D256B0" w:rsidR="003949CE" w:rsidRPr="004B4AF1" w:rsidRDefault="003949CE" w:rsidP="0019423C">
      <w:pPr>
        <w:shd w:val="clear" w:color="auto" w:fill="FFFFFF"/>
        <w:tabs>
          <w:tab w:val="left" w:pos="2500"/>
        </w:tabs>
        <w:jc w:val="both"/>
        <w:rPr>
          <w:b/>
          <w:color w:val="0000FF"/>
          <w:sz w:val="24"/>
          <w:szCs w:val="24"/>
          <w:u w:val="single"/>
        </w:rPr>
      </w:pPr>
      <w:r w:rsidRPr="004B4AF1">
        <w:rPr>
          <w:b/>
          <w:sz w:val="24"/>
          <w:szCs w:val="24"/>
        </w:rPr>
        <w:t>Área de Interesse do Simpósio</w:t>
      </w:r>
      <w:r w:rsidRPr="004B4AF1">
        <w:rPr>
          <w:sz w:val="24"/>
          <w:szCs w:val="24"/>
        </w:rPr>
        <w:t>:</w:t>
      </w:r>
      <w:r w:rsidR="00355D20" w:rsidRPr="004B4AF1">
        <w:rPr>
          <w:sz w:val="24"/>
          <w:szCs w:val="24"/>
        </w:rPr>
        <w:t xml:space="preserve"> </w:t>
      </w:r>
      <w:r w:rsidR="000436E8" w:rsidRPr="004B4AF1">
        <w:rPr>
          <w:sz w:val="24"/>
          <w:szCs w:val="24"/>
        </w:rPr>
        <w:t>Engenharias</w:t>
      </w:r>
      <w:r w:rsidR="00355D20" w:rsidRPr="004B4AF1">
        <w:rPr>
          <w:sz w:val="24"/>
          <w:szCs w:val="24"/>
        </w:rPr>
        <w:t>.</w:t>
      </w:r>
    </w:p>
    <w:p w14:paraId="4449F93E" w14:textId="77777777" w:rsidR="0046406E" w:rsidRPr="004B4AF1" w:rsidRDefault="0046406E" w:rsidP="00355D20">
      <w:pPr>
        <w:pBdr>
          <w:bottom w:val="none" w:sz="0" w:space="8" w:color="000000"/>
        </w:pBdr>
        <w:shd w:val="clear" w:color="auto" w:fill="FFFFFF"/>
        <w:tabs>
          <w:tab w:val="left" w:pos="2500"/>
        </w:tabs>
        <w:jc w:val="both"/>
      </w:pPr>
    </w:p>
    <w:p w14:paraId="3AD23434" w14:textId="77777777" w:rsidR="0046406E" w:rsidRPr="004B4AF1" w:rsidRDefault="0046406E" w:rsidP="0046406E">
      <w:pPr>
        <w:pBdr>
          <w:bottom w:val="none" w:sz="0" w:space="8" w:color="000000"/>
        </w:pBdr>
        <w:shd w:val="clear" w:color="auto" w:fill="FFFFFF"/>
        <w:tabs>
          <w:tab w:val="left" w:pos="2500"/>
        </w:tabs>
      </w:pPr>
    </w:p>
    <w:p w14:paraId="2BAED3C8" w14:textId="77777777" w:rsidR="0046406E" w:rsidRPr="004B4AF1" w:rsidRDefault="0046406E" w:rsidP="0046406E">
      <w:pPr>
        <w:pBdr>
          <w:bottom w:val="none" w:sz="0" w:space="8" w:color="000000"/>
        </w:pBdr>
        <w:shd w:val="clear" w:color="auto" w:fill="FFFFFF"/>
        <w:tabs>
          <w:tab w:val="left" w:pos="2500"/>
        </w:tabs>
      </w:pPr>
    </w:p>
    <w:p w14:paraId="1E6F1FA0" w14:textId="77777777" w:rsidR="0046406E" w:rsidRPr="004B4AF1" w:rsidRDefault="0046406E" w:rsidP="0046406E">
      <w:pPr>
        <w:pBdr>
          <w:bottom w:val="none" w:sz="0" w:space="8" w:color="000000"/>
        </w:pBdr>
        <w:shd w:val="clear" w:color="auto" w:fill="FFFFFF"/>
        <w:tabs>
          <w:tab w:val="left" w:pos="2500"/>
        </w:tabs>
      </w:pPr>
    </w:p>
    <w:p w14:paraId="426DF18F" w14:textId="0717C3A4" w:rsidR="003949CE" w:rsidRPr="004B4AF1" w:rsidRDefault="003949CE" w:rsidP="0046406E">
      <w:pPr>
        <w:pBdr>
          <w:bottom w:val="none" w:sz="0" w:space="8" w:color="000000"/>
        </w:pBdr>
        <w:shd w:val="clear" w:color="auto" w:fill="FFFFFF"/>
        <w:tabs>
          <w:tab w:val="left" w:pos="2500"/>
        </w:tabs>
        <w:rPr>
          <w:sz w:val="24"/>
          <w:szCs w:val="24"/>
        </w:rPr>
      </w:pPr>
      <w:r w:rsidRPr="004B4AF1">
        <w:rPr>
          <w:b/>
          <w:sz w:val="24"/>
          <w:szCs w:val="24"/>
        </w:rPr>
        <w:lastRenderedPageBreak/>
        <w:t xml:space="preserve">1. INTRODUÇÃO </w:t>
      </w:r>
    </w:p>
    <w:p w14:paraId="62B4345A" w14:textId="77777777" w:rsidR="008466D0" w:rsidRPr="004B4AF1" w:rsidRDefault="008466D0" w:rsidP="008466D0">
      <w:pPr>
        <w:spacing w:line="360" w:lineRule="auto"/>
        <w:ind w:firstLine="720"/>
        <w:jc w:val="both"/>
        <w:rPr>
          <w:sz w:val="24"/>
          <w:szCs w:val="24"/>
          <w:lang w:val="pt-BR"/>
        </w:rPr>
      </w:pPr>
      <w:r w:rsidRPr="004B4AF1">
        <w:rPr>
          <w:sz w:val="24"/>
          <w:szCs w:val="24"/>
          <w:lang w:val="pt-BR"/>
        </w:rPr>
        <w:t>Segundo a Organização Mundial da Saúde (OMS, 2017), os resíduos provenientes dos serviços de saúde são considerados sépticos, podendo conter germes patogênicos transmitidos por contato direto, via aérea ou por meio da ingestão de alimentos contaminados, ocasionando intoxicações e infecções. Esses resíduos são gerados em diversos estabelecimentos, como hospitais, clínicas odontológicas, laboratórios, farmácias, clínicas veterinárias e unidades básicas de saúde.</w:t>
      </w:r>
    </w:p>
    <w:p w14:paraId="36494E77" w14:textId="77777777" w:rsidR="008466D0" w:rsidRPr="004B4AF1" w:rsidRDefault="008466D0" w:rsidP="008466D0">
      <w:pPr>
        <w:spacing w:line="360" w:lineRule="auto"/>
        <w:ind w:firstLine="720"/>
        <w:jc w:val="both"/>
        <w:rPr>
          <w:sz w:val="24"/>
          <w:szCs w:val="24"/>
          <w:lang w:val="pt-BR"/>
        </w:rPr>
      </w:pPr>
      <w:r w:rsidRPr="004B4AF1">
        <w:rPr>
          <w:sz w:val="24"/>
          <w:szCs w:val="24"/>
          <w:lang w:val="pt-BR"/>
        </w:rPr>
        <w:t>De acordo com Pereira e Andreani (2020, p. 3), a gestão adequada desses resíduos é fundamental para a promoção da saúde pública, a preservação ambiental e a segurança no ambiente de trabalho, exigindo, portanto, uma atuação técnica especializada. O descarte inadequado de resíduos contaminados com materiais sanitários e substâncias farmacêuticas representa riscos físicos e biológicos, sobretudo quando materiais perfurocortantes são armazenados de forma imprópria.</w:t>
      </w:r>
    </w:p>
    <w:p w14:paraId="3554090B" w14:textId="77777777" w:rsidR="008466D0" w:rsidRPr="004B4AF1" w:rsidRDefault="008466D0" w:rsidP="008466D0">
      <w:pPr>
        <w:spacing w:line="360" w:lineRule="auto"/>
        <w:ind w:firstLine="720"/>
        <w:jc w:val="both"/>
        <w:rPr>
          <w:sz w:val="24"/>
          <w:szCs w:val="24"/>
          <w:lang w:val="pt-BR"/>
        </w:rPr>
      </w:pPr>
      <w:r w:rsidRPr="004B4AF1">
        <w:rPr>
          <w:sz w:val="24"/>
          <w:szCs w:val="24"/>
          <w:lang w:val="pt-BR"/>
        </w:rPr>
        <w:t>O Brasil destaca-se como o país com o maior número de clínicas odontológicas no mundo, contando com mais de 800 mil profissionais e entidades ativas, sendo a maioria composta por cirurgiões-dentistas, além de especialistas de diversas áreas, conforme dados do Conselho Federal de Odontologia (CFO, 2025). Esse cenário posiciona o país como o maior gerador de resíduos odontológicos do planeta.</w:t>
      </w:r>
    </w:p>
    <w:p w14:paraId="73EBAE5B" w14:textId="704876C7" w:rsidR="008466D0" w:rsidRPr="004B4AF1" w:rsidRDefault="008466D0" w:rsidP="008466D0">
      <w:pPr>
        <w:spacing w:line="360" w:lineRule="auto"/>
        <w:ind w:firstLine="720"/>
        <w:jc w:val="both"/>
        <w:rPr>
          <w:sz w:val="24"/>
          <w:szCs w:val="24"/>
          <w:lang w:val="pt-BR"/>
        </w:rPr>
      </w:pPr>
      <w:r w:rsidRPr="004B4AF1">
        <w:rPr>
          <w:sz w:val="24"/>
          <w:szCs w:val="24"/>
          <w:lang w:val="pt-BR"/>
        </w:rPr>
        <w:t>Diante dessa realidade, torna-se imprescindível a implementação de processos voltados à recuperação de matérias-primas e produtos</w:t>
      </w:r>
      <w:r w:rsidR="00000A42">
        <w:rPr>
          <w:sz w:val="24"/>
          <w:szCs w:val="24"/>
          <w:lang w:val="pt-BR"/>
        </w:rPr>
        <w:t xml:space="preserve"> </w:t>
      </w:r>
      <w:r w:rsidRPr="004B4AF1">
        <w:rPr>
          <w:sz w:val="24"/>
          <w:szCs w:val="24"/>
          <w:lang w:val="pt-BR"/>
        </w:rPr>
        <w:t>finalizados ou em fase de processamento</w:t>
      </w:r>
      <w:r w:rsidR="00000A42">
        <w:rPr>
          <w:sz w:val="24"/>
          <w:szCs w:val="24"/>
          <w:lang w:val="pt-BR"/>
        </w:rPr>
        <w:t xml:space="preserve">, </w:t>
      </w:r>
      <w:r w:rsidRPr="004B4AF1">
        <w:rPr>
          <w:sz w:val="24"/>
          <w:szCs w:val="24"/>
          <w:lang w:val="pt-BR"/>
        </w:rPr>
        <w:t>com o intuito de agregar valor ao descarte adequado. Essa prática está diretamente relacionada à Logística Reversa, que abrange os cuidados pós-consumo e o suporte à coleta responsável dos resíduos, conforme orientações estabelecidas pelas Resoluções da Diretoria Colegiada (RDC) da Agência Nacional de Vigilância Sanitária (ANVISA).</w:t>
      </w:r>
    </w:p>
    <w:p w14:paraId="338CBE36" w14:textId="77777777" w:rsidR="008466D0" w:rsidRPr="004B4AF1" w:rsidRDefault="008466D0" w:rsidP="008466D0">
      <w:pPr>
        <w:spacing w:line="360" w:lineRule="auto"/>
        <w:ind w:firstLine="720"/>
        <w:jc w:val="both"/>
        <w:rPr>
          <w:sz w:val="24"/>
          <w:szCs w:val="24"/>
          <w:lang w:val="pt-BR"/>
        </w:rPr>
      </w:pPr>
      <w:r w:rsidRPr="004B4AF1">
        <w:rPr>
          <w:sz w:val="24"/>
          <w:szCs w:val="24"/>
          <w:lang w:val="pt-BR"/>
        </w:rPr>
        <w:t>A RDC nº 222/2018 regulamenta as Boas Práticas de Gerenciamento dos Resíduos de Serviços de Saúde (RSS), estabelecendo um conjunto de procedimentos de gestão fundamentados em bases científicas, técnicas, normativas e legais. Seu principal objetivo é minimizar a geração de resíduos e assegurar que os resíduos produzidos sejam encaminhados de forma segura e eficiente, promovendo a proteção dos trabalhadores, a saúde pública, os recursos naturais e o meio ambiente (ANVISA, 2018).</w:t>
      </w:r>
    </w:p>
    <w:p w14:paraId="3969FFD9" w14:textId="23FC9322" w:rsidR="008466D0" w:rsidRPr="004B4AF1" w:rsidRDefault="008466D0" w:rsidP="008466D0">
      <w:pPr>
        <w:spacing w:line="360" w:lineRule="auto"/>
        <w:ind w:firstLine="720"/>
        <w:jc w:val="both"/>
        <w:rPr>
          <w:sz w:val="24"/>
          <w:szCs w:val="24"/>
          <w:lang w:val="pt-BR"/>
        </w:rPr>
      </w:pPr>
      <w:r w:rsidRPr="004B4AF1">
        <w:rPr>
          <w:sz w:val="24"/>
          <w:szCs w:val="24"/>
          <w:lang w:val="pt-BR"/>
        </w:rPr>
        <w:lastRenderedPageBreak/>
        <w:t>O descarte adequado dos resíduos permite que as instituições de saúde estejam em conformidade com as normas vigentes, reduzam a ocorrência de acidentes de trabalho e minimizem os impactos negativos à saúde coletiva e ao meio ambiente. Ao evitar que resíduos biológicos</w:t>
      </w:r>
      <w:r w:rsidR="00000A42">
        <w:rPr>
          <w:sz w:val="24"/>
          <w:szCs w:val="24"/>
          <w:lang w:val="pt-BR"/>
        </w:rPr>
        <w:t xml:space="preserve">, </w:t>
      </w:r>
      <w:r w:rsidRPr="004B4AF1">
        <w:rPr>
          <w:sz w:val="24"/>
          <w:szCs w:val="24"/>
          <w:lang w:val="pt-BR"/>
        </w:rPr>
        <w:t>geralmente minoritários contaminem os demais, reduz-se o risco sanitário e os custos operacionais, uma vez que apenas uma fração dos resíduos exige destinação especial.</w:t>
      </w:r>
    </w:p>
    <w:p w14:paraId="328906B1" w14:textId="77777777" w:rsidR="008466D0" w:rsidRPr="004B4AF1" w:rsidRDefault="008466D0" w:rsidP="008466D0">
      <w:pPr>
        <w:spacing w:line="360" w:lineRule="auto"/>
        <w:ind w:firstLine="720"/>
        <w:jc w:val="both"/>
        <w:rPr>
          <w:sz w:val="24"/>
          <w:szCs w:val="24"/>
          <w:lang w:val="pt-BR"/>
        </w:rPr>
      </w:pPr>
      <w:r w:rsidRPr="004B4AF1">
        <w:rPr>
          <w:sz w:val="24"/>
          <w:szCs w:val="24"/>
          <w:lang w:val="pt-BR"/>
        </w:rPr>
        <w:t>Por fim, é de suma importância ressaltar a necessidade da formulação de políticas públicas e de iniciativas educativas que promovam a conscientização e a responsabilidade socioambiental no âmbito da odontologia (</w:t>
      </w:r>
      <w:proofErr w:type="spellStart"/>
      <w:r w:rsidRPr="004B4AF1">
        <w:rPr>
          <w:sz w:val="24"/>
          <w:szCs w:val="24"/>
          <w:lang w:val="pt-BR"/>
        </w:rPr>
        <w:t>Sabbahi</w:t>
      </w:r>
      <w:proofErr w:type="spellEnd"/>
      <w:r w:rsidRPr="004B4AF1">
        <w:rPr>
          <w:sz w:val="24"/>
          <w:szCs w:val="24"/>
          <w:lang w:val="pt-BR"/>
        </w:rPr>
        <w:t>; El-</w:t>
      </w:r>
      <w:proofErr w:type="spellStart"/>
      <w:r w:rsidRPr="004B4AF1">
        <w:rPr>
          <w:sz w:val="24"/>
          <w:szCs w:val="24"/>
          <w:lang w:val="pt-BR"/>
        </w:rPr>
        <w:t>Naggar</w:t>
      </w:r>
      <w:proofErr w:type="spellEnd"/>
      <w:r w:rsidRPr="004B4AF1">
        <w:rPr>
          <w:sz w:val="24"/>
          <w:szCs w:val="24"/>
          <w:lang w:val="pt-BR"/>
        </w:rPr>
        <w:t xml:space="preserve">; </w:t>
      </w:r>
      <w:proofErr w:type="spellStart"/>
      <w:r w:rsidRPr="004B4AF1">
        <w:rPr>
          <w:sz w:val="24"/>
          <w:szCs w:val="24"/>
          <w:lang w:val="pt-BR"/>
        </w:rPr>
        <w:t>Zahran</w:t>
      </w:r>
      <w:proofErr w:type="spellEnd"/>
      <w:r w:rsidRPr="004B4AF1">
        <w:rPr>
          <w:sz w:val="24"/>
          <w:szCs w:val="24"/>
          <w:lang w:val="pt-BR"/>
        </w:rPr>
        <w:t>, 2020). O presente trabalho tem como propósito sensibilizar as clínicas odontológicas quanto à relevância do descarte correto, visando à preservação do meio ambiente e à proteção da saúde de seus colaboradores. Ademais, busca-se reforçar a observância rigorosa das normas estabelecidas pela RDC nº 222/2018, de modo a evitar eventuais complicações futuras.</w:t>
      </w:r>
    </w:p>
    <w:p w14:paraId="07E147E0" w14:textId="77777777" w:rsidR="003D1E46" w:rsidRPr="004B4AF1" w:rsidRDefault="003D1E46" w:rsidP="00121379">
      <w:pPr>
        <w:ind w:firstLine="720"/>
        <w:jc w:val="both"/>
        <w:rPr>
          <w:sz w:val="24"/>
          <w:szCs w:val="24"/>
        </w:rPr>
      </w:pPr>
    </w:p>
    <w:p w14:paraId="42852B5E" w14:textId="54F10720" w:rsidR="00753791" w:rsidRDefault="00000A42" w:rsidP="00121379">
      <w:pPr>
        <w:pStyle w:val="PargrafodaLista"/>
        <w:numPr>
          <w:ilvl w:val="1"/>
          <w:numId w:val="2"/>
        </w:numPr>
        <w:autoSpaceDE/>
        <w:autoSpaceDN/>
        <w:spacing w:before="0"/>
        <w:ind w:right="0"/>
        <w:contextualSpacing/>
        <w:rPr>
          <w:sz w:val="24"/>
          <w:szCs w:val="24"/>
        </w:rPr>
      </w:pPr>
      <w:r>
        <w:rPr>
          <w:sz w:val="24"/>
          <w:szCs w:val="24"/>
        </w:rPr>
        <w:t>R</w:t>
      </w:r>
      <w:r w:rsidRPr="004B4AF1">
        <w:rPr>
          <w:sz w:val="24"/>
          <w:szCs w:val="24"/>
        </w:rPr>
        <w:t>ESÍDUOS SÓLIDOS DE SAÚDE (RSS)</w:t>
      </w:r>
    </w:p>
    <w:p w14:paraId="118A8205" w14:textId="77777777" w:rsidR="00121379" w:rsidRPr="004B4AF1" w:rsidRDefault="00121379" w:rsidP="00121379">
      <w:pPr>
        <w:pStyle w:val="PargrafodaLista"/>
        <w:autoSpaceDE/>
        <w:autoSpaceDN/>
        <w:spacing w:before="0"/>
        <w:ind w:left="360" w:right="0" w:firstLine="0"/>
        <w:contextualSpacing/>
        <w:rPr>
          <w:sz w:val="24"/>
          <w:szCs w:val="24"/>
        </w:rPr>
      </w:pPr>
    </w:p>
    <w:p w14:paraId="0F41C452" w14:textId="77777777" w:rsidR="00B600B0" w:rsidRPr="004B4AF1" w:rsidRDefault="00B600B0" w:rsidP="00F542C8">
      <w:pPr>
        <w:pStyle w:val="NormalWeb"/>
        <w:spacing w:before="0" w:beforeAutospacing="0" w:after="0" w:afterAutospacing="0" w:line="360" w:lineRule="auto"/>
        <w:ind w:firstLine="720"/>
        <w:jc w:val="both"/>
      </w:pPr>
      <w:r w:rsidRPr="004B4AF1">
        <w:t>A gestão dos Resíduos de Serviços de Saúde (RSS) requer a elaboração, implementação e monitoramento de um plano que assegure o descarte adequado por parte de empresas e consultórios. A Agência Nacional de Vigilância Sanitária (ANVISA), voltada à proteção da saúde pública, regulamenta a conduta dos agentes quanto à geração e ao manejo dos RSS.</w:t>
      </w:r>
    </w:p>
    <w:p w14:paraId="69152520" w14:textId="273A5963" w:rsidR="00B600B0" w:rsidRPr="004B4AF1" w:rsidRDefault="00B600B0" w:rsidP="00F542C8">
      <w:pPr>
        <w:pStyle w:val="NormalWeb"/>
        <w:spacing w:before="0" w:beforeAutospacing="0" w:after="0" w:afterAutospacing="0" w:line="360" w:lineRule="auto"/>
        <w:ind w:firstLine="720"/>
        <w:jc w:val="both"/>
      </w:pPr>
      <w:r w:rsidRPr="004B4AF1">
        <w:t xml:space="preserve">De acordo com a Portaria nº 001/2011 (DEC), no âmbito do Exército, e em consonância com as diretrizes da Organização Mundial da Saúde (OMS), o Plano de Gerenciamento de Resíduos Sólidos (PGRS) deve observar as normas técnicas da Associação Brasileira de Normas Técnicas (ABNT) como as </w:t>
      </w:r>
      <w:proofErr w:type="spellStart"/>
      <w:r w:rsidRPr="004B4AF1">
        <w:t>NBRs</w:t>
      </w:r>
      <w:proofErr w:type="spellEnd"/>
      <w:r w:rsidRPr="004B4AF1">
        <w:t xml:space="preserve"> 10.004, 12.807 a 12.810, 9.191 e 7.500</w:t>
      </w:r>
      <w:r w:rsidR="00000A42">
        <w:t xml:space="preserve">, </w:t>
      </w:r>
      <w:r w:rsidRPr="004B4AF1">
        <w:t>além da Resolução nº 222/2018 da ANVISA.</w:t>
      </w:r>
    </w:p>
    <w:p w14:paraId="6B3E2453" w14:textId="77777777" w:rsidR="00B600B0" w:rsidRPr="004B4AF1" w:rsidRDefault="00B600B0" w:rsidP="00F542C8">
      <w:pPr>
        <w:pStyle w:val="NormalWeb"/>
        <w:spacing w:before="0" w:beforeAutospacing="0" w:after="0" w:afterAutospacing="0" w:line="360" w:lineRule="auto"/>
        <w:ind w:firstLine="720"/>
        <w:jc w:val="both"/>
      </w:pPr>
      <w:r w:rsidRPr="004B4AF1">
        <w:t>Cabe destacar que a Resolução da Diretoria Colegiada (RDC) nº 33/2003, que instituiu o primeiro regulamento técnico para o gerenciamento de resíduos de serviços de saúde, foi revogada pela RDC nº 306/2004, posteriormente substituída pela RDC nº 222/2018. Esta última representa o marco normativo vigente, consolidando as boas práticas de gestão dos RSS com maior rigor técnico e alinhamento às diretrizes ambientais contemporâneas.</w:t>
      </w:r>
    </w:p>
    <w:p w14:paraId="4A046CFA" w14:textId="77777777" w:rsidR="00B600B0" w:rsidRPr="004B4AF1" w:rsidRDefault="00B600B0" w:rsidP="00F542C8">
      <w:pPr>
        <w:pStyle w:val="NormalWeb"/>
        <w:spacing w:before="0" w:beforeAutospacing="0" w:after="0" w:afterAutospacing="0" w:line="360" w:lineRule="auto"/>
        <w:ind w:firstLine="720"/>
        <w:jc w:val="both"/>
      </w:pPr>
      <w:r w:rsidRPr="004B4AF1">
        <w:t>Quanto à classificação dos RSS, a RDC nº 222/2018 da ANVISA os categoriza conforme o quadro a seguir:</w:t>
      </w:r>
    </w:p>
    <w:tbl>
      <w:tblPr>
        <w:tblStyle w:val="Tabelacomgrade"/>
        <w:tblW w:w="9076" w:type="dxa"/>
        <w:tblLook w:val="04A0" w:firstRow="1" w:lastRow="0" w:firstColumn="1" w:lastColumn="0" w:noHBand="0" w:noVBand="1"/>
      </w:tblPr>
      <w:tblGrid>
        <w:gridCol w:w="1085"/>
        <w:gridCol w:w="1390"/>
        <w:gridCol w:w="4193"/>
        <w:gridCol w:w="2408"/>
      </w:tblGrid>
      <w:tr w:rsidR="00786693" w:rsidRPr="00121379" w14:paraId="7C188797" w14:textId="77777777" w:rsidTr="002E330B">
        <w:tc>
          <w:tcPr>
            <w:tcW w:w="6668" w:type="dxa"/>
            <w:gridSpan w:val="3"/>
            <w:tcBorders>
              <w:top w:val="nil"/>
              <w:left w:val="nil"/>
              <w:bottom w:val="single" w:sz="4" w:space="0" w:color="auto"/>
              <w:right w:val="nil"/>
            </w:tcBorders>
            <w:vAlign w:val="center"/>
          </w:tcPr>
          <w:p w14:paraId="6F65664C" w14:textId="31F354EE" w:rsidR="00786693" w:rsidRPr="00121379" w:rsidRDefault="00786693" w:rsidP="00121379">
            <w:pPr>
              <w:jc w:val="center"/>
              <w:rPr>
                <w:sz w:val="20"/>
                <w:szCs w:val="20"/>
              </w:rPr>
            </w:pPr>
            <w:r w:rsidRPr="00121379">
              <w:rPr>
                <w:sz w:val="20"/>
                <w:szCs w:val="20"/>
              </w:rPr>
              <w:lastRenderedPageBreak/>
              <w:t>Quadro 01 – classificação dos RSS, a RDC 222/2018 da ANVISA</w:t>
            </w:r>
            <w:r w:rsidR="0000680B" w:rsidRPr="00121379">
              <w:rPr>
                <w:sz w:val="20"/>
                <w:szCs w:val="20"/>
              </w:rPr>
              <w:t>.</w:t>
            </w:r>
          </w:p>
        </w:tc>
        <w:tc>
          <w:tcPr>
            <w:tcW w:w="2408" w:type="dxa"/>
            <w:tcBorders>
              <w:top w:val="nil"/>
              <w:left w:val="nil"/>
              <w:bottom w:val="single" w:sz="4" w:space="0" w:color="auto"/>
              <w:right w:val="nil"/>
            </w:tcBorders>
            <w:vAlign w:val="center"/>
          </w:tcPr>
          <w:p w14:paraId="201260CE" w14:textId="77777777" w:rsidR="00786693" w:rsidRPr="00121379" w:rsidRDefault="00786693" w:rsidP="00121379">
            <w:pPr>
              <w:jc w:val="center"/>
              <w:rPr>
                <w:b/>
                <w:bCs/>
                <w:sz w:val="20"/>
                <w:szCs w:val="20"/>
              </w:rPr>
            </w:pPr>
          </w:p>
        </w:tc>
      </w:tr>
      <w:tr w:rsidR="00786693" w:rsidRPr="00121379" w14:paraId="0E5B6E85" w14:textId="77777777" w:rsidTr="002E330B">
        <w:tc>
          <w:tcPr>
            <w:tcW w:w="1085" w:type="dxa"/>
            <w:tcBorders>
              <w:top w:val="single" w:sz="4" w:space="0" w:color="auto"/>
            </w:tcBorders>
            <w:vAlign w:val="center"/>
          </w:tcPr>
          <w:p w14:paraId="54169401" w14:textId="77777777" w:rsidR="00786693" w:rsidRPr="00121379" w:rsidRDefault="00786693" w:rsidP="00121379">
            <w:pPr>
              <w:jc w:val="center"/>
              <w:rPr>
                <w:sz w:val="20"/>
                <w:szCs w:val="20"/>
              </w:rPr>
            </w:pPr>
            <w:r w:rsidRPr="00121379">
              <w:rPr>
                <w:sz w:val="20"/>
                <w:szCs w:val="20"/>
              </w:rPr>
              <w:t>GRUPOS</w:t>
            </w:r>
          </w:p>
        </w:tc>
        <w:tc>
          <w:tcPr>
            <w:tcW w:w="1390" w:type="dxa"/>
            <w:tcBorders>
              <w:top w:val="single" w:sz="4" w:space="0" w:color="auto"/>
            </w:tcBorders>
            <w:vAlign w:val="center"/>
          </w:tcPr>
          <w:p w14:paraId="0138D6CA" w14:textId="77777777" w:rsidR="00786693" w:rsidRPr="00121379" w:rsidRDefault="00786693" w:rsidP="00121379">
            <w:pPr>
              <w:jc w:val="center"/>
              <w:rPr>
                <w:sz w:val="20"/>
                <w:szCs w:val="20"/>
              </w:rPr>
            </w:pPr>
            <w:r w:rsidRPr="00121379">
              <w:rPr>
                <w:sz w:val="20"/>
                <w:szCs w:val="20"/>
              </w:rPr>
              <w:t>SUBGRUPO</w:t>
            </w:r>
          </w:p>
        </w:tc>
        <w:tc>
          <w:tcPr>
            <w:tcW w:w="4193" w:type="dxa"/>
            <w:tcBorders>
              <w:top w:val="single" w:sz="4" w:space="0" w:color="auto"/>
            </w:tcBorders>
            <w:vAlign w:val="center"/>
          </w:tcPr>
          <w:p w14:paraId="7C94B07C" w14:textId="794FF2DC" w:rsidR="00786693" w:rsidRPr="00121379" w:rsidRDefault="00786693" w:rsidP="00121379">
            <w:pPr>
              <w:jc w:val="center"/>
              <w:rPr>
                <w:sz w:val="20"/>
                <w:szCs w:val="20"/>
              </w:rPr>
            </w:pPr>
            <w:r w:rsidRPr="00121379">
              <w:rPr>
                <w:sz w:val="20"/>
                <w:szCs w:val="20"/>
              </w:rPr>
              <w:t>ORIENTA SOBRE</w:t>
            </w:r>
          </w:p>
        </w:tc>
        <w:tc>
          <w:tcPr>
            <w:tcW w:w="2408" w:type="dxa"/>
            <w:tcBorders>
              <w:top w:val="single" w:sz="4" w:space="0" w:color="auto"/>
            </w:tcBorders>
            <w:vAlign w:val="center"/>
          </w:tcPr>
          <w:p w14:paraId="6F439296" w14:textId="0B24DA43" w:rsidR="00786693" w:rsidRPr="00121379" w:rsidRDefault="00753791" w:rsidP="00121379">
            <w:pPr>
              <w:jc w:val="center"/>
              <w:rPr>
                <w:sz w:val="20"/>
                <w:szCs w:val="20"/>
              </w:rPr>
            </w:pPr>
            <w:r w:rsidRPr="00121379">
              <w:rPr>
                <w:sz w:val="20"/>
                <w:szCs w:val="20"/>
              </w:rPr>
              <w:t>CARACTERÍSTICA DO RESÍDUO</w:t>
            </w:r>
          </w:p>
        </w:tc>
      </w:tr>
      <w:tr w:rsidR="00786693" w:rsidRPr="00121379" w14:paraId="10E800DC" w14:textId="77777777" w:rsidTr="002E330B">
        <w:tc>
          <w:tcPr>
            <w:tcW w:w="1085" w:type="dxa"/>
            <w:vMerge w:val="restart"/>
            <w:vAlign w:val="center"/>
          </w:tcPr>
          <w:p w14:paraId="64AB98B0" w14:textId="1FD5E507" w:rsidR="00786693" w:rsidRPr="00121379" w:rsidRDefault="00786693" w:rsidP="00121379">
            <w:pPr>
              <w:jc w:val="center"/>
              <w:rPr>
                <w:sz w:val="20"/>
                <w:szCs w:val="20"/>
              </w:rPr>
            </w:pPr>
            <w:r w:rsidRPr="00121379">
              <w:rPr>
                <w:sz w:val="20"/>
                <w:szCs w:val="20"/>
              </w:rPr>
              <w:t>Grupo A</w:t>
            </w:r>
          </w:p>
        </w:tc>
        <w:tc>
          <w:tcPr>
            <w:tcW w:w="1390" w:type="dxa"/>
            <w:tcBorders>
              <w:bottom w:val="single" w:sz="4" w:space="0" w:color="auto"/>
            </w:tcBorders>
            <w:vAlign w:val="center"/>
          </w:tcPr>
          <w:p w14:paraId="260D96DE" w14:textId="77777777" w:rsidR="00786693" w:rsidRPr="00121379" w:rsidRDefault="00786693" w:rsidP="00121379">
            <w:pPr>
              <w:jc w:val="center"/>
              <w:rPr>
                <w:sz w:val="20"/>
                <w:szCs w:val="20"/>
              </w:rPr>
            </w:pPr>
            <w:r w:rsidRPr="00121379">
              <w:rPr>
                <w:sz w:val="20"/>
                <w:szCs w:val="20"/>
              </w:rPr>
              <w:t>Subgrupo A1</w:t>
            </w:r>
          </w:p>
        </w:tc>
        <w:tc>
          <w:tcPr>
            <w:tcW w:w="4193" w:type="dxa"/>
            <w:tcBorders>
              <w:bottom w:val="single" w:sz="4" w:space="0" w:color="auto"/>
            </w:tcBorders>
            <w:vAlign w:val="center"/>
          </w:tcPr>
          <w:p w14:paraId="726190F2" w14:textId="211F216A" w:rsidR="00786693" w:rsidRPr="00121379" w:rsidRDefault="00786693" w:rsidP="00121379">
            <w:pPr>
              <w:rPr>
                <w:sz w:val="20"/>
                <w:szCs w:val="20"/>
              </w:rPr>
            </w:pPr>
            <w:r w:rsidRPr="00121379">
              <w:rPr>
                <w:sz w:val="20"/>
                <w:szCs w:val="20"/>
              </w:rPr>
              <w:t>As culturas e os estoques de microrganismos</w:t>
            </w:r>
            <w:r w:rsidR="001E3D22" w:rsidRPr="00121379">
              <w:rPr>
                <w:sz w:val="20"/>
                <w:szCs w:val="20"/>
              </w:rPr>
              <w:t>.</w:t>
            </w:r>
          </w:p>
        </w:tc>
        <w:tc>
          <w:tcPr>
            <w:tcW w:w="2408" w:type="dxa"/>
            <w:vMerge w:val="restart"/>
            <w:vAlign w:val="center"/>
          </w:tcPr>
          <w:p w14:paraId="24028D00" w14:textId="42519648" w:rsidR="00786693" w:rsidRPr="00121379" w:rsidRDefault="00786693" w:rsidP="00121379">
            <w:pPr>
              <w:rPr>
                <w:sz w:val="20"/>
                <w:szCs w:val="20"/>
              </w:rPr>
            </w:pPr>
            <w:r w:rsidRPr="00121379">
              <w:rPr>
                <w:sz w:val="20"/>
                <w:szCs w:val="20"/>
              </w:rPr>
              <w:t>Resíduo com possível presença de agentes biológicos</w:t>
            </w:r>
            <w:r w:rsidR="001E3D22" w:rsidRPr="00121379">
              <w:rPr>
                <w:sz w:val="20"/>
                <w:szCs w:val="20"/>
              </w:rPr>
              <w:t>.</w:t>
            </w:r>
          </w:p>
        </w:tc>
      </w:tr>
      <w:tr w:rsidR="00786693" w:rsidRPr="00121379" w14:paraId="774E9093" w14:textId="77777777" w:rsidTr="002E330B">
        <w:tc>
          <w:tcPr>
            <w:tcW w:w="1085" w:type="dxa"/>
            <w:vMerge/>
            <w:vAlign w:val="center"/>
          </w:tcPr>
          <w:p w14:paraId="2F75B2D1" w14:textId="77777777" w:rsidR="00786693" w:rsidRPr="00121379" w:rsidRDefault="00786693" w:rsidP="00121379">
            <w:pPr>
              <w:jc w:val="center"/>
              <w:rPr>
                <w:sz w:val="20"/>
                <w:szCs w:val="20"/>
              </w:rPr>
            </w:pPr>
          </w:p>
        </w:tc>
        <w:tc>
          <w:tcPr>
            <w:tcW w:w="1390" w:type="dxa"/>
            <w:tcBorders>
              <w:bottom w:val="single" w:sz="4" w:space="0" w:color="auto"/>
            </w:tcBorders>
            <w:vAlign w:val="center"/>
          </w:tcPr>
          <w:p w14:paraId="5159CCEC" w14:textId="77777777" w:rsidR="00786693" w:rsidRPr="00121379" w:rsidRDefault="00786693" w:rsidP="00121379">
            <w:pPr>
              <w:jc w:val="center"/>
              <w:rPr>
                <w:sz w:val="20"/>
                <w:szCs w:val="20"/>
              </w:rPr>
            </w:pPr>
            <w:r w:rsidRPr="00121379">
              <w:rPr>
                <w:sz w:val="20"/>
                <w:szCs w:val="20"/>
              </w:rPr>
              <w:t>Subgrupo A2</w:t>
            </w:r>
          </w:p>
        </w:tc>
        <w:tc>
          <w:tcPr>
            <w:tcW w:w="4193" w:type="dxa"/>
            <w:tcBorders>
              <w:bottom w:val="single" w:sz="4" w:space="0" w:color="auto"/>
            </w:tcBorders>
            <w:vAlign w:val="center"/>
          </w:tcPr>
          <w:p w14:paraId="7D176122" w14:textId="58AA878D" w:rsidR="00786693" w:rsidRPr="00121379" w:rsidRDefault="00786693" w:rsidP="00121379">
            <w:pPr>
              <w:rPr>
                <w:sz w:val="20"/>
                <w:szCs w:val="20"/>
              </w:rPr>
            </w:pPr>
            <w:r w:rsidRPr="00121379">
              <w:rPr>
                <w:sz w:val="20"/>
                <w:szCs w:val="20"/>
              </w:rPr>
              <w:t>O tratamento das culturas e os estoques de microrganismos</w:t>
            </w:r>
            <w:r w:rsidR="001E3D22" w:rsidRPr="00121379">
              <w:rPr>
                <w:sz w:val="20"/>
                <w:szCs w:val="20"/>
              </w:rPr>
              <w:t>.</w:t>
            </w:r>
          </w:p>
        </w:tc>
        <w:tc>
          <w:tcPr>
            <w:tcW w:w="2408" w:type="dxa"/>
            <w:vMerge/>
            <w:vAlign w:val="center"/>
          </w:tcPr>
          <w:p w14:paraId="04F648AC" w14:textId="77777777" w:rsidR="00786693" w:rsidRPr="00121379" w:rsidRDefault="00786693" w:rsidP="00121379">
            <w:pPr>
              <w:rPr>
                <w:sz w:val="20"/>
                <w:szCs w:val="20"/>
              </w:rPr>
            </w:pPr>
          </w:p>
        </w:tc>
      </w:tr>
      <w:tr w:rsidR="00786693" w:rsidRPr="00121379" w14:paraId="05388BDD" w14:textId="77777777" w:rsidTr="002E330B">
        <w:tc>
          <w:tcPr>
            <w:tcW w:w="1085" w:type="dxa"/>
            <w:vMerge/>
            <w:vAlign w:val="center"/>
          </w:tcPr>
          <w:p w14:paraId="1C0D4A0C" w14:textId="77777777" w:rsidR="00786693" w:rsidRPr="00121379" w:rsidRDefault="00786693" w:rsidP="00121379">
            <w:pPr>
              <w:jc w:val="center"/>
              <w:rPr>
                <w:sz w:val="20"/>
                <w:szCs w:val="20"/>
              </w:rPr>
            </w:pPr>
          </w:p>
        </w:tc>
        <w:tc>
          <w:tcPr>
            <w:tcW w:w="1390" w:type="dxa"/>
            <w:tcBorders>
              <w:bottom w:val="single" w:sz="4" w:space="0" w:color="auto"/>
            </w:tcBorders>
            <w:vAlign w:val="center"/>
          </w:tcPr>
          <w:p w14:paraId="44DE5E8A" w14:textId="77777777" w:rsidR="00786693" w:rsidRPr="00121379" w:rsidRDefault="00786693" w:rsidP="00121379">
            <w:pPr>
              <w:jc w:val="center"/>
              <w:rPr>
                <w:sz w:val="20"/>
                <w:szCs w:val="20"/>
              </w:rPr>
            </w:pPr>
            <w:r w:rsidRPr="00121379">
              <w:rPr>
                <w:sz w:val="20"/>
                <w:szCs w:val="20"/>
              </w:rPr>
              <w:t>Subgrupo A3</w:t>
            </w:r>
          </w:p>
        </w:tc>
        <w:tc>
          <w:tcPr>
            <w:tcW w:w="4193" w:type="dxa"/>
            <w:tcBorders>
              <w:bottom w:val="single" w:sz="4" w:space="0" w:color="auto"/>
            </w:tcBorders>
            <w:vAlign w:val="center"/>
          </w:tcPr>
          <w:p w14:paraId="21DDA61B" w14:textId="5854EE2E" w:rsidR="00786693" w:rsidRPr="00121379" w:rsidRDefault="00786693" w:rsidP="00121379">
            <w:pPr>
              <w:rPr>
                <w:sz w:val="20"/>
                <w:szCs w:val="20"/>
              </w:rPr>
            </w:pPr>
            <w:r w:rsidRPr="00121379">
              <w:rPr>
                <w:sz w:val="20"/>
                <w:szCs w:val="20"/>
              </w:rPr>
              <w:t>Sepultamento, cremação, incineração ou outra destinação licenciada</w:t>
            </w:r>
            <w:r w:rsidR="001E3D22" w:rsidRPr="00121379">
              <w:rPr>
                <w:sz w:val="20"/>
                <w:szCs w:val="20"/>
              </w:rPr>
              <w:t>.</w:t>
            </w:r>
          </w:p>
        </w:tc>
        <w:tc>
          <w:tcPr>
            <w:tcW w:w="2408" w:type="dxa"/>
            <w:vMerge/>
            <w:vAlign w:val="center"/>
          </w:tcPr>
          <w:p w14:paraId="4F3A28B5" w14:textId="77777777" w:rsidR="00786693" w:rsidRPr="00121379" w:rsidRDefault="00786693" w:rsidP="00121379">
            <w:pPr>
              <w:rPr>
                <w:sz w:val="20"/>
                <w:szCs w:val="20"/>
              </w:rPr>
            </w:pPr>
          </w:p>
        </w:tc>
      </w:tr>
      <w:tr w:rsidR="00786693" w:rsidRPr="00121379" w14:paraId="1DE15CE8" w14:textId="77777777" w:rsidTr="002E330B">
        <w:tc>
          <w:tcPr>
            <w:tcW w:w="1085" w:type="dxa"/>
            <w:vMerge/>
            <w:vAlign w:val="center"/>
          </w:tcPr>
          <w:p w14:paraId="655A442C" w14:textId="77777777" w:rsidR="00786693" w:rsidRPr="00121379" w:rsidRDefault="00786693" w:rsidP="00121379">
            <w:pPr>
              <w:jc w:val="center"/>
              <w:rPr>
                <w:sz w:val="20"/>
                <w:szCs w:val="20"/>
              </w:rPr>
            </w:pPr>
          </w:p>
        </w:tc>
        <w:tc>
          <w:tcPr>
            <w:tcW w:w="1390" w:type="dxa"/>
            <w:tcBorders>
              <w:bottom w:val="single" w:sz="4" w:space="0" w:color="auto"/>
            </w:tcBorders>
            <w:vAlign w:val="center"/>
          </w:tcPr>
          <w:p w14:paraId="52F6303D" w14:textId="77777777" w:rsidR="00786693" w:rsidRPr="00121379" w:rsidRDefault="00786693" w:rsidP="00121379">
            <w:pPr>
              <w:jc w:val="center"/>
              <w:rPr>
                <w:sz w:val="20"/>
                <w:szCs w:val="20"/>
              </w:rPr>
            </w:pPr>
            <w:r w:rsidRPr="00121379">
              <w:rPr>
                <w:sz w:val="20"/>
                <w:szCs w:val="20"/>
              </w:rPr>
              <w:t>Subgrupo A4</w:t>
            </w:r>
          </w:p>
        </w:tc>
        <w:tc>
          <w:tcPr>
            <w:tcW w:w="4193" w:type="dxa"/>
            <w:tcBorders>
              <w:bottom w:val="single" w:sz="4" w:space="0" w:color="auto"/>
            </w:tcBorders>
            <w:vAlign w:val="center"/>
          </w:tcPr>
          <w:p w14:paraId="49A56F59" w14:textId="6F20CC92" w:rsidR="00786693" w:rsidRPr="00121379" w:rsidRDefault="00786693" w:rsidP="00121379">
            <w:pPr>
              <w:rPr>
                <w:sz w:val="20"/>
                <w:szCs w:val="20"/>
              </w:rPr>
            </w:pPr>
            <w:r w:rsidRPr="00121379">
              <w:rPr>
                <w:sz w:val="20"/>
                <w:szCs w:val="20"/>
              </w:rPr>
              <w:t>RSS que não necessitam de tratamento prévio</w:t>
            </w:r>
            <w:r w:rsidR="001E3D22" w:rsidRPr="00121379">
              <w:rPr>
                <w:sz w:val="20"/>
                <w:szCs w:val="20"/>
              </w:rPr>
              <w:t>.</w:t>
            </w:r>
          </w:p>
        </w:tc>
        <w:tc>
          <w:tcPr>
            <w:tcW w:w="2408" w:type="dxa"/>
            <w:vMerge/>
            <w:vAlign w:val="center"/>
          </w:tcPr>
          <w:p w14:paraId="6AAD8557" w14:textId="77777777" w:rsidR="00786693" w:rsidRPr="00121379" w:rsidRDefault="00786693" w:rsidP="00121379">
            <w:pPr>
              <w:rPr>
                <w:sz w:val="20"/>
                <w:szCs w:val="20"/>
              </w:rPr>
            </w:pPr>
          </w:p>
        </w:tc>
      </w:tr>
      <w:tr w:rsidR="00786693" w:rsidRPr="00121379" w14:paraId="388E5C06" w14:textId="77777777" w:rsidTr="002E330B">
        <w:tc>
          <w:tcPr>
            <w:tcW w:w="1085" w:type="dxa"/>
            <w:vMerge/>
            <w:tcBorders>
              <w:bottom w:val="single" w:sz="4" w:space="0" w:color="auto"/>
            </w:tcBorders>
            <w:vAlign w:val="center"/>
          </w:tcPr>
          <w:p w14:paraId="69B6053F" w14:textId="77777777" w:rsidR="00786693" w:rsidRPr="00121379" w:rsidRDefault="00786693" w:rsidP="00121379">
            <w:pPr>
              <w:jc w:val="center"/>
              <w:rPr>
                <w:sz w:val="20"/>
                <w:szCs w:val="20"/>
              </w:rPr>
            </w:pPr>
          </w:p>
        </w:tc>
        <w:tc>
          <w:tcPr>
            <w:tcW w:w="1390" w:type="dxa"/>
            <w:tcBorders>
              <w:bottom w:val="single" w:sz="4" w:space="0" w:color="auto"/>
            </w:tcBorders>
            <w:vAlign w:val="center"/>
          </w:tcPr>
          <w:p w14:paraId="06F44158" w14:textId="77777777" w:rsidR="00786693" w:rsidRPr="00121379" w:rsidRDefault="00786693" w:rsidP="00121379">
            <w:pPr>
              <w:jc w:val="center"/>
              <w:rPr>
                <w:sz w:val="20"/>
                <w:szCs w:val="20"/>
              </w:rPr>
            </w:pPr>
            <w:r w:rsidRPr="00121379">
              <w:rPr>
                <w:sz w:val="20"/>
                <w:szCs w:val="20"/>
              </w:rPr>
              <w:t>Subgrupo A5</w:t>
            </w:r>
          </w:p>
        </w:tc>
        <w:tc>
          <w:tcPr>
            <w:tcW w:w="4193" w:type="dxa"/>
            <w:tcBorders>
              <w:bottom w:val="single" w:sz="4" w:space="0" w:color="auto"/>
            </w:tcBorders>
            <w:vAlign w:val="center"/>
          </w:tcPr>
          <w:p w14:paraId="637B7F52" w14:textId="57CD040A" w:rsidR="00786693" w:rsidRPr="00121379" w:rsidRDefault="00786693" w:rsidP="00121379">
            <w:pPr>
              <w:rPr>
                <w:sz w:val="20"/>
                <w:szCs w:val="20"/>
              </w:rPr>
            </w:pPr>
            <w:r w:rsidRPr="00121379">
              <w:rPr>
                <w:sz w:val="20"/>
                <w:szCs w:val="20"/>
              </w:rPr>
              <w:t>Tratamento por incineração</w:t>
            </w:r>
            <w:r w:rsidR="001E3D22" w:rsidRPr="00121379">
              <w:rPr>
                <w:sz w:val="20"/>
                <w:szCs w:val="20"/>
              </w:rPr>
              <w:t>.</w:t>
            </w:r>
          </w:p>
        </w:tc>
        <w:tc>
          <w:tcPr>
            <w:tcW w:w="2408" w:type="dxa"/>
            <w:vMerge/>
            <w:vAlign w:val="center"/>
          </w:tcPr>
          <w:p w14:paraId="13D04907" w14:textId="77777777" w:rsidR="00786693" w:rsidRPr="00121379" w:rsidRDefault="00786693" w:rsidP="00121379">
            <w:pPr>
              <w:rPr>
                <w:sz w:val="20"/>
                <w:szCs w:val="20"/>
              </w:rPr>
            </w:pPr>
          </w:p>
        </w:tc>
      </w:tr>
      <w:tr w:rsidR="00786693" w:rsidRPr="00121379" w14:paraId="34C9C2E9" w14:textId="77777777" w:rsidTr="002E330B">
        <w:tc>
          <w:tcPr>
            <w:tcW w:w="1085" w:type="dxa"/>
            <w:tcBorders>
              <w:bottom w:val="single" w:sz="4" w:space="0" w:color="auto"/>
            </w:tcBorders>
            <w:vAlign w:val="center"/>
          </w:tcPr>
          <w:p w14:paraId="486D1AC9" w14:textId="77777777" w:rsidR="00786693" w:rsidRPr="00121379" w:rsidRDefault="00786693" w:rsidP="00121379">
            <w:pPr>
              <w:jc w:val="center"/>
              <w:rPr>
                <w:sz w:val="20"/>
                <w:szCs w:val="20"/>
              </w:rPr>
            </w:pPr>
            <w:r w:rsidRPr="00121379">
              <w:rPr>
                <w:sz w:val="20"/>
                <w:szCs w:val="20"/>
              </w:rPr>
              <w:t>Grupo B</w:t>
            </w:r>
          </w:p>
        </w:tc>
        <w:tc>
          <w:tcPr>
            <w:tcW w:w="1390" w:type="dxa"/>
            <w:tcBorders>
              <w:bottom w:val="single" w:sz="4" w:space="0" w:color="auto"/>
            </w:tcBorders>
            <w:vAlign w:val="center"/>
          </w:tcPr>
          <w:p w14:paraId="1CA96B3C" w14:textId="77777777" w:rsidR="00786693" w:rsidRPr="00121379" w:rsidRDefault="00786693" w:rsidP="00121379">
            <w:pPr>
              <w:jc w:val="center"/>
              <w:rPr>
                <w:sz w:val="20"/>
                <w:szCs w:val="20"/>
              </w:rPr>
            </w:pPr>
          </w:p>
        </w:tc>
        <w:tc>
          <w:tcPr>
            <w:tcW w:w="4193" w:type="dxa"/>
            <w:tcBorders>
              <w:top w:val="single" w:sz="4" w:space="0" w:color="auto"/>
              <w:bottom w:val="single" w:sz="4" w:space="0" w:color="auto"/>
            </w:tcBorders>
            <w:vAlign w:val="center"/>
          </w:tcPr>
          <w:p w14:paraId="2A83AAF3" w14:textId="7B0DB45B" w:rsidR="00786693" w:rsidRPr="00121379" w:rsidRDefault="00786693" w:rsidP="00121379">
            <w:pPr>
              <w:rPr>
                <w:sz w:val="20"/>
                <w:szCs w:val="20"/>
              </w:rPr>
            </w:pPr>
            <w:r w:rsidRPr="00121379">
              <w:rPr>
                <w:sz w:val="20"/>
                <w:szCs w:val="20"/>
              </w:rPr>
              <w:t>Trata da periculosidade das substâncias presentes, decorrentes das características de inflamabilidade, corrosividade, reatividade e toxicidade</w:t>
            </w:r>
            <w:r w:rsidR="001E3D22" w:rsidRPr="00121379">
              <w:rPr>
                <w:sz w:val="20"/>
                <w:szCs w:val="20"/>
              </w:rPr>
              <w:t>.</w:t>
            </w:r>
          </w:p>
        </w:tc>
        <w:tc>
          <w:tcPr>
            <w:tcW w:w="2408" w:type="dxa"/>
            <w:vAlign w:val="center"/>
          </w:tcPr>
          <w:p w14:paraId="1841F110" w14:textId="4EFF1987" w:rsidR="00786693" w:rsidRPr="00121379" w:rsidRDefault="00786693" w:rsidP="00121379">
            <w:pPr>
              <w:rPr>
                <w:sz w:val="20"/>
                <w:szCs w:val="20"/>
              </w:rPr>
            </w:pPr>
            <w:r w:rsidRPr="00121379">
              <w:rPr>
                <w:sz w:val="20"/>
                <w:szCs w:val="20"/>
              </w:rPr>
              <w:t>Resíduos</w:t>
            </w:r>
            <w:r w:rsidR="001E3D22" w:rsidRPr="00121379">
              <w:rPr>
                <w:sz w:val="20"/>
                <w:szCs w:val="20"/>
              </w:rPr>
              <w:t xml:space="preserve"> </w:t>
            </w:r>
            <w:r w:rsidRPr="00121379">
              <w:rPr>
                <w:sz w:val="20"/>
                <w:szCs w:val="20"/>
              </w:rPr>
              <w:t>contendo produtos químicos</w:t>
            </w:r>
            <w:r w:rsidR="001E3D22" w:rsidRPr="00121379">
              <w:rPr>
                <w:sz w:val="20"/>
                <w:szCs w:val="20"/>
              </w:rPr>
              <w:t>.</w:t>
            </w:r>
          </w:p>
        </w:tc>
      </w:tr>
      <w:tr w:rsidR="00786693" w:rsidRPr="00121379" w14:paraId="2B0D15C6" w14:textId="77777777" w:rsidTr="002E330B">
        <w:tc>
          <w:tcPr>
            <w:tcW w:w="1085" w:type="dxa"/>
            <w:tcBorders>
              <w:bottom w:val="single" w:sz="4" w:space="0" w:color="auto"/>
            </w:tcBorders>
            <w:vAlign w:val="center"/>
          </w:tcPr>
          <w:p w14:paraId="3B474527" w14:textId="77777777" w:rsidR="00786693" w:rsidRPr="00121379" w:rsidRDefault="00786693" w:rsidP="00121379">
            <w:pPr>
              <w:jc w:val="center"/>
              <w:rPr>
                <w:sz w:val="20"/>
                <w:szCs w:val="20"/>
              </w:rPr>
            </w:pPr>
            <w:r w:rsidRPr="00121379">
              <w:rPr>
                <w:sz w:val="20"/>
                <w:szCs w:val="20"/>
              </w:rPr>
              <w:t>Grupo C</w:t>
            </w:r>
          </w:p>
        </w:tc>
        <w:tc>
          <w:tcPr>
            <w:tcW w:w="1390" w:type="dxa"/>
            <w:tcBorders>
              <w:bottom w:val="single" w:sz="4" w:space="0" w:color="auto"/>
            </w:tcBorders>
            <w:vAlign w:val="center"/>
          </w:tcPr>
          <w:p w14:paraId="3834C136" w14:textId="77777777" w:rsidR="00786693" w:rsidRPr="00121379" w:rsidRDefault="00786693" w:rsidP="00121379">
            <w:pPr>
              <w:jc w:val="center"/>
              <w:rPr>
                <w:sz w:val="20"/>
                <w:szCs w:val="20"/>
              </w:rPr>
            </w:pPr>
          </w:p>
        </w:tc>
        <w:tc>
          <w:tcPr>
            <w:tcW w:w="4193" w:type="dxa"/>
            <w:tcBorders>
              <w:bottom w:val="single" w:sz="4" w:space="0" w:color="auto"/>
            </w:tcBorders>
            <w:vAlign w:val="center"/>
          </w:tcPr>
          <w:p w14:paraId="5AE4F880" w14:textId="6BC00938" w:rsidR="00786693" w:rsidRPr="00121379" w:rsidRDefault="00786693" w:rsidP="00121379">
            <w:pPr>
              <w:rPr>
                <w:sz w:val="20"/>
                <w:szCs w:val="20"/>
              </w:rPr>
            </w:pPr>
            <w:r w:rsidRPr="00121379">
              <w:rPr>
                <w:sz w:val="20"/>
                <w:szCs w:val="20"/>
              </w:rPr>
              <w:t>Rejeitos Radioativos</w:t>
            </w:r>
            <w:r w:rsidR="001E3D22" w:rsidRPr="00121379">
              <w:rPr>
                <w:sz w:val="20"/>
                <w:szCs w:val="20"/>
              </w:rPr>
              <w:t>.</w:t>
            </w:r>
          </w:p>
        </w:tc>
        <w:tc>
          <w:tcPr>
            <w:tcW w:w="2408" w:type="dxa"/>
            <w:vAlign w:val="center"/>
          </w:tcPr>
          <w:p w14:paraId="1D1E3612" w14:textId="2B8333ED" w:rsidR="00786693" w:rsidRPr="00121379" w:rsidRDefault="00786693" w:rsidP="00121379">
            <w:pPr>
              <w:rPr>
                <w:sz w:val="20"/>
                <w:szCs w:val="20"/>
              </w:rPr>
            </w:pPr>
            <w:r w:rsidRPr="00121379">
              <w:rPr>
                <w:sz w:val="20"/>
                <w:szCs w:val="20"/>
              </w:rPr>
              <w:t>Rejeitos radioativos</w:t>
            </w:r>
            <w:r w:rsidR="001E3D22" w:rsidRPr="00121379">
              <w:rPr>
                <w:sz w:val="20"/>
                <w:szCs w:val="20"/>
              </w:rPr>
              <w:t>.</w:t>
            </w:r>
          </w:p>
        </w:tc>
      </w:tr>
      <w:tr w:rsidR="00786693" w:rsidRPr="00121379" w14:paraId="0CBF8D8A" w14:textId="77777777" w:rsidTr="002E330B">
        <w:tc>
          <w:tcPr>
            <w:tcW w:w="1085" w:type="dxa"/>
            <w:tcBorders>
              <w:bottom w:val="single" w:sz="4" w:space="0" w:color="auto"/>
            </w:tcBorders>
            <w:vAlign w:val="center"/>
          </w:tcPr>
          <w:p w14:paraId="3009207A" w14:textId="77777777" w:rsidR="00786693" w:rsidRPr="00121379" w:rsidRDefault="00786693" w:rsidP="00121379">
            <w:pPr>
              <w:jc w:val="center"/>
              <w:rPr>
                <w:sz w:val="20"/>
                <w:szCs w:val="20"/>
              </w:rPr>
            </w:pPr>
            <w:r w:rsidRPr="00121379">
              <w:rPr>
                <w:sz w:val="20"/>
                <w:szCs w:val="20"/>
              </w:rPr>
              <w:t>Grupo D</w:t>
            </w:r>
          </w:p>
        </w:tc>
        <w:tc>
          <w:tcPr>
            <w:tcW w:w="1390" w:type="dxa"/>
            <w:tcBorders>
              <w:bottom w:val="single" w:sz="4" w:space="0" w:color="auto"/>
            </w:tcBorders>
            <w:vAlign w:val="center"/>
          </w:tcPr>
          <w:p w14:paraId="692FB019" w14:textId="77777777" w:rsidR="00786693" w:rsidRPr="00121379" w:rsidRDefault="00786693" w:rsidP="00121379">
            <w:pPr>
              <w:jc w:val="center"/>
              <w:rPr>
                <w:sz w:val="20"/>
                <w:szCs w:val="20"/>
              </w:rPr>
            </w:pPr>
          </w:p>
        </w:tc>
        <w:tc>
          <w:tcPr>
            <w:tcW w:w="4193" w:type="dxa"/>
            <w:tcBorders>
              <w:bottom w:val="single" w:sz="4" w:space="0" w:color="auto"/>
            </w:tcBorders>
            <w:vAlign w:val="center"/>
          </w:tcPr>
          <w:p w14:paraId="6583AFBB" w14:textId="77777777" w:rsidR="00786693" w:rsidRPr="00121379" w:rsidRDefault="00786693" w:rsidP="00121379">
            <w:pPr>
              <w:rPr>
                <w:sz w:val="20"/>
                <w:szCs w:val="20"/>
              </w:rPr>
            </w:pPr>
            <w:r w:rsidRPr="00121379">
              <w:rPr>
                <w:sz w:val="20"/>
                <w:szCs w:val="20"/>
              </w:rPr>
              <w:t>Trata dos rejeitos (RSS não encaminhados para reutilização, recuperação, reciclagem, compostagem, logística reversa ou aproveitamento).</w:t>
            </w:r>
          </w:p>
        </w:tc>
        <w:tc>
          <w:tcPr>
            <w:tcW w:w="2408" w:type="dxa"/>
            <w:tcBorders>
              <w:bottom w:val="single" w:sz="4" w:space="0" w:color="auto"/>
            </w:tcBorders>
            <w:vAlign w:val="center"/>
          </w:tcPr>
          <w:p w14:paraId="07F9946B" w14:textId="636BC371" w:rsidR="00786693" w:rsidRPr="00121379" w:rsidRDefault="00786693" w:rsidP="00121379">
            <w:pPr>
              <w:rPr>
                <w:sz w:val="20"/>
                <w:szCs w:val="20"/>
              </w:rPr>
            </w:pPr>
            <w:r w:rsidRPr="00121379">
              <w:rPr>
                <w:sz w:val="20"/>
                <w:szCs w:val="20"/>
              </w:rPr>
              <w:t>Resíduos que não apresentam risco biológico, químico ou radiológico à saúde ou ao meio ambiente</w:t>
            </w:r>
            <w:r w:rsidR="001E3D22" w:rsidRPr="00121379">
              <w:rPr>
                <w:sz w:val="20"/>
                <w:szCs w:val="20"/>
              </w:rPr>
              <w:t>.</w:t>
            </w:r>
          </w:p>
        </w:tc>
      </w:tr>
      <w:tr w:rsidR="00786693" w:rsidRPr="00121379" w14:paraId="68B32301" w14:textId="77777777" w:rsidTr="002E330B">
        <w:tc>
          <w:tcPr>
            <w:tcW w:w="1085" w:type="dxa"/>
            <w:tcBorders>
              <w:bottom w:val="single" w:sz="4" w:space="0" w:color="auto"/>
            </w:tcBorders>
            <w:vAlign w:val="center"/>
          </w:tcPr>
          <w:p w14:paraId="2BA5913E" w14:textId="77777777" w:rsidR="00786693" w:rsidRPr="00121379" w:rsidRDefault="00786693" w:rsidP="00121379">
            <w:pPr>
              <w:jc w:val="center"/>
              <w:rPr>
                <w:sz w:val="20"/>
                <w:szCs w:val="20"/>
              </w:rPr>
            </w:pPr>
            <w:r w:rsidRPr="00121379">
              <w:rPr>
                <w:sz w:val="20"/>
                <w:szCs w:val="20"/>
              </w:rPr>
              <w:t>Grupo E</w:t>
            </w:r>
          </w:p>
        </w:tc>
        <w:tc>
          <w:tcPr>
            <w:tcW w:w="1390" w:type="dxa"/>
            <w:tcBorders>
              <w:bottom w:val="single" w:sz="4" w:space="0" w:color="auto"/>
            </w:tcBorders>
            <w:vAlign w:val="center"/>
          </w:tcPr>
          <w:p w14:paraId="09C1D483" w14:textId="77777777" w:rsidR="00786693" w:rsidRPr="00121379" w:rsidRDefault="00786693" w:rsidP="00121379">
            <w:pPr>
              <w:jc w:val="center"/>
              <w:rPr>
                <w:sz w:val="20"/>
                <w:szCs w:val="20"/>
              </w:rPr>
            </w:pPr>
          </w:p>
        </w:tc>
        <w:tc>
          <w:tcPr>
            <w:tcW w:w="4193" w:type="dxa"/>
            <w:tcBorders>
              <w:bottom w:val="single" w:sz="4" w:space="0" w:color="auto"/>
            </w:tcBorders>
            <w:vAlign w:val="center"/>
          </w:tcPr>
          <w:p w14:paraId="6C026906" w14:textId="77777777" w:rsidR="00786693" w:rsidRPr="00121379" w:rsidRDefault="00786693" w:rsidP="00121379">
            <w:pPr>
              <w:rPr>
                <w:sz w:val="20"/>
                <w:szCs w:val="20"/>
              </w:rPr>
            </w:pPr>
            <w:r w:rsidRPr="00121379">
              <w:rPr>
                <w:sz w:val="20"/>
                <w:szCs w:val="20"/>
              </w:rPr>
              <w:t>Tratamento dos materiais perfurocortantes.</w:t>
            </w:r>
          </w:p>
        </w:tc>
        <w:tc>
          <w:tcPr>
            <w:tcW w:w="2408" w:type="dxa"/>
            <w:tcBorders>
              <w:bottom w:val="single" w:sz="4" w:space="0" w:color="auto"/>
            </w:tcBorders>
            <w:vAlign w:val="center"/>
          </w:tcPr>
          <w:p w14:paraId="3383F74D" w14:textId="3835B6AB" w:rsidR="00786693" w:rsidRPr="00121379" w:rsidRDefault="00786693" w:rsidP="00121379">
            <w:pPr>
              <w:rPr>
                <w:sz w:val="20"/>
                <w:szCs w:val="20"/>
              </w:rPr>
            </w:pPr>
            <w:r w:rsidRPr="00121379">
              <w:rPr>
                <w:sz w:val="20"/>
                <w:szCs w:val="20"/>
              </w:rPr>
              <w:t>Materiais perfurocortantes</w:t>
            </w:r>
            <w:r w:rsidR="001E3D22" w:rsidRPr="00121379">
              <w:rPr>
                <w:sz w:val="20"/>
                <w:szCs w:val="20"/>
              </w:rPr>
              <w:t>.</w:t>
            </w:r>
          </w:p>
        </w:tc>
      </w:tr>
      <w:tr w:rsidR="00786693" w:rsidRPr="00121379" w14:paraId="2FE0E105" w14:textId="77777777" w:rsidTr="002E330B">
        <w:tc>
          <w:tcPr>
            <w:tcW w:w="6668" w:type="dxa"/>
            <w:gridSpan w:val="3"/>
            <w:tcBorders>
              <w:top w:val="nil"/>
              <w:left w:val="nil"/>
              <w:bottom w:val="nil"/>
              <w:right w:val="nil"/>
            </w:tcBorders>
            <w:vAlign w:val="center"/>
          </w:tcPr>
          <w:p w14:paraId="3B52DBFE" w14:textId="2EFBC191" w:rsidR="001B4446" w:rsidRPr="00121379" w:rsidRDefault="00786693" w:rsidP="0038543F">
            <w:pPr>
              <w:rPr>
                <w:sz w:val="20"/>
                <w:szCs w:val="20"/>
              </w:rPr>
            </w:pPr>
            <w:r w:rsidRPr="00121379">
              <w:rPr>
                <w:sz w:val="20"/>
                <w:szCs w:val="20"/>
              </w:rPr>
              <w:t>Fonte: Adapta</w:t>
            </w:r>
            <w:r w:rsidR="00753791" w:rsidRPr="00121379">
              <w:rPr>
                <w:sz w:val="20"/>
                <w:szCs w:val="20"/>
              </w:rPr>
              <w:t>do</w:t>
            </w:r>
            <w:r w:rsidRPr="00121379">
              <w:rPr>
                <w:sz w:val="20"/>
                <w:szCs w:val="20"/>
              </w:rPr>
              <w:t xml:space="preserve"> da RDC 222</w:t>
            </w:r>
            <w:r w:rsidR="004F1D7A" w:rsidRPr="00121379">
              <w:rPr>
                <w:sz w:val="20"/>
                <w:szCs w:val="20"/>
              </w:rPr>
              <w:t xml:space="preserve">, </w:t>
            </w:r>
            <w:r w:rsidRPr="00121379">
              <w:rPr>
                <w:sz w:val="20"/>
                <w:szCs w:val="20"/>
              </w:rPr>
              <w:t>ANVISA</w:t>
            </w:r>
            <w:r w:rsidR="004F1D7A" w:rsidRPr="00121379">
              <w:rPr>
                <w:sz w:val="20"/>
                <w:szCs w:val="20"/>
              </w:rPr>
              <w:t xml:space="preserve"> (</w:t>
            </w:r>
            <w:r w:rsidRPr="00121379">
              <w:rPr>
                <w:sz w:val="20"/>
                <w:szCs w:val="20"/>
              </w:rPr>
              <w:t>2018)</w:t>
            </w:r>
            <w:r w:rsidR="004F1D7A" w:rsidRPr="00121379">
              <w:rPr>
                <w:sz w:val="20"/>
                <w:szCs w:val="20"/>
              </w:rPr>
              <w:t>.</w:t>
            </w:r>
          </w:p>
        </w:tc>
        <w:tc>
          <w:tcPr>
            <w:tcW w:w="2408" w:type="dxa"/>
            <w:tcBorders>
              <w:top w:val="nil"/>
              <w:left w:val="nil"/>
              <w:bottom w:val="nil"/>
              <w:right w:val="nil"/>
            </w:tcBorders>
            <w:vAlign w:val="center"/>
          </w:tcPr>
          <w:p w14:paraId="74CE7810" w14:textId="77777777" w:rsidR="00786693" w:rsidRPr="00121379" w:rsidRDefault="00786693" w:rsidP="00121379">
            <w:pPr>
              <w:jc w:val="center"/>
              <w:rPr>
                <w:sz w:val="20"/>
                <w:szCs w:val="20"/>
              </w:rPr>
            </w:pPr>
          </w:p>
        </w:tc>
      </w:tr>
    </w:tbl>
    <w:p w14:paraId="592342E0" w14:textId="77777777" w:rsidR="00D90320" w:rsidRDefault="00D90320" w:rsidP="00E55028">
      <w:pPr>
        <w:spacing w:line="360" w:lineRule="auto"/>
        <w:ind w:firstLine="709"/>
        <w:jc w:val="both"/>
        <w:rPr>
          <w:sz w:val="24"/>
          <w:szCs w:val="24"/>
          <w:highlight w:val="white"/>
        </w:rPr>
      </w:pPr>
    </w:p>
    <w:p w14:paraId="50AC1AC2" w14:textId="2F423D88" w:rsidR="001B4446" w:rsidRPr="004B4AF1" w:rsidRDefault="00E12438" w:rsidP="00E55028">
      <w:pPr>
        <w:spacing w:line="360" w:lineRule="auto"/>
        <w:ind w:firstLine="709"/>
        <w:jc w:val="both"/>
        <w:rPr>
          <w:sz w:val="24"/>
          <w:szCs w:val="24"/>
        </w:rPr>
      </w:pPr>
      <w:r w:rsidRPr="004B4AF1">
        <w:rPr>
          <w:sz w:val="24"/>
          <w:szCs w:val="24"/>
          <w:highlight w:val="white"/>
        </w:rPr>
        <w:t>Redimensionando-se exclusivamente para a área da saúde bucal, observa-se que, devido à diversidade de procedimentos e materiais utilizados, a Odontologia configura-se como uma relevante geradora de Resíduos de Serviços de Saúde (RSS). Suas práticas clínicas, muitas vezes comparáveis a centros cirúrgicos em microescala, envolvem o manejo de secreções biológicas, substâncias tóxicas e materiais perfurocortantes</w:t>
      </w:r>
      <w:r w:rsidR="00000A42">
        <w:rPr>
          <w:sz w:val="24"/>
          <w:szCs w:val="24"/>
          <w:highlight w:val="white"/>
        </w:rPr>
        <w:t>, e</w:t>
      </w:r>
      <w:r w:rsidRPr="004B4AF1">
        <w:rPr>
          <w:sz w:val="24"/>
          <w:szCs w:val="24"/>
          <w:highlight w:val="white"/>
        </w:rPr>
        <w:t>specialmente em especialidades que demandam intervenções laboratoriais e diagnósticas, como a radiologia. Os principais resíduos gerados podem ser observados na Figura 1:</w:t>
      </w:r>
    </w:p>
    <w:p w14:paraId="00D04288" w14:textId="77777777" w:rsidR="001B4446" w:rsidRPr="004B4AF1" w:rsidRDefault="001B4446" w:rsidP="0067200B">
      <w:pPr>
        <w:ind w:firstLine="709"/>
        <w:jc w:val="both"/>
        <w:rPr>
          <w:color w:val="EE0000"/>
          <w:sz w:val="24"/>
          <w:szCs w:val="24"/>
        </w:rPr>
      </w:pPr>
    </w:p>
    <w:p w14:paraId="0A18E38E" w14:textId="3D57842C" w:rsidR="00786693" w:rsidRPr="0067200B" w:rsidRDefault="00786693" w:rsidP="0067200B">
      <w:pPr>
        <w:jc w:val="both"/>
        <w:rPr>
          <w:sz w:val="20"/>
          <w:szCs w:val="20"/>
          <w:highlight w:val="white"/>
        </w:rPr>
      </w:pPr>
      <w:r w:rsidRPr="0067200B">
        <w:rPr>
          <w:sz w:val="20"/>
          <w:szCs w:val="20"/>
          <w:highlight w:val="white"/>
        </w:rPr>
        <w:t>Figura 1</w:t>
      </w:r>
      <w:r w:rsidR="00C10045" w:rsidRPr="0067200B">
        <w:rPr>
          <w:sz w:val="20"/>
          <w:szCs w:val="20"/>
          <w:highlight w:val="white"/>
        </w:rPr>
        <w:t xml:space="preserve"> –</w:t>
      </w:r>
      <w:r w:rsidRPr="0067200B">
        <w:rPr>
          <w:sz w:val="20"/>
          <w:szCs w:val="20"/>
          <w:highlight w:val="white"/>
        </w:rPr>
        <w:t xml:space="preserve"> Classificação do descarte de resíduos sólidos odontológicos</w:t>
      </w:r>
      <w:r w:rsidR="002C078E" w:rsidRPr="0067200B">
        <w:rPr>
          <w:sz w:val="20"/>
          <w:szCs w:val="20"/>
          <w:highlight w:val="white"/>
        </w:rPr>
        <w:t>.</w:t>
      </w:r>
    </w:p>
    <w:p w14:paraId="77DE7940" w14:textId="77777777" w:rsidR="00786693" w:rsidRPr="0067200B" w:rsidRDefault="00786693" w:rsidP="0067200B">
      <w:pPr>
        <w:pBdr>
          <w:top w:val="single" w:sz="4" w:space="1" w:color="auto"/>
        </w:pBdr>
        <w:ind w:firstLine="720"/>
        <w:jc w:val="center"/>
        <w:rPr>
          <w:sz w:val="20"/>
          <w:szCs w:val="20"/>
          <w:highlight w:val="white"/>
        </w:rPr>
      </w:pPr>
    </w:p>
    <w:p w14:paraId="2CDE9512" w14:textId="77777777" w:rsidR="00786693" w:rsidRPr="0067200B" w:rsidRDefault="00786693" w:rsidP="0067200B">
      <w:pPr>
        <w:ind w:firstLine="720"/>
        <w:jc w:val="center"/>
        <w:rPr>
          <w:sz w:val="20"/>
          <w:szCs w:val="20"/>
        </w:rPr>
      </w:pPr>
      <w:r w:rsidRPr="0067200B">
        <w:rPr>
          <w:noProof/>
          <w:sz w:val="20"/>
          <w:szCs w:val="20"/>
        </w:rPr>
        <w:drawing>
          <wp:inline distT="114300" distB="114300" distL="114300" distR="114300" wp14:anchorId="1FB1751E" wp14:editId="7F4BA9E4">
            <wp:extent cx="4305300" cy="1821180"/>
            <wp:effectExtent l="0" t="0" r="0" b="7620"/>
            <wp:docPr id="3" name="image1.png"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 name="image1.png" descr="Diagrama&#10;&#10;O conteúdo gerado por IA pode estar incorreto."/>
                    <pic:cNvPicPr preferRelativeResize="0"/>
                  </pic:nvPicPr>
                  <pic:blipFill rotWithShape="1">
                    <a:blip r:embed="rId8"/>
                    <a:srcRect l="5116" t="6173" r="2937" b="10352"/>
                    <a:stretch>
                      <a:fillRect/>
                    </a:stretch>
                  </pic:blipFill>
                  <pic:spPr bwMode="auto">
                    <a:xfrm>
                      <a:off x="0" y="0"/>
                      <a:ext cx="4306636" cy="1821745"/>
                    </a:xfrm>
                    <a:prstGeom prst="rect">
                      <a:avLst/>
                    </a:prstGeom>
                    <a:ln>
                      <a:noFill/>
                    </a:ln>
                    <a:extLst>
                      <a:ext uri="{53640926-AAD7-44D8-BBD7-CCE9431645EC}">
                        <a14:shadowObscured xmlns:a14="http://schemas.microsoft.com/office/drawing/2010/main"/>
                      </a:ext>
                    </a:extLst>
                  </pic:spPr>
                </pic:pic>
              </a:graphicData>
            </a:graphic>
          </wp:inline>
        </w:drawing>
      </w:r>
    </w:p>
    <w:p w14:paraId="7209A116" w14:textId="4CB5A587" w:rsidR="00786693" w:rsidRPr="0067200B" w:rsidRDefault="00786693" w:rsidP="0067200B">
      <w:pPr>
        <w:pBdr>
          <w:top w:val="single" w:sz="4" w:space="1" w:color="auto"/>
        </w:pBdr>
        <w:jc w:val="both"/>
        <w:rPr>
          <w:color w:val="EE0000"/>
          <w:sz w:val="20"/>
          <w:szCs w:val="20"/>
        </w:rPr>
      </w:pPr>
      <w:r w:rsidRPr="0067200B">
        <w:rPr>
          <w:sz w:val="20"/>
          <w:szCs w:val="20"/>
        </w:rPr>
        <w:t xml:space="preserve">Fonte: </w:t>
      </w:r>
      <w:r w:rsidR="00046273" w:rsidRPr="0067200B">
        <w:rPr>
          <w:sz w:val="20"/>
          <w:szCs w:val="20"/>
        </w:rPr>
        <w:t>A</w:t>
      </w:r>
      <w:r w:rsidR="004260FB" w:rsidRPr="0067200B">
        <w:rPr>
          <w:sz w:val="20"/>
          <w:szCs w:val="20"/>
        </w:rPr>
        <w:t>utores (2025).</w:t>
      </w:r>
    </w:p>
    <w:p w14:paraId="05D0306D" w14:textId="1DF51907" w:rsidR="00266E00" w:rsidRPr="004B4AF1" w:rsidRDefault="00786693" w:rsidP="00010C97">
      <w:pPr>
        <w:spacing w:line="360" w:lineRule="auto"/>
        <w:ind w:firstLine="709"/>
        <w:jc w:val="both"/>
        <w:rPr>
          <w:sz w:val="24"/>
          <w:szCs w:val="24"/>
        </w:rPr>
      </w:pPr>
      <w:r w:rsidRPr="004B4AF1">
        <w:rPr>
          <w:sz w:val="24"/>
          <w:szCs w:val="24"/>
          <w:highlight w:val="white"/>
        </w:rPr>
        <w:lastRenderedPageBreak/>
        <w:t>O descarte de materiais, contaminados ou não por agentes químicos ou biológicos, deve seguir protocolos definidos pela Lei de Biossegurança, respaldados pela ABNT e pela CTNBio</w:t>
      </w:r>
      <w:r w:rsidR="003D1E46" w:rsidRPr="004B4AF1">
        <w:rPr>
          <w:sz w:val="24"/>
          <w:szCs w:val="24"/>
          <w:highlight w:val="white"/>
        </w:rPr>
        <w:t xml:space="preserve">. </w:t>
      </w:r>
      <w:r w:rsidR="0067200B" w:rsidRPr="004B4AF1">
        <w:rPr>
          <w:sz w:val="24"/>
          <w:szCs w:val="24"/>
          <w:highlight w:val="white"/>
        </w:rPr>
        <w:t>O</w:t>
      </w:r>
      <w:r w:rsidR="0067200B">
        <w:rPr>
          <w:sz w:val="24"/>
          <w:szCs w:val="24"/>
          <w:highlight w:val="white"/>
        </w:rPr>
        <w:t>s</w:t>
      </w:r>
      <w:r w:rsidR="0067200B" w:rsidRPr="004B4AF1">
        <w:rPr>
          <w:sz w:val="24"/>
          <w:szCs w:val="24"/>
          <w:highlight w:val="white"/>
        </w:rPr>
        <w:t xml:space="preserve"> hospita</w:t>
      </w:r>
      <w:r w:rsidR="0038543F">
        <w:rPr>
          <w:sz w:val="24"/>
          <w:szCs w:val="24"/>
          <w:highlight w:val="white"/>
        </w:rPr>
        <w:t>is</w:t>
      </w:r>
      <w:r w:rsidR="0067200B" w:rsidRPr="004B4AF1">
        <w:rPr>
          <w:sz w:val="24"/>
          <w:szCs w:val="24"/>
          <w:highlight w:val="white"/>
        </w:rPr>
        <w:t xml:space="preserve"> contém</w:t>
      </w:r>
      <w:r w:rsidR="004260FB" w:rsidRPr="004B4AF1">
        <w:rPr>
          <w:sz w:val="24"/>
          <w:szCs w:val="24"/>
          <w:highlight w:val="white"/>
        </w:rPr>
        <w:t xml:space="preserve"> lixos bem perigosos, que </w:t>
      </w:r>
      <w:r w:rsidRPr="004B4AF1">
        <w:rPr>
          <w:sz w:val="24"/>
          <w:szCs w:val="24"/>
          <w:highlight w:val="white"/>
        </w:rPr>
        <w:t>reside</w:t>
      </w:r>
      <w:r w:rsidR="004260FB" w:rsidRPr="004B4AF1">
        <w:rPr>
          <w:sz w:val="24"/>
          <w:szCs w:val="24"/>
          <w:highlight w:val="white"/>
        </w:rPr>
        <w:t>m</w:t>
      </w:r>
      <w:r w:rsidRPr="004B4AF1">
        <w:rPr>
          <w:sz w:val="24"/>
          <w:szCs w:val="24"/>
          <w:highlight w:val="white"/>
        </w:rPr>
        <w:t xml:space="preserve"> nos resíduos infectantes, como sangue, secreções e peças anatômicas, que podem contaminar o solo e os corpos d’água, afetando ecossistemas e populações humanas (B</w:t>
      </w:r>
      <w:r w:rsidR="00000A42" w:rsidRPr="004B4AF1">
        <w:rPr>
          <w:sz w:val="24"/>
          <w:szCs w:val="24"/>
          <w:highlight w:val="white"/>
        </w:rPr>
        <w:t>inário</w:t>
      </w:r>
      <w:r w:rsidRPr="004B4AF1">
        <w:rPr>
          <w:sz w:val="24"/>
          <w:szCs w:val="24"/>
          <w:highlight w:val="white"/>
        </w:rPr>
        <w:t>,</w:t>
      </w:r>
      <w:r w:rsidR="003348DB" w:rsidRPr="004B4AF1">
        <w:rPr>
          <w:sz w:val="24"/>
          <w:szCs w:val="24"/>
          <w:highlight w:val="white"/>
        </w:rPr>
        <w:t xml:space="preserve"> </w:t>
      </w:r>
      <w:r w:rsidRPr="004B4AF1">
        <w:rPr>
          <w:sz w:val="24"/>
          <w:szCs w:val="24"/>
          <w:highlight w:val="white"/>
        </w:rPr>
        <w:t>2023). Perfurocortantes descartados em aterros comuns expõem catadores a patógenos, agravando o risco sanitário. A gestão adequada dos RSS</w:t>
      </w:r>
      <w:r w:rsidR="00000A42">
        <w:rPr>
          <w:sz w:val="24"/>
          <w:szCs w:val="24"/>
          <w:highlight w:val="white"/>
        </w:rPr>
        <w:t xml:space="preserve">, </w:t>
      </w:r>
      <w:r w:rsidRPr="004B4AF1">
        <w:rPr>
          <w:sz w:val="24"/>
          <w:szCs w:val="24"/>
          <w:highlight w:val="white"/>
        </w:rPr>
        <w:t>desde a segregação na origem até o transporte e tratamento final, conforme normas da ANVISA (2018) é essencial para proteger a saúde pública e preservar o meio ambiente.</w:t>
      </w:r>
    </w:p>
    <w:p w14:paraId="2F1AE6BD" w14:textId="77777777" w:rsidR="0019423C" w:rsidRPr="004B4AF1" w:rsidRDefault="0019423C" w:rsidP="00472060">
      <w:pPr>
        <w:ind w:firstLine="720"/>
        <w:jc w:val="both"/>
        <w:rPr>
          <w:sz w:val="24"/>
          <w:szCs w:val="24"/>
        </w:rPr>
      </w:pPr>
    </w:p>
    <w:p w14:paraId="20507029" w14:textId="129A6F8B" w:rsidR="00F06CF3" w:rsidRPr="004B4AF1" w:rsidRDefault="003949CE" w:rsidP="00266E00">
      <w:pPr>
        <w:spacing w:line="360" w:lineRule="auto"/>
        <w:rPr>
          <w:sz w:val="24"/>
          <w:szCs w:val="24"/>
          <w:highlight w:val="white"/>
        </w:rPr>
      </w:pPr>
      <w:r w:rsidRPr="004B4AF1">
        <w:rPr>
          <w:b/>
          <w:sz w:val="24"/>
          <w:szCs w:val="24"/>
        </w:rPr>
        <w:t>2. METODOLOGIA</w:t>
      </w:r>
    </w:p>
    <w:p w14:paraId="3F368B60" w14:textId="5C9D7877" w:rsidR="00B660DA" w:rsidRPr="00CE0CFB" w:rsidRDefault="00B660DA" w:rsidP="00B660DA">
      <w:pPr>
        <w:spacing w:line="360" w:lineRule="auto"/>
        <w:ind w:firstLine="709"/>
        <w:jc w:val="both"/>
      </w:pPr>
      <w:r w:rsidRPr="00CE0CFB">
        <w:t xml:space="preserve">A pesquisa adotou uma abordagem </w:t>
      </w:r>
      <w:r w:rsidR="00402CA2">
        <w:t>mista</w:t>
      </w:r>
      <w:r w:rsidRPr="00CE0CFB">
        <w:t>, iniciando-se com uma análise bibliográfica que fundamentou teoricamente o estudo. Foram explorados conceitos, normas técnicas e legislações relacionadas ao gerenciamento de resíduos de serviços de saúde, com ênfase no contexto odontológico, especialmente em conformidade com a RDC nº 222/2018 da ANVISA.</w:t>
      </w:r>
    </w:p>
    <w:p w14:paraId="2A8DC3A8" w14:textId="2A69AE40" w:rsidR="00B660DA" w:rsidRPr="00CE0CFB" w:rsidRDefault="00CC710F" w:rsidP="00B660DA">
      <w:pPr>
        <w:spacing w:line="360" w:lineRule="auto"/>
        <w:ind w:firstLine="709"/>
        <w:jc w:val="both"/>
      </w:pPr>
      <w:r>
        <w:t xml:space="preserve">Assim, </w:t>
      </w:r>
      <w:r w:rsidR="00B660DA" w:rsidRPr="00CE0CFB">
        <w:t>realizou-se uma pesquisa do tipo survey, utilizando questionário estruturado com perguntas abertas e fechadas, aplicado aos responsáveis técnicos de 10 clínicas odontológicas ao longo de um período de um ano. O foco esteve nas práticas de identificação, armazenamento, acondicionamento, segregação e coleta dos resíduos.</w:t>
      </w:r>
    </w:p>
    <w:p w14:paraId="1B97DF72" w14:textId="6DFE7B11" w:rsidR="00B660DA" w:rsidRPr="00CE0CFB" w:rsidRDefault="00B660DA" w:rsidP="00B660DA">
      <w:pPr>
        <w:spacing w:line="360" w:lineRule="auto"/>
        <w:ind w:firstLine="709"/>
        <w:jc w:val="both"/>
      </w:pPr>
      <w:r w:rsidRPr="00CE0CFB">
        <w:t xml:space="preserve">A amostragem foi não probabilística por conveniência, selecionando clínicas acessíveis e disponíveis no momento da coleta, conforme os critérios de Mattar (1996), devido a restrições de tempo e recursos. A amostra baseou-se em uma busca no portal </w:t>
      </w:r>
      <w:hyperlink r:id="rId9" w:history="1">
        <w:r w:rsidRPr="00CE0CFB">
          <w:rPr>
            <w:rStyle w:val="Hyperlink"/>
            <w:color w:val="auto"/>
            <w:u w:val="none"/>
          </w:rPr>
          <w:t>Dentistas.net.br</w:t>
        </w:r>
      </w:hyperlink>
      <w:r w:rsidRPr="00CE0CFB">
        <w:t>, priorizando instituições que consentiram em participar e que apresentavam viabilidade logística para a realização da pesquisa.</w:t>
      </w:r>
    </w:p>
    <w:p w14:paraId="26E19E21" w14:textId="07173239" w:rsidR="003837CA" w:rsidRPr="004B4AF1" w:rsidRDefault="00B660DA" w:rsidP="00B660DA">
      <w:pPr>
        <w:spacing w:line="360" w:lineRule="auto"/>
        <w:ind w:firstLine="709"/>
        <w:jc w:val="both"/>
        <w:rPr>
          <w:sz w:val="24"/>
          <w:szCs w:val="24"/>
          <w:lang w:val="pt-BR"/>
        </w:rPr>
      </w:pPr>
      <w:r w:rsidRPr="00CE0CFB">
        <w:t>Embora esse método não assegure representatividade estatística, permitiu alcançar os objetivos propostos dentro dos limites operacionais do estudo. Buscou-se garantir diversidade quanto ao porte das clínicas, à localização geográfica e ao perfil dos profissionais envolvidos, reconhecendo que tais variáveis são essenciais para o desenvolvimento de estratégias eficazes e sustentáveis de gestão de resíduos, respeitando as especificidades locais e promovendo a responsabilidade ambiental no cuidado à saúde</w:t>
      </w:r>
    </w:p>
    <w:p w14:paraId="40C99149" w14:textId="77777777" w:rsidR="003837CA" w:rsidRPr="004B4AF1" w:rsidRDefault="003837CA" w:rsidP="00472060">
      <w:pPr>
        <w:ind w:firstLine="709"/>
        <w:jc w:val="both"/>
        <w:rPr>
          <w:sz w:val="24"/>
          <w:szCs w:val="24"/>
        </w:rPr>
      </w:pPr>
    </w:p>
    <w:p w14:paraId="600D7D72" w14:textId="77777777" w:rsidR="00355D20" w:rsidRPr="004B4AF1" w:rsidRDefault="003949CE" w:rsidP="00355D20">
      <w:pPr>
        <w:pBdr>
          <w:bottom w:val="none" w:sz="0" w:space="8" w:color="000000"/>
        </w:pBdr>
        <w:shd w:val="clear" w:color="auto" w:fill="FFFFFF"/>
        <w:tabs>
          <w:tab w:val="left" w:pos="2500"/>
        </w:tabs>
        <w:spacing w:line="360" w:lineRule="auto"/>
        <w:jc w:val="both"/>
        <w:rPr>
          <w:color w:val="FF0000"/>
          <w:sz w:val="24"/>
          <w:szCs w:val="24"/>
        </w:rPr>
      </w:pPr>
      <w:r w:rsidRPr="004B4AF1">
        <w:rPr>
          <w:b/>
          <w:sz w:val="24"/>
          <w:szCs w:val="24"/>
        </w:rPr>
        <w:t>3. RESULTADOS E DISCUSSÃO</w:t>
      </w:r>
      <w:r w:rsidRPr="004B4AF1">
        <w:rPr>
          <w:b/>
          <w:sz w:val="28"/>
          <w:szCs w:val="28"/>
        </w:rPr>
        <w:t xml:space="preserve"> </w:t>
      </w:r>
    </w:p>
    <w:p w14:paraId="66A625AE" w14:textId="7B362E3D" w:rsidR="008166C9" w:rsidRPr="004B4AF1" w:rsidRDefault="008166C9" w:rsidP="00E55028">
      <w:pPr>
        <w:pBdr>
          <w:bottom w:val="none" w:sz="0" w:space="8" w:color="000000"/>
        </w:pBdr>
        <w:shd w:val="clear" w:color="auto" w:fill="FFFFFF"/>
        <w:tabs>
          <w:tab w:val="left" w:pos="2500"/>
        </w:tabs>
        <w:spacing w:line="360" w:lineRule="auto"/>
        <w:ind w:firstLine="709"/>
        <w:jc w:val="both"/>
        <w:rPr>
          <w:color w:val="FF0000"/>
          <w:sz w:val="24"/>
          <w:szCs w:val="24"/>
        </w:rPr>
      </w:pPr>
      <w:r w:rsidRPr="004B4AF1">
        <w:rPr>
          <w:sz w:val="24"/>
          <w:szCs w:val="24"/>
        </w:rPr>
        <w:t xml:space="preserve">A análise dos dados obtidos a partir do questionário aplicado às clínicas odontológicas </w:t>
      </w:r>
      <w:r w:rsidR="00F42CB1" w:rsidRPr="004B4AF1">
        <w:rPr>
          <w:sz w:val="24"/>
          <w:szCs w:val="24"/>
        </w:rPr>
        <w:t>em uma cidade do Sul do Pará</w:t>
      </w:r>
      <w:r w:rsidRPr="004B4AF1">
        <w:rPr>
          <w:sz w:val="24"/>
          <w:szCs w:val="24"/>
        </w:rPr>
        <w:t xml:space="preserve"> possibilitou identificar o nível de adequação </w:t>
      </w:r>
      <w:r w:rsidR="007E5F0D" w:rsidRPr="004B4AF1">
        <w:rPr>
          <w:sz w:val="24"/>
          <w:szCs w:val="24"/>
        </w:rPr>
        <w:t xml:space="preserve">a </w:t>
      </w:r>
      <w:r w:rsidR="003F53FA" w:rsidRPr="004B4AF1">
        <w:rPr>
          <w:sz w:val="24"/>
          <w:szCs w:val="24"/>
          <w:lang w:val="pt-BR"/>
        </w:rPr>
        <w:t>RDC nº 222/2018</w:t>
      </w:r>
      <w:r w:rsidR="007E5F0D" w:rsidRPr="004B4AF1">
        <w:rPr>
          <w:sz w:val="24"/>
          <w:szCs w:val="24"/>
          <w:lang w:val="pt-BR"/>
        </w:rPr>
        <w:t xml:space="preserve"> </w:t>
      </w:r>
      <w:r w:rsidRPr="004B4AF1">
        <w:rPr>
          <w:sz w:val="24"/>
          <w:szCs w:val="24"/>
        </w:rPr>
        <w:lastRenderedPageBreak/>
        <w:t>de gerenciamento de resíduos de serviços de saúde, conforme legislação vigente da ANVISA. Os resultados são apresentados a seguir, por meio da interpretação dos gráficos obtidos. Observa-se n</w:t>
      </w:r>
      <w:r w:rsidR="00725956" w:rsidRPr="004B4AF1">
        <w:rPr>
          <w:sz w:val="24"/>
          <w:szCs w:val="24"/>
        </w:rPr>
        <w:t xml:space="preserve">o Quadro </w:t>
      </w:r>
      <w:r w:rsidRPr="004B4AF1">
        <w:rPr>
          <w:sz w:val="24"/>
          <w:szCs w:val="24"/>
        </w:rPr>
        <w:t xml:space="preserve">02 que a maioria das clínicas possui o PGRSS atualizado e em uso. </w:t>
      </w:r>
    </w:p>
    <w:tbl>
      <w:tblPr>
        <w:tblStyle w:val="Tabelacomgrade"/>
        <w:tblW w:w="9072" w:type="dxa"/>
        <w:tblLook w:val="04A0" w:firstRow="1" w:lastRow="0" w:firstColumn="1" w:lastColumn="0" w:noHBand="0" w:noVBand="1"/>
      </w:tblPr>
      <w:tblGrid>
        <w:gridCol w:w="3686"/>
        <w:gridCol w:w="4536"/>
        <w:gridCol w:w="850"/>
      </w:tblGrid>
      <w:tr w:rsidR="008166C9" w:rsidRPr="004B4AF1" w14:paraId="34D4A403" w14:textId="77777777" w:rsidTr="007E745E">
        <w:trPr>
          <w:trHeight w:val="20"/>
        </w:trPr>
        <w:tc>
          <w:tcPr>
            <w:tcW w:w="9072" w:type="dxa"/>
            <w:gridSpan w:val="3"/>
            <w:tcBorders>
              <w:top w:val="nil"/>
              <w:left w:val="nil"/>
              <w:bottom w:val="single" w:sz="4" w:space="0" w:color="auto"/>
              <w:right w:val="single" w:sz="4" w:space="0" w:color="auto"/>
            </w:tcBorders>
          </w:tcPr>
          <w:p w14:paraId="60BC59FA" w14:textId="1E5A77AA" w:rsidR="008166C9" w:rsidRPr="008C1193" w:rsidRDefault="00725956" w:rsidP="00AE6839">
            <w:pPr>
              <w:jc w:val="both"/>
              <w:rPr>
                <w:iCs/>
                <w:sz w:val="20"/>
                <w:szCs w:val="20"/>
                <w:lang w:val="pt-BR"/>
              </w:rPr>
            </w:pPr>
            <w:r w:rsidRPr="008C1193">
              <w:rPr>
                <w:sz w:val="20"/>
                <w:szCs w:val="20"/>
              </w:rPr>
              <w:t>Quadro</w:t>
            </w:r>
            <w:r w:rsidR="008166C9" w:rsidRPr="008C1193">
              <w:rPr>
                <w:sz w:val="20"/>
                <w:szCs w:val="20"/>
              </w:rPr>
              <w:t xml:space="preserve"> 02 - </w:t>
            </w:r>
            <w:bookmarkStart w:id="0" w:name="_Hlk212723035"/>
            <w:r w:rsidR="008166C9" w:rsidRPr="008C1193">
              <w:rPr>
                <w:sz w:val="20"/>
                <w:szCs w:val="20"/>
              </w:rPr>
              <w:t>P</w:t>
            </w:r>
            <w:r w:rsidR="008166C9" w:rsidRPr="008C1193">
              <w:rPr>
                <w:iCs/>
                <w:sz w:val="20"/>
                <w:szCs w:val="20"/>
                <w:lang w:val="pt-BR"/>
              </w:rPr>
              <w:t>rocedimentos de descarte adotados de resíduos odontológicos</w:t>
            </w:r>
            <w:bookmarkEnd w:id="0"/>
            <w:r w:rsidR="00B3558C" w:rsidRPr="008C1193">
              <w:rPr>
                <w:iCs/>
                <w:sz w:val="20"/>
                <w:szCs w:val="20"/>
                <w:lang w:val="pt-BR"/>
              </w:rPr>
              <w:t>.</w:t>
            </w:r>
          </w:p>
        </w:tc>
      </w:tr>
      <w:tr w:rsidR="008166C9" w:rsidRPr="004B4AF1" w14:paraId="4435025A" w14:textId="77777777" w:rsidTr="007E745E">
        <w:trPr>
          <w:trHeight w:val="20"/>
        </w:trPr>
        <w:tc>
          <w:tcPr>
            <w:tcW w:w="3686" w:type="dxa"/>
            <w:vAlign w:val="center"/>
          </w:tcPr>
          <w:p w14:paraId="5CA4D8E9" w14:textId="77777777" w:rsidR="008166C9" w:rsidRPr="008C1193" w:rsidRDefault="008166C9" w:rsidP="00AE6839">
            <w:pPr>
              <w:jc w:val="both"/>
              <w:rPr>
                <w:sz w:val="20"/>
                <w:szCs w:val="20"/>
              </w:rPr>
            </w:pPr>
            <w:r w:rsidRPr="008C1193">
              <w:rPr>
                <w:sz w:val="20"/>
                <w:szCs w:val="20"/>
              </w:rPr>
              <w:t>PROCEDIMENTOS OBSERVADOS</w:t>
            </w:r>
          </w:p>
        </w:tc>
        <w:tc>
          <w:tcPr>
            <w:tcW w:w="4536" w:type="dxa"/>
            <w:vAlign w:val="center"/>
          </w:tcPr>
          <w:p w14:paraId="20640A8E" w14:textId="060E0037" w:rsidR="008166C9" w:rsidRPr="008C1193" w:rsidRDefault="00AE6839" w:rsidP="00AE6839">
            <w:pPr>
              <w:jc w:val="both"/>
              <w:rPr>
                <w:sz w:val="20"/>
                <w:szCs w:val="20"/>
              </w:rPr>
            </w:pPr>
            <w:r w:rsidRPr="008C1193">
              <w:rPr>
                <w:sz w:val="20"/>
                <w:szCs w:val="20"/>
              </w:rPr>
              <w:t>PROCEDIMENTOS ADOTADOS</w:t>
            </w:r>
          </w:p>
        </w:tc>
        <w:tc>
          <w:tcPr>
            <w:tcW w:w="850" w:type="dxa"/>
            <w:vAlign w:val="center"/>
          </w:tcPr>
          <w:p w14:paraId="38F5AE85" w14:textId="77777777" w:rsidR="008166C9" w:rsidRPr="008C1193" w:rsidRDefault="008166C9" w:rsidP="00AE6839">
            <w:pPr>
              <w:jc w:val="both"/>
              <w:rPr>
                <w:sz w:val="20"/>
                <w:szCs w:val="20"/>
              </w:rPr>
            </w:pPr>
            <w:r w:rsidRPr="008C1193">
              <w:rPr>
                <w:sz w:val="20"/>
                <w:szCs w:val="20"/>
              </w:rPr>
              <w:t>%</w:t>
            </w:r>
          </w:p>
        </w:tc>
      </w:tr>
      <w:tr w:rsidR="008166C9" w:rsidRPr="004B4AF1" w14:paraId="2E090205" w14:textId="77777777" w:rsidTr="007E745E">
        <w:trPr>
          <w:trHeight w:val="20"/>
        </w:trPr>
        <w:tc>
          <w:tcPr>
            <w:tcW w:w="3686" w:type="dxa"/>
            <w:vMerge w:val="restart"/>
            <w:vAlign w:val="center"/>
          </w:tcPr>
          <w:p w14:paraId="40A80EF6"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Quanto ao Plano de Gerenciamento de Resíduos de Serviços de Saúde </w:t>
            </w:r>
          </w:p>
        </w:tc>
        <w:tc>
          <w:tcPr>
            <w:tcW w:w="4536" w:type="dxa"/>
            <w:vAlign w:val="center"/>
          </w:tcPr>
          <w:p w14:paraId="0A52CC29" w14:textId="1E5DD8B1" w:rsidR="008166C9" w:rsidRPr="008C1193" w:rsidRDefault="008166C9" w:rsidP="00AE6839">
            <w:pPr>
              <w:jc w:val="both"/>
              <w:rPr>
                <w:sz w:val="20"/>
                <w:szCs w:val="20"/>
              </w:rPr>
            </w:pPr>
            <w:r w:rsidRPr="008C1193">
              <w:rPr>
                <w:sz w:val="20"/>
                <w:szCs w:val="20"/>
              </w:rPr>
              <w:t xml:space="preserve">Dispõe </w:t>
            </w:r>
            <w:r w:rsidR="001A2089" w:rsidRPr="008C1193">
              <w:rPr>
                <w:sz w:val="20"/>
                <w:szCs w:val="20"/>
              </w:rPr>
              <w:t xml:space="preserve">de </w:t>
            </w:r>
            <w:r w:rsidRPr="008C1193">
              <w:rPr>
                <w:sz w:val="20"/>
                <w:szCs w:val="20"/>
              </w:rPr>
              <w:t>plano, e o executa</w:t>
            </w:r>
          </w:p>
        </w:tc>
        <w:tc>
          <w:tcPr>
            <w:tcW w:w="850" w:type="dxa"/>
            <w:vAlign w:val="center"/>
          </w:tcPr>
          <w:p w14:paraId="256EFDBD" w14:textId="77777777" w:rsidR="008166C9" w:rsidRPr="008C1193" w:rsidRDefault="008166C9" w:rsidP="00AE6839">
            <w:pPr>
              <w:jc w:val="both"/>
              <w:rPr>
                <w:sz w:val="20"/>
                <w:szCs w:val="20"/>
              </w:rPr>
            </w:pPr>
            <w:r w:rsidRPr="008C1193">
              <w:rPr>
                <w:sz w:val="20"/>
                <w:szCs w:val="20"/>
              </w:rPr>
              <w:t>66,67</w:t>
            </w:r>
          </w:p>
        </w:tc>
      </w:tr>
      <w:tr w:rsidR="008166C9" w:rsidRPr="004B4AF1" w14:paraId="120AA043" w14:textId="77777777" w:rsidTr="007E745E">
        <w:trPr>
          <w:trHeight w:val="20"/>
        </w:trPr>
        <w:tc>
          <w:tcPr>
            <w:tcW w:w="3686" w:type="dxa"/>
            <w:vMerge/>
            <w:vAlign w:val="center"/>
          </w:tcPr>
          <w:p w14:paraId="2A9F42CC" w14:textId="77777777" w:rsidR="008166C9" w:rsidRPr="008C1193" w:rsidRDefault="008166C9" w:rsidP="00AE6839">
            <w:pPr>
              <w:ind w:left="318"/>
              <w:jc w:val="both"/>
              <w:rPr>
                <w:sz w:val="20"/>
                <w:szCs w:val="20"/>
              </w:rPr>
            </w:pPr>
          </w:p>
        </w:tc>
        <w:tc>
          <w:tcPr>
            <w:tcW w:w="4536" w:type="dxa"/>
            <w:tcBorders>
              <w:bottom w:val="single" w:sz="4" w:space="0" w:color="auto"/>
            </w:tcBorders>
            <w:vAlign w:val="center"/>
          </w:tcPr>
          <w:p w14:paraId="3AD262CD" w14:textId="77777777" w:rsidR="008166C9" w:rsidRPr="008C1193" w:rsidRDefault="008166C9" w:rsidP="00AE6839">
            <w:pPr>
              <w:jc w:val="both"/>
              <w:rPr>
                <w:sz w:val="20"/>
                <w:szCs w:val="20"/>
              </w:rPr>
            </w:pPr>
            <w:r w:rsidRPr="008C1193">
              <w:rPr>
                <w:sz w:val="20"/>
                <w:szCs w:val="20"/>
              </w:rPr>
              <w:t>Dispõe de plano, porém não o executa</w:t>
            </w:r>
          </w:p>
        </w:tc>
        <w:tc>
          <w:tcPr>
            <w:tcW w:w="850" w:type="dxa"/>
            <w:tcBorders>
              <w:bottom w:val="single" w:sz="4" w:space="0" w:color="auto"/>
            </w:tcBorders>
            <w:vAlign w:val="center"/>
          </w:tcPr>
          <w:p w14:paraId="34253262" w14:textId="77777777" w:rsidR="008166C9" w:rsidRPr="008C1193" w:rsidRDefault="008166C9" w:rsidP="00AE6839">
            <w:pPr>
              <w:jc w:val="both"/>
              <w:rPr>
                <w:sz w:val="20"/>
                <w:szCs w:val="20"/>
              </w:rPr>
            </w:pPr>
            <w:r w:rsidRPr="008C1193">
              <w:rPr>
                <w:sz w:val="20"/>
                <w:szCs w:val="20"/>
              </w:rPr>
              <w:t>33,33</w:t>
            </w:r>
          </w:p>
        </w:tc>
      </w:tr>
      <w:tr w:rsidR="008166C9" w:rsidRPr="004B4AF1" w14:paraId="470BE67D" w14:textId="77777777" w:rsidTr="007E745E">
        <w:trPr>
          <w:trHeight w:val="20"/>
        </w:trPr>
        <w:tc>
          <w:tcPr>
            <w:tcW w:w="3686" w:type="dxa"/>
            <w:vMerge/>
            <w:tcBorders>
              <w:bottom w:val="single" w:sz="4" w:space="0" w:color="auto"/>
            </w:tcBorders>
            <w:vAlign w:val="center"/>
          </w:tcPr>
          <w:p w14:paraId="3CB2E8D5" w14:textId="77777777" w:rsidR="008166C9" w:rsidRPr="008C1193" w:rsidRDefault="008166C9" w:rsidP="00AE6839">
            <w:pPr>
              <w:ind w:left="318"/>
              <w:jc w:val="both"/>
              <w:rPr>
                <w:sz w:val="20"/>
                <w:szCs w:val="20"/>
              </w:rPr>
            </w:pPr>
          </w:p>
        </w:tc>
        <w:tc>
          <w:tcPr>
            <w:tcW w:w="4536" w:type="dxa"/>
            <w:tcBorders>
              <w:bottom w:val="single" w:sz="4" w:space="0" w:color="auto"/>
            </w:tcBorders>
            <w:vAlign w:val="center"/>
          </w:tcPr>
          <w:p w14:paraId="369AF996" w14:textId="77777777" w:rsidR="008166C9" w:rsidRPr="008C1193" w:rsidRDefault="008166C9" w:rsidP="00AE6839">
            <w:pPr>
              <w:jc w:val="both"/>
              <w:rPr>
                <w:sz w:val="20"/>
                <w:szCs w:val="20"/>
              </w:rPr>
            </w:pPr>
            <w:r w:rsidRPr="008C1193">
              <w:rPr>
                <w:sz w:val="20"/>
                <w:szCs w:val="20"/>
              </w:rPr>
              <w:t>Não dispõe plano</w:t>
            </w:r>
          </w:p>
        </w:tc>
        <w:tc>
          <w:tcPr>
            <w:tcW w:w="850" w:type="dxa"/>
            <w:tcBorders>
              <w:bottom w:val="single" w:sz="4" w:space="0" w:color="auto"/>
            </w:tcBorders>
            <w:vAlign w:val="center"/>
          </w:tcPr>
          <w:p w14:paraId="7265D0E5" w14:textId="77777777" w:rsidR="008166C9" w:rsidRPr="008C1193" w:rsidRDefault="008166C9" w:rsidP="00AE6839">
            <w:pPr>
              <w:jc w:val="both"/>
              <w:rPr>
                <w:sz w:val="20"/>
                <w:szCs w:val="20"/>
              </w:rPr>
            </w:pPr>
            <w:r w:rsidRPr="008C1193">
              <w:rPr>
                <w:sz w:val="20"/>
                <w:szCs w:val="20"/>
              </w:rPr>
              <w:t>-</w:t>
            </w:r>
          </w:p>
        </w:tc>
      </w:tr>
      <w:tr w:rsidR="008166C9" w:rsidRPr="004B4AF1" w14:paraId="76526883" w14:textId="77777777" w:rsidTr="007E745E">
        <w:trPr>
          <w:trHeight w:val="20"/>
        </w:trPr>
        <w:tc>
          <w:tcPr>
            <w:tcW w:w="3686" w:type="dxa"/>
            <w:vMerge w:val="restart"/>
            <w:vAlign w:val="center"/>
          </w:tcPr>
          <w:p w14:paraId="2E9628A5"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Os RSS gerados classificados conformidade com ANVISA</w:t>
            </w:r>
          </w:p>
        </w:tc>
        <w:tc>
          <w:tcPr>
            <w:tcW w:w="4536" w:type="dxa"/>
            <w:tcBorders>
              <w:bottom w:val="single" w:sz="4" w:space="0" w:color="auto"/>
            </w:tcBorders>
            <w:vAlign w:val="center"/>
          </w:tcPr>
          <w:p w14:paraId="524A4240" w14:textId="0404EA63" w:rsidR="008166C9" w:rsidRPr="008C1193" w:rsidRDefault="00902A2D" w:rsidP="00AE6839">
            <w:pPr>
              <w:jc w:val="both"/>
              <w:rPr>
                <w:sz w:val="20"/>
                <w:szCs w:val="20"/>
              </w:rPr>
            </w:pPr>
            <w:r>
              <w:rPr>
                <w:sz w:val="20"/>
                <w:szCs w:val="20"/>
              </w:rPr>
              <w:t>C</w:t>
            </w:r>
            <w:r w:rsidR="00AE6839" w:rsidRPr="008C1193">
              <w:rPr>
                <w:sz w:val="20"/>
                <w:szCs w:val="20"/>
              </w:rPr>
              <w:t>lassificados em conformidade com ANVISA</w:t>
            </w:r>
          </w:p>
        </w:tc>
        <w:tc>
          <w:tcPr>
            <w:tcW w:w="850" w:type="dxa"/>
            <w:tcBorders>
              <w:bottom w:val="single" w:sz="4" w:space="0" w:color="auto"/>
            </w:tcBorders>
            <w:vAlign w:val="center"/>
          </w:tcPr>
          <w:p w14:paraId="05DC7A74" w14:textId="77777777" w:rsidR="008166C9" w:rsidRPr="008C1193" w:rsidRDefault="008166C9" w:rsidP="00AE6839">
            <w:pPr>
              <w:jc w:val="both"/>
              <w:rPr>
                <w:sz w:val="20"/>
                <w:szCs w:val="20"/>
              </w:rPr>
            </w:pPr>
            <w:r w:rsidRPr="008C1193">
              <w:rPr>
                <w:sz w:val="20"/>
                <w:szCs w:val="20"/>
              </w:rPr>
              <w:t>33,33</w:t>
            </w:r>
          </w:p>
        </w:tc>
      </w:tr>
      <w:tr w:rsidR="008166C9" w:rsidRPr="004B4AF1" w14:paraId="202264E7" w14:textId="77777777" w:rsidTr="007E745E">
        <w:trPr>
          <w:trHeight w:val="20"/>
        </w:trPr>
        <w:tc>
          <w:tcPr>
            <w:tcW w:w="3686" w:type="dxa"/>
            <w:vMerge/>
            <w:vAlign w:val="center"/>
          </w:tcPr>
          <w:p w14:paraId="52806884" w14:textId="77777777" w:rsidR="008166C9" w:rsidRPr="008C1193" w:rsidRDefault="008166C9" w:rsidP="00AE6839">
            <w:pPr>
              <w:jc w:val="both"/>
              <w:rPr>
                <w:sz w:val="20"/>
                <w:szCs w:val="20"/>
              </w:rPr>
            </w:pPr>
          </w:p>
        </w:tc>
        <w:tc>
          <w:tcPr>
            <w:tcW w:w="4536" w:type="dxa"/>
            <w:tcBorders>
              <w:bottom w:val="single" w:sz="4" w:space="0" w:color="auto"/>
            </w:tcBorders>
            <w:vAlign w:val="center"/>
          </w:tcPr>
          <w:p w14:paraId="233684C5" w14:textId="77777777" w:rsidR="008166C9" w:rsidRPr="008C1193" w:rsidRDefault="008166C9" w:rsidP="00AE6839">
            <w:pPr>
              <w:jc w:val="both"/>
              <w:rPr>
                <w:sz w:val="20"/>
                <w:szCs w:val="20"/>
              </w:rPr>
            </w:pPr>
            <w:r w:rsidRPr="008C1193">
              <w:rPr>
                <w:sz w:val="20"/>
                <w:szCs w:val="20"/>
              </w:rPr>
              <w:t>Parcialmente classificados</w:t>
            </w:r>
          </w:p>
        </w:tc>
        <w:tc>
          <w:tcPr>
            <w:tcW w:w="850" w:type="dxa"/>
            <w:tcBorders>
              <w:bottom w:val="single" w:sz="4" w:space="0" w:color="auto"/>
            </w:tcBorders>
            <w:vAlign w:val="center"/>
          </w:tcPr>
          <w:p w14:paraId="7D9033DB" w14:textId="77777777" w:rsidR="008166C9" w:rsidRPr="008C1193" w:rsidRDefault="008166C9" w:rsidP="00AE6839">
            <w:pPr>
              <w:jc w:val="both"/>
              <w:rPr>
                <w:sz w:val="20"/>
                <w:szCs w:val="20"/>
              </w:rPr>
            </w:pPr>
            <w:r w:rsidRPr="008C1193">
              <w:rPr>
                <w:sz w:val="20"/>
                <w:szCs w:val="20"/>
              </w:rPr>
              <w:t>66,67</w:t>
            </w:r>
          </w:p>
        </w:tc>
      </w:tr>
      <w:tr w:rsidR="008166C9" w:rsidRPr="004B4AF1" w14:paraId="053883C0" w14:textId="77777777" w:rsidTr="007E745E">
        <w:trPr>
          <w:trHeight w:val="20"/>
        </w:trPr>
        <w:tc>
          <w:tcPr>
            <w:tcW w:w="3686" w:type="dxa"/>
            <w:vMerge/>
            <w:tcBorders>
              <w:bottom w:val="single" w:sz="4" w:space="0" w:color="auto"/>
            </w:tcBorders>
            <w:vAlign w:val="center"/>
          </w:tcPr>
          <w:p w14:paraId="6285ADA2" w14:textId="77777777" w:rsidR="008166C9" w:rsidRPr="008C1193" w:rsidRDefault="008166C9" w:rsidP="00AE6839">
            <w:pPr>
              <w:jc w:val="both"/>
              <w:rPr>
                <w:sz w:val="20"/>
                <w:szCs w:val="20"/>
              </w:rPr>
            </w:pPr>
          </w:p>
        </w:tc>
        <w:tc>
          <w:tcPr>
            <w:tcW w:w="4536" w:type="dxa"/>
            <w:tcBorders>
              <w:bottom w:val="single" w:sz="4" w:space="0" w:color="auto"/>
            </w:tcBorders>
            <w:vAlign w:val="center"/>
          </w:tcPr>
          <w:p w14:paraId="1D7B7A26" w14:textId="276F5CB0" w:rsidR="008166C9" w:rsidRPr="008C1193" w:rsidRDefault="00AE6839" w:rsidP="00AE6839">
            <w:pPr>
              <w:jc w:val="both"/>
              <w:rPr>
                <w:sz w:val="20"/>
                <w:szCs w:val="20"/>
              </w:rPr>
            </w:pPr>
            <w:r w:rsidRPr="008C1193">
              <w:rPr>
                <w:sz w:val="20"/>
                <w:szCs w:val="20"/>
              </w:rPr>
              <w:t xml:space="preserve">Não são identificados </w:t>
            </w:r>
          </w:p>
        </w:tc>
        <w:tc>
          <w:tcPr>
            <w:tcW w:w="850" w:type="dxa"/>
            <w:tcBorders>
              <w:bottom w:val="single" w:sz="4" w:space="0" w:color="auto"/>
            </w:tcBorders>
            <w:vAlign w:val="center"/>
          </w:tcPr>
          <w:p w14:paraId="2509D4E1" w14:textId="77777777" w:rsidR="008166C9" w:rsidRPr="008C1193" w:rsidRDefault="008166C9" w:rsidP="00AE6839">
            <w:pPr>
              <w:jc w:val="both"/>
              <w:rPr>
                <w:sz w:val="20"/>
                <w:szCs w:val="20"/>
              </w:rPr>
            </w:pPr>
            <w:r w:rsidRPr="008C1193">
              <w:rPr>
                <w:sz w:val="20"/>
                <w:szCs w:val="20"/>
              </w:rPr>
              <w:t>-</w:t>
            </w:r>
          </w:p>
        </w:tc>
      </w:tr>
      <w:tr w:rsidR="008166C9" w:rsidRPr="004B4AF1" w14:paraId="5AACBEB4" w14:textId="77777777" w:rsidTr="007E745E">
        <w:trPr>
          <w:trHeight w:val="20"/>
        </w:trPr>
        <w:tc>
          <w:tcPr>
            <w:tcW w:w="3686" w:type="dxa"/>
            <w:vMerge w:val="restart"/>
            <w:vAlign w:val="center"/>
          </w:tcPr>
          <w:p w14:paraId="6422FF37"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Os RSS gerados possuem rótulos e símbolos de risco adequado </w:t>
            </w:r>
          </w:p>
        </w:tc>
        <w:tc>
          <w:tcPr>
            <w:tcW w:w="4536" w:type="dxa"/>
            <w:tcBorders>
              <w:bottom w:val="single" w:sz="4" w:space="0" w:color="auto"/>
            </w:tcBorders>
            <w:vAlign w:val="center"/>
          </w:tcPr>
          <w:p w14:paraId="2DA5D01A" w14:textId="77777777" w:rsidR="008166C9" w:rsidRPr="008C1193" w:rsidRDefault="008166C9" w:rsidP="00AE6839">
            <w:pPr>
              <w:jc w:val="both"/>
              <w:rPr>
                <w:sz w:val="20"/>
                <w:szCs w:val="20"/>
              </w:rPr>
            </w:pPr>
            <w:r w:rsidRPr="008C1193">
              <w:rPr>
                <w:sz w:val="20"/>
                <w:szCs w:val="20"/>
              </w:rPr>
              <w:t>Todos identificados corretamente</w:t>
            </w:r>
          </w:p>
        </w:tc>
        <w:tc>
          <w:tcPr>
            <w:tcW w:w="850" w:type="dxa"/>
            <w:tcBorders>
              <w:bottom w:val="single" w:sz="4" w:space="0" w:color="auto"/>
            </w:tcBorders>
            <w:vAlign w:val="center"/>
          </w:tcPr>
          <w:p w14:paraId="4D2D373B" w14:textId="77777777" w:rsidR="008166C9" w:rsidRPr="008C1193" w:rsidRDefault="008166C9" w:rsidP="00AE6839">
            <w:pPr>
              <w:jc w:val="both"/>
              <w:rPr>
                <w:sz w:val="20"/>
                <w:szCs w:val="20"/>
              </w:rPr>
            </w:pPr>
            <w:r w:rsidRPr="008C1193">
              <w:rPr>
                <w:sz w:val="20"/>
                <w:szCs w:val="20"/>
              </w:rPr>
              <w:t>55,6</w:t>
            </w:r>
          </w:p>
        </w:tc>
      </w:tr>
      <w:tr w:rsidR="008166C9" w:rsidRPr="004B4AF1" w14:paraId="3AEC129F" w14:textId="77777777" w:rsidTr="007E745E">
        <w:trPr>
          <w:trHeight w:val="20"/>
        </w:trPr>
        <w:tc>
          <w:tcPr>
            <w:tcW w:w="3686" w:type="dxa"/>
            <w:vMerge/>
            <w:vAlign w:val="center"/>
          </w:tcPr>
          <w:p w14:paraId="301CEB4A"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607B3EF0" w14:textId="77777777" w:rsidR="008166C9" w:rsidRPr="008C1193" w:rsidRDefault="008166C9" w:rsidP="00AE6839">
            <w:pPr>
              <w:jc w:val="both"/>
              <w:rPr>
                <w:sz w:val="20"/>
                <w:szCs w:val="20"/>
              </w:rPr>
            </w:pPr>
            <w:r w:rsidRPr="008C1193">
              <w:rPr>
                <w:sz w:val="20"/>
                <w:szCs w:val="20"/>
              </w:rPr>
              <w:t xml:space="preserve">Parcialmente identificados </w:t>
            </w:r>
          </w:p>
        </w:tc>
        <w:tc>
          <w:tcPr>
            <w:tcW w:w="850" w:type="dxa"/>
            <w:tcBorders>
              <w:bottom w:val="single" w:sz="4" w:space="0" w:color="auto"/>
            </w:tcBorders>
            <w:vAlign w:val="center"/>
          </w:tcPr>
          <w:p w14:paraId="732A5AD8" w14:textId="77777777" w:rsidR="008166C9" w:rsidRPr="008C1193" w:rsidRDefault="008166C9" w:rsidP="00AE6839">
            <w:pPr>
              <w:jc w:val="both"/>
              <w:rPr>
                <w:sz w:val="20"/>
                <w:szCs w:val="20"/>
              </w:rPr>
            </w:pPr>
            <w:r w:rsidRPr="008C1193">
              <w:rPr>
                <w:sz w:val="20"/>
                <w:szCs w:val="20"/>
              </w:rPr>
              <w:t>44,4</w:t>
            </w:r>
          </w:p>
        </w:tc>
      </w:tr>
      <w:tr w:rsidR="008166C9" w:rsidRPr="004B4AF1" w14:paraId="28115754" w14:textId="77777777" w:rsidTr="007E745E">
        <w:trPr>
          <w:trHeight w:val="20"/>
        </w:trPr>
        <w:tc>
          <w:tcPr>
            <w:tcW w:w="3686" w:type="dxa"/>
            <w:vMerge/>
            <w:tcBorders>
              <w:bottom w:val="single" w:sz="4" w:space="0" w:color="auto"/>
            </w:tcBorders>
            <w:vAlign w:val="center"/>
          </w:tcPr>
          <w:p w14:paraId="0D9324DF"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7B9A7E1E" w14:textId="76438E3F" w:rsidR="008166C9" w:rsidRPr="008C1193" w:rsidRDefault="008166C9" w:rsidP="00AE6839">
            <w:pPr>
              <w:jc w:val="both"/>
              <w:rPr>
                <w:sz w:val="20"/>
                <w:szCs w:val="20"/>
              </w:rPr>
            </w:pPr>
            <w:r w:rsidRPr="008C1193">
              <w:rPr>
                <w:sz w:val="20"/>
                <w:szCs w:val="20"/>
              </w:rPr>
              <w:t xml:space="preserve">Não são identificados </w:t>
            </w:r>
          </w:p>
        </w:tc>
        <w:tc>
          <w:tcPr>
            <w:tcW w:w="850" w:type="dxa"/>
            <w:tcBorders>
              <w:bottom w:val="single" w:sz="4" w:space="0" w:color="auto"/>
            </w:tcBorders>
            <w:vAlign w:val="center"/>
          </w:tcPr>
          <w:p w14:paraId="70E54EEA" w14:textId="77777777" w:rsidR="008166C9" w:rsidRPr="008C1193" w:rsidRDefault="008166C9" w:rsidP="00AE6839">
            <w:pPr>
              <w:jc w:val="both"/>
              <w:rPr>
                <w:sz w:val="20"/>
                <w:szCs w:val="20"/>
              </w:rPr>
            </w:pPr>
            <w:r w:rsidRPr="008C1193">
              <w:rPr>
                <w:sz w:val="20"/>
                <w:szCs w:val="20"/>
              </w:rPr>
              <w:t>-</w:t>
            </w:r>
          </w:p>
        </w:tc>
      </w:tr>
      <w:tr w:rsidR="008166C9" w:rsidRPr="004B4AF1" w14:paraId="6EEA41C2" w14:textId="77777777" w:rsidTr="007E745E">
        <w:trPr>
          <w:trHeight w:val="20"/>
        </w:trPr>
        <w:tc>
          <w:tcPr>
            <w:tcW w:w="3686" w:type="dxa"/>
            <w:vMerge w:val="restart"/>
            <w:vAlign w:val="center"/>
          </w:tcPr>
          <w:p w14:paraId="3C4FEFC8"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Descarte resíduos de algodão, gaze, luvas, máscaras e outros </w:t>
            </w:r>
          </w:p>
        </w:tc>
        <w:tc>
          <w:tcPr>
            <w:tcW w:w="4536" w:type="dxa"/>
            <w:tcBorders>
              <w:bottom w:val="single" w:sz="4" w:space="0" w:color="auto"/>
            </w:tcBorders>
            <w:vAlign w:val="center"/>
          </w:tcPr>
          <w:p w14:paraId="61AEA352" w14:textId="77777777" w:rsidR="008166C9" w:rsidRPr="008C1193" w:rsidRDefault="008166C9" w:rsidP="00AE6839">
            <w:pPr>
              <w:jc w:val="both"/>
              <w:rPr>
                <w:sz w:val="20"/>
                <w:szCs w:val="20"/>
              </w:rPr>
            </w:pPr>
            <w:r w:rsidRPr="008C1193">
              <w:rPr>
                <w:sz w:val="20"/>
                <w:szCs w:val="20"/>
              </w:rPr>
              <w:t xml:space="preserve">Sacos brancos leitos com símbolos infetantes </w:t>
            </w:r>
          </w:p>
        </w:tc>
        <w:tc>
          <w:tcPr>
            <w:tcW w:w="850" w:type="dxa"/>
            <w:tcBorders>
              <w:bottom w:val="single" w:sz="4" w:space="0" w:color="auto"/>
            </w:tcBorders>
            <w:vAlign w:val="center"/>
          </w:tcPr>
          <w:p w14:paraId="03BC6E90" w14:textId="77777777" w:rsidR="008166C9" w:rsidRPr="008C1193" w:rsidRDefault="008166C9" w:rsidP="00AE6839">
            <w:pPr>
              <w:jc w:val="both"/>
              <w:rPr>
                <w:sz w:val="20"/>
                <w:szCs w:val="20"/>
              </w:rPr>
            </w:pPr>
            <w:r w:rsidRPr="008C1193">
              <w:rPr>
                <w:sz w:val="20"/>
                <w:szCs w:val="20"/>
              </w:rPr>
              <w:t>100</w:t>
            </w:r>
          </w:p>
        </w:tc>
      </w:tr>
      <w:tr w:rsidR="008166C9" w:rsidRPr="004B4AF1" w14:paraId="4840070F" w14:textId="77777777" w:rsidTr="007E745E">
        <w:trPr>
          <w:trHeight w:val="20"/>
        </w:trPr>
        <w:tc>
          <w:tcPr>
            <w:tcW w:w="3686" w:type="dxa"/>
            <w:vMerge/>
            <w:vAlign w:val="center"/>
          </w:tcPr>
          <w:p w14:paraId="2BE99934"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3BA71EC2" w14:textId="77777777" w:rsidR="008166C9" w:rsidRPr="008C1193" w:rsidRDefault="008166C9" w:rsidP="00AE6839">
            <w:pPr>
              <w:jc w:val="both"/>
              <w:rPr>
                <w:sz w:val="20"/>
                <w:szCs w:val="20"/>
              </w:rPr>
            </w:pPr>
            <w:r w:rsidRPr="008C1193">
              <w:rPr>
                <w:sz w:val="20"/>
                <w:szCs w:val="20"/>
              </w:rPr>
              <w:t xml:space="preserve">Sacos de uso doméstico </w:t>
            </w:r>
          </w:p>
        </w:tc>
        <w:tc>
          <w:tcPr>
            <w:tcW w:w="850" w:type="dxa"/>
            <w:tcBorders>
              <w:bottom w:val="single" w:sz="4" w:space="0" w:color="auto"/>
            </w:tcBorders>
            <w:vAlign w:val="center"/>
          </w:tcPr>
          <w:p w14:paraId="1553BB2A" w14:textId="77777777" w:rsidR="008166C9" w:rsidRPr="008C1193" w:rsidRDefault="008166C9" w:rsidP="00AE6839">
            <w:pPr>
              <w:jc w:val="both"/>
              <w:rPr>
                <w:sz w:val="20"/>
                <w:szCs w:val="20"/>
              </w:rPr>
            </w:pPr>
            <w:r w:rsidRPr="008C1193">
              <w:rPr>
                <w:sz w:val="20"/>
                <w:szCs w:val="20"/>
              </w:rPr>
              <w:t>-</w:t>
            </w:r>
          </w:p>
        </w:tc>
      </w:tr>
      <w:tr w:rsidR="008166C9" w:rsidRPr="004B4AF1" w14:paraId="1BED726E" w14:textId="77777777" w:rsidTr="007E745E">
        <w:trPr>
          <w:trHeight w:val="20"/>
        </w:trPr>
        <w:tc>
          <w:tcPr>
            <w:tcW w:w="3686" w:type="dxa"/>
            <w:vMerge/>
            <w:tcBorders>
              <w:bottom w:val="single" w:sz="4" w:space="0" w:color="auto"/>
            </w:tcBorders>
            <w:vAlign w:val="center"/>
          </w:tcPr>
          <w:p w14:paraId="5B5BAB41"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4DDDA4CE" w14:textId="18B4FD93" w:rsidR="008166C9" w:rsidRPr="008C1193" w:rsidRDefault="008166C9" w:rsidP="00AE6839">
            <w:pPr>
              <w:jc w:val="both"/>
              <w:rPr>
                <w:sz w:val="20"/>
                <w:szCs w:val="20"/>
              </w:rPr>
            </w:pPr>
            <w:r w:rsidRPr="008C1193">
              <w:rPr>
                <w:sz w:val="20"/>
                <w:szCs w:val="20"/>
              </w:rPr>
              <w:t>Não sabe informar</w:t>
            </w:r>
          </w:p>
        </w:tc>
        <w:tc>
          <w:tcPr>
            <w:tcW w:w="850" w:type="dxa"/>
            <w:tcBorders>
              <w:bottom w:val="single" w:sz="4" w:space="0" w:color="auto"/>
            </w:tcBorders>
            <w:vAlign w:val="center"/>
          </w:tcPr>
          <w:p w14:paraId="4B0863E7" w14:textId="77777777" w:rsidR="008166C9" w:rsidRPr="008C1193" w:rsidRDefault="008166C9" w:rsidP="00AE6839">
            <w:pPr>
              <w:jc w:val="both"/>
              <w:rPr>
                <w:sz w:val="20"/>
                <w:szCs w:val="20"/>
              </w:rPr>
            </w:pPr>
            <w:r w:rsidRPr="008C1193">
              <w:rPr>
                <w:sz w:val="20"/>
                <w:szCs w:val="20"/>
              </w:rPr>
              <w:t>-</w:t>
            </w:r>
          </w:p>
        </w:tc>
      </w:tr>
      <w:tr w:rsidR="008166C9" w:rsidRPr="004B4AF1" w14:paraId="22CAC1E8" w14:textId="77777777" w:rsidTr="007E745E">
        <w:trPr>
          <w:trHeight w:val="20"/>
        </w:trPr>
        <w:tc>
          <w:tcPr>
            <w:tcW w:w="3686" w:type="dxa"/>
            <w:vMerge w:val="restart"/>
            <w:vAlign w:val="center"/>
          </w:tcPr>
          <w:p w14:paraId="7F4BB3CF"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Descarte resíduos de amálgama, anestésicos, medicamentos vencidos e reveladores e outros</w:t>
            </w:r>
          </w:p>
        </w:tc>
        <w:tc>
          <w:tcPr>
            <w:tcW w:w="4536" w:type="dxa"/>
            <w:tcBorders>
              <w:bottom w:val="single" w:sz="4" w:space="0" w:color="auto"/>
            </w:tcBorders>
            <w:vAlign w:val="center"/>
          </w:tcPr>
          <w:p w14:paraId="163E01D7" w14:textId="77777777" w:rsidR="008166C9" w:rsidRPr="008C1193" w:rsidRDefault="008166C9" w:rsidP="00AE6839">
            <w:pPr>
              <w:jc w:val="both"/>
              <w:rPr>
                <w:sz w:val="20"/>
                <w:szCs w:val="20"/>
              </w:rPr>
            </w:pPr>
            <w:r w:rsidRPr="008C1193">
              <w:rPr>
                <w:sz w:val="20"/>
                <w:szCs w:val="20"/>
              </w:rPr>
              <w:t xml:space="preserve">Recipientes específicos e identificados </w:t>
            </w:r>
          </w:p>
        </w:tc>
        <w:tc>
          <w:tcPr>
            <w:tcW w:w="850" w:type="dxa"/>
            <w:tcBorders>
              <w:bottom w:val="single" w:sz="4" w:space="0" w:color="auto"/>
            </w:tcBorders>
            <w:vAlign w:val="center"/>
          </w:tcPr>
          <w:p w14:paraId="63D94F79" w14:textId="77777777" w:rsidR="008166C9" w:rsidRPr="008C1193" w:rsidRDefault="008166C9" w:rsidP="00AE6839">
            <w:pPr>
              <w:jc w:val="both"/>
              <w:rPr>
                <w:sz w:val="20"/>
                <w:szCs w:val="20"/>
              </w:rPr>
            </w:pPr>
            <w:r w:rsidRPr="008C1193">
              <w:rPr>
                <w:sz w:val="20"/>
                <w:szCs w:val="20"/>
              </w:rPr>
              <w:t>77,8</w:t>
            </w:r>
          </w:p>
        </w:tc>
      </w:tr>
      <w:tr w:rsidR="008166C9" w:rsidRPr="004B4AF1" w14:paraId="0DD79E58" w14:textId="77777777" w:rsidTr="007E745E">
        <w:trPr>
          <w:trHeight w:val="20"/>
        </w:trPr>
        <w:tc>
          <w:tcPr>
            <w:tcW w:w="3686" w:type="dxa"/>
            <w:vMerge/>
            <w:vAlign w:val="center"/>
          </w:tcPr>
          <w:p w14:paraId="577D98CD"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085BE12B" w14:textId="77777777" w:rsidR="008166C9" w:rsidRPr="008C1193" w:rsidRDefault="008166C9" w:rsidP="00AE6839">
            <w:pPr>
              <w:jc w:val="both"/>
              <w:rPr>
                <w:sz w:val="20"/>
                <w:szCs w:val="20"/>
              </w:rPr>
            </w:pPr>
            <w:r w:rsidRPr="008C1193">
              <w:rPr>
                <w:sz w:val="20"/>
                <w:szCs w:val="20"/>
              </w:rPr>
              <w:t xml:space="preserve">Juntamente com os resíduos domésticos </w:t>
            </w:r>
          </w:p>
        </w:tc>
        <w:tc>
          <w:tcPr>
            <w:tcW w:w="850" w:type="dxa"/>
            <w:tcBorders>
              <w:bottom w:val="single" w:sz="4" w:space="0" w:color="auto"/>
            </w:tcBorders>
            <w:vAlign w:val="center"/>
          </w:tcPr>
          <w:p w14:paraId="47D9E94A" w14:textId="77777777" w:rsidR="008166C9" w:rsidRPr="008C1193" w:rsidRDefault="008166C9" w:rsidP="00AE6839">
            <w:pPr>
              <w:jc w:val="both"/>
              <w:rPr>
                <w:sz w:val="20"/>
                <w:szCs w:val="20"/>
              </w:rPr>
            </w:pPr>
            <w:r w:rsidRPr="008C1193">
              <w:rPr>
                <w:sz w:val="20"/>
                <w:szCs w:val="20"/>
              </w:rPr>
              <w:t>22,2</w:t>
            </w:r>
          </w:p>
        </w:tc>
      </w:tr>
      <w:tr w:rsidR="008166C9" w:rsidRPr="004B4AF1" w14:paraId="42937B84" w14:textId="77777777" w:rsidTr="007E745E">
        <w:trPr>
          <w:trHeight w:val="20"/>
        </w:trPr>
        <w:tc>
          <w:tcPr>
            <w:tcW w:w="3686" w:type="dxa"/>
            <w:vMerge/>
            <w:tcBorders>
              <w:bottom w:val="single" w:sz="4" w:space="0" w:color="auto"/>
            </w:tcBorders>
            <w:vAlign w:val="center"/>
          </w:tcPr>
          <w:p w14:paraId="23E23D02"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171EB789" w14:textId="7270BF73" w:rsidR="008166C9" w:rsidRPr="008C1193" w:rsidRDefault="008166C9" w:rsidP="00AE6839">
            <w:pPr>
              <w:jc w:val="both"/>
              <w:rPr>
                <w:sz w:val="20"/>
                <w:szCs w:val="20"/>
              </w:rPr>
            </w:pPr>
            <w:r w:rsidRPr="008C1193">
              <w:rPr>
                <w:sz w:val="20"/>
                <w:szCs w:val="20"/>
              </w:rPr>
              <w:t>Outros</w:t>
            </w:r>
          </w:p>
        </w:tc>
        <w:tc>
          <w:tcPr>
            <w:tcW w:w="850" w:type="dxa"/>
            <w:tcBorders>
              <w:bottom w:val="single" w:sz="4" w:space="0" w:color="auto"/>
            </w:tcBorders>
            <w:vAlign w:val="center"/>
          </w:tcPr>
          <w:p w14:paraId="1073B92C" w14:textId="77777777" w:rsidR="008166C9" w:rsidRPr="008C1193" w:rsidRDefault="008166C9" w:rsidP="00AE6839">
            <w:pPr>
              <w:jc w:val="both"/>
              <w:rPr>
                <w:sz w:val="20"/>
                <w:szCs w:val="20"/>
              </w:rPr>
            </w:pPr>
            <w:r w:rsidRPr="008C1193">
              <w:rPr>
                <w:sz w:val="20"/>
                <w:szCs w:val="20"/>
              </w:rPr>
              <w:t>-</w:t>
            </w:r>
          </w:p>
        </w:tc>
      </w:tr>
      <w:tr w:rsidR="008166C9" w:rsidRPr="004B4AF1" w14:paraId="77B822AD" w14:textId="77777777" w:rsidTr="007E745E">
        <w:trPr>
          <w:trHeight w:val="20"/>
        </w:trPr>
        <w:tc>
          <w:tcPr>
            <w:tcW w:w="3686" w:type="dxa"/>
            <w:vMerge w:val="restart"/>
            <w:vAlign w:val="center"/>
          </w:tcPr>
          <w:p w14:paraId="2EF64913"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Descarte rejeitos radioativos</w:t>
            </w:r>
          </w:p>
        </w:tc>
        <w:tc>
          <w:tcPr>
            <w:tcW w:w="4536" w:type="dxa"/>
            <w:tcBorders>
              <w:bottom w:val="single" w:sz="4" w:space="0" w:color="auto"/>
            </w:tcBorders>
            <w:vAlign w:val="center"/>
          </w:tcPr>
          <w:p w14:paraId="395E3ABD" w14:textId="77777777" w:rsidR="008166C9" w:rsidRPr="008C1193" w:rsidRDefault="008166C9" w:rsidP="00AE6839">
            <w:pPr>
              <w:jc w:val="both"/>
              <w:rPr>
                <w:sz w:val="20"/>
                <w:szCs w:val="20"/>
              </w:rPr>
            </w:pPr>
            <w:r w:rsidRPr="008C1193">
              <w:rPr>
                <w:sz w:val="20"/>
                <w:szCs w:val="20"/>
              </w:rPr>
              <w:t xml:space="preserve">Recolhidos por empresas especialidades </w:t>
            </w:r>
          </w:p>
        </w:tc>
        <w:tc>
          <w:tcPr>
            <w:tcW w:w="850" w:type="dxa"/>
            <w:tcBorders>
              <w:bottom w:val="single" w:sz="4" w:space="0" w:color="auto"/>
            </w:tcBorders>
            <w:vAlign w:val="center"/>
          </w:tcPr>
          <w:p w14:paraId="6F004085" w14:textId="77777777" w:rsidR="008166C9" w:rsidRPr="008C1193" w:rsidRDefault="008166C9" w:rsidP="00AE6839">
            <w:pPr>
              <w:jc w:val="both"/>
              <w:rPr>
                <w:sz w:val="20"/>
                <w:szCs w:val="20"/>
              </w:rPr>
            </w:pPr>
            <w:r w:rsidRPr="008C1193">
              <w:rPr>
                <w:sz w:val="20"/>
                <w:szCs w:val="20"/>
              </w:rPr>
              <w:t>77,8</w:t>
            </w:r>
          </w:p>
        </w:tc>
      </w:tr>
      <w:tr w:rsidR="008166C9" w:rsidRPr="004B4AF1" w14:paraId="5DDA79F1" w14:textId="77777777" w:rsidTr="007E745E">
        <w:trPr>
          <w:trHeight w:val="20"/>
        </w:trPr>
        <w:tc>
          <w:tcPr>
            <w:tcW w:w="3686" w:type="dxa"/>
            <w:vMerge/>
            <w:vAlign w:val="center"/>
          </w:tcPr>
          <w:p w14:paraId="6E174A7F"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0E91C986" w14:textId="77777777" w:rsidR="008166C9" w:rsidRPr="008C1193" w:rsidRDefault="008166C9" w:rsidP="00AE6839">
            <w:pPr>
              <w:jc w:val="both"/>
              <w:rPr>
                <w:sz w:val="20"/>
                <w:szCs w:val="20"/>
              </w:rPr>
            </w:pPr>
            <w:r w:rsidRPr="008C1193">
              <w:rPr>
                <w:sz w:val="20"/>
                <w:szCs w:val="20"/>
              </w:rPr>
              <w:t xml:space="preserve">Junto aos resíduos químicos </w:t>
            </w:r>
          </w:p>
        </w:tc>
        <w:tc>
          <w:tcPr>
            <w:tcW w:w="850" w:type="dxa"/>
            <w:tcBorders>
              <w:bottom w:val="single" w:sz="4" w:space="0" w:color="auto"/>
            </w:tcBorders>
            <w:vAlign w:val="center"/>
          </w:tcPr>
          <w:p w14:paraId="09ECD600" w14:textId="77777777" w:rsidR="008166C9" w:rsidRPr="008C1193" w:rsidRDefault="008166C9" w:rsidP="00AE6839">
            <w:pPr>
              <w:jc w:val="both"/>
              <w:rPr>
                <w:sz w:val="20"/>
                <w:szCs w:val="20"/>
              </w:rPr>
            </w:pPr>
            <w:r w:rsidRPr="008C1193">
              <w:rPr>
                <w:sz w:val="20"/>
                <w:szCs w:val="20"/>
              </w:rPr>
              <w:t>-</w:t>
            </w:r>
          </w:p>
        </w:tc>
      </w:tr>
      <w:tr w:rsidR="008166C9" w:rsidRPr="004B4AF1" w14:paraId="3BFC2361" w14:textId="77777777" w:rsidTr="007E745E">
        <w:trPr>
          <w:trHeight w:val="20"/>
        </w:trPr>
        <w:tc>
          <w:tcPr>
            <w:tcW w:w="3686" w:type="dxa"/>
            <w:vMerge/>
            <w:tcBorders>
              <w:bottom w:val="single" w:sz="4" w:space="0" w:color="auto"/>
            </w:tcBorders>
            <w:vAlign w:val="center"/>
          </w:tcPr>
          <w:p w14:paraId="2184F861"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085629E6" w14:textId="6A6D90D1" w:rsidR="008166C9" w:rsidRPr="008C1193" w:rsidRDefault="008166C9" w:rsidP="00AE6839">
            <w:pPr>
              <w:jc w:val="both"/>
              <w:rPr>
                <w:sz w:val="20"/>
                <w:szCs w:val="20"/>
              </w:rPr>
            </w:pPr>
            <w:r w:rsidRPr="008C1193">
              <w:rPr>
                <w:sz w:val="20"/>
                <w:szCs w:val="20"/>
              </w:rPr>
              <w:t xml:space="preserve">Não geram este tipo de resíduos  </w:t>
            </w:r>
          </w:p>
        </w:tc>
        <w:tc>
          <w:tcPr>
            <w:tcW w:w="850" w:type="dxa"/>
            <w:tcBorders>
              <w:bottom w:val="single" w:sz="4" w:space="0" w:color="auto"/>
            </w:tcBorders>
            <w:vAlign w:val="center"/>
          </w:tcPr>
          <w:p w14:paraId="6C9219FE" w14:textId="77777777" w:rsidR="008166C9" w:rsidRPr="008C1193" w:rsidRDefault="008166C9" w:rsidP="00AE6839">
            <w:pPr>
              <w:jc w:val="both"/>
              <w:rPr>
                <w:sz w:val="20"/>
                <w:szCs w:val="20"/>
              </w:rPr>
            </w:pPr>
            <w:r w:rsidRPr="008C1193">
              <w:rPr>
                <w:sz w:val="20"/>
                <w:szCs w:val="20"/>
              </w:rPr>
              <w:t>22,2</w:t>
            </w:r>
          </w:p>
        </w:tc>
      </w:tr>
      <w:tr w:rsidR="008166C9" w:rsidRPr="004B4AF1" w14:paraId="3237BF2C" w14:textId="77777777" w:rsidTr="007E745E">
        <w:trPr>
          <w:trHeight w:val="20"/>
        </w:trPr>
        <w:tc>
          <w:tcPr>
            <w:tcW w:w="3686" w:type="dxa"/>
            <w:vMerge w:val="restart"/>
            <w:vAlign w:val="center"/>
          </w:tcPr>
          <w:p w14:paraId="52E60EB0" w14:textId="60D899E3"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Descarte de resíduos comuns </w:t>
            </w:r>
            <w:r w:rsidR="001A2089" w:rsidRPr="008C1193">
              <w:rPr>
                <w:sz w:val="20"/>
                <w:szCs w:val="20"/>
              </w:rPr>
              <w:t xml:space="preserve">que </w:t>
            </w:r>
            <w:r w:rsidRPr="008C1193">
              <w:rPr>
                <w:sz w:val="20"/>
                <w:szCs w:val="20"/>
              </w:rPr>
              <w:t>não oferecem risco biológico ou químico</w:t>
            </w:r>
          </w:p>
        </w:tc>
        <w:tc>
          <w:tcPr>
            <w:tcW w:w="4536" w:type="dxa"/>
            <w:tcBorders>
              <w:bottom w:val="single" w:sz="4" w:space="0" w:color="auto"/>
            </w:tcBorders>
            <w:vAlign w:val="center"/>
          </w:tcPr>
          <w:p w14:paraId="5ECE5698" w14:textId="77777777" w:rsidR="008166C9" w:rsidRPr="008C1193" w:rsidRDefault="008166C9" w:rsidP="00AE6839">
            <w:pPr>
              <w:jc w:val="both"/>
              <w:rPr>
                <w:sz w:val="20"/>
                <w:szCs w:val="20"/>
              </w:rPr>
            </w:pPr>
            <w:r w:rsidRPr="008C1193">
              <w:rPr>
                <w:sz w:val="20"/>
                <w:szCs w:val="20"/>
              </w:rPr>
              <w:t>Sacos pretos ou padrões destinados a resíduos comuns</w:t>
            </w:r>
          </w:p>
        </w:tc>
        <w:tc>
          <w:tcPr>
            <w:tcW w:w="850" w:type="dxa"/>
            <w:tcBorders>
              <w:bottom w:val="single" w:sz="4" w:space="0" w:color="auto"/>
            </w:tcBorders>
            <w:vAlign w:val="center"/>
          </w:tcPr>
          <w:p w14:paraId="2CDCEB33" w14:textId="77777777" w:rsidR="008166C9" w:rsidRPr="008C1193" w:rsidRDefault="008166C9" w:rsidP="00AE6839">
            <w:pPr>
              <w:jc w:val="both"/>
              <w:rPr>
                <w:sz w:val="20"/>
                <w:szCs w:val="20"/>
              </w:rPr>
            </w:pPr>
            <w:r w:rsidRPr="008C1193">
              <w:rPr>
                <w:sz w:val="20"/>
                <w:szCs w:val="20"/>
              </w:rPr>
              <w:t>88,9</w:t>
            </w:r>
          </w:p>
        </w:tc>
      </w:tr>
      <w:tr w:rsidR="008166C9" w:rsidRPr="004B4AF1" w14:paraId="3C8D99BC" w14:textId="77777777" w:rsidTr="007E745E">
        <w:trPr>
          <w:trHeight w:val="20"/>
        </w:trPr>
        <w:tc>
          <w:tcPr>
            <w:tcW w:w="3686" w:type="dxa"/>
            <w:vMerge/>
            <w:vAlign w:val="center"/>
          </w:tcPr>
          <w:p w14:paraId="1FADC4F1"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218DBCB9" w14:textId="1CC98BBA" w:rsidR="008166C9" w:rsidRPr="008C1193" w:rsidRDefault="008166C9" w:rsidP="00AE6839">
            <w:pPr>
              <w:jc w:val="both"/>
              <w:rPr>
                <w:sz w:val="20"/>
                <w:szCs w:val="20"/>
              </w:rPr>
            </w:pPr>
            <w:r w:rsidRPr="008C1193">
              <w:rPr>
                <w:sz w:val="20"/>
                <w:szCs w:val="20"/>
              </w:rPr>
              <w:t>Outros</w:t>
            </w:r>
          </w:p>
        </w:tc>
        <w:tc>
          <w:tcPr>
            <w:tcW w:w="850" w:type="dxa"/>
            <w:tcBorders>
              <w:bottom w:val="single" w:sz="4" w:space="0" w:color="auto"/>
            </w:tcBorders>
            <w:vAlign w:val="center"/>
          </w:tcPr>
          <w:p w14:paraId="558DD0BC" w14:textId="77777777" w:rsidR="008166C9" w:rsidRPr="008C1193" w:rsidRDefault="008166C9" w:rsidP="00AE6839">
            <w:pPr>
              <w:jc w:val="both"/>
              <w:rPr>
                <w:sz w:val="20"/>
                <w:szCs w:val="20"/>
              </w:rPr>
            </w:pPr>
            <w:r w:rsidRPr="008C1193">
              <w:rPr>
                <w:sz w:val="20"/>
                <w:szCs w:val="20"/>
              </w:rPr>
              <w:t>11,1</w:t>
            </w:r>
          </w:p>
        </w:tc>
      </w:tr>
      <w:tr w:rsidR="008166C9" w:rsidRPr="004B4AF1" w14:paraId="635C57FB" w14:textId="77777777" w:rsidTr="007E745E">
        <w:trPr>
          <w:trHeight w:val="20"/>
        </w:trPr>
        <w:tc>
          <w:tcPr>
            <w:tcW w:w="3686" w:type="dxa"/>
            <w:vMerge w:val="restart"/>
            <w:vAlign w:val="center"/>
          </w:tcPr>
          <w:p w14:paraId="1F4F882E"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Descarte de resíduos perfurantes </w:t>
            </w:r>
          </w:p>
        </w:tc>
        <w:tc>
          <w:tcPr>
            <w:tcW w:w="4536" w:type="dxa"/>
            <w:tcBorders>
              <w:bottom w:val="single" w:sz="4" w:space="0" w:color="auto"/>
            </w:tcBorders>
            <w:vAlign w:val="center"/>
          </w:tcPr>
          <w:p w14:paraId="4928201B" w14:textId="77777777" w:rsidR="008166C9" w:rsidRPr="008C1193" w:rsidRDefault="008166C9" w:rsidP="00AE6839">
            <w:pPr>
              <w:jc w:val="both"/>
              <w:rPr>
                <w:sz w:val="20"/>
                <w:szCs w:val="20"/>
              </w:rPr>
            </w:pPr>
            <w:r w:rsidRPr="008C1193">
              <w:rPr>
                <w:sz w:val="20"/>
                <w:szCs w:val="20"/>
              </w:rPr>
              <w:t xml:space="preserve">Recipiente adequado do tipo Descarpack </w:t>
            </w:r>
            <w:r w:rsidRPr="005E4C67">
              <w:rPr>
                <w:sz w:val="18"/>
                <w:szCs w:val="18"/>
              </w:rPr>
              <w:t>(caixa rígida amarela para perfurocortantes)</w:t>
            </w:r>
          </w:p>
        </w:tc>
        <w:tc>
          <w:tcPr>
            <w:tcW w:w="850" w:type="dxa"/>
            <w:tcBorders>
              <w:bottom w:val="single" w:sz="4" w:space="0" w:color="auto"/>
            </w:tcBorders>
            <w:vAlign w:val="center"/>
          </w:tcPr>
          <w:p w14:paraId="23648C05" w14:textId="77777777" w:rsidR="008166C9" w:rsidRPr="008C1193" w:rsidRDefault="008166C9" w:rsidP="00AE6839">
            <w:pPr>
              <w:jc w:val="both"/>
              <w:rPr>
                <w:sz w:val="20"/>
                <w:szCs w:val="20"/>
              </w:rPr>
            </w:pPr>
            <w:r w:rsidRPr="008C1193">
              <w:rPr>
                <w:sz w:val="20"/>
                <w:szCs w:val="20"/>
              </w:rPr>
              <w:t>55,6</w:t>
            </w:r>
          </w:p>
        </w:tc>
      </w:tr>
      <w:tr w:rsidR="008166C9" w:rsidRPr="004B4AF1" w14:paraId="7A59CEBB" w14:textId="77777777" w:rsidTr="007E745E">
        <w:trPr>
          <w:trHeight w:val="20"/>
        </w:trPr>
        <w:tc>
          <w:tcPr>
            <w:tcW w:w="3686" w:type="dxa"/>
            <w:vMerge/>
            <w:vAlign w:val="center"/>
          </w:tcPr>
          <w:p w14:paraId="68A832EA"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17B62915" w14:textId="2E897322" w:rsidR="008166C9" w:rsidRPr="008C1193" w:rsidRDefault="008166C9" w:rsidP="00AE6839">
            <w:pPr>
              <w:jc w:val="both"/>
              <w:rPr>
                <w:sz w:val="20"/>
                <w:szCs w:val="20"/>
              </w:rPr>
            </w:pPr>
            <w:r w:rsidRPr="008C1193">
              <w:rPr>
                <w:sz w:val="20"/>
                <w:szCs w:val="20"/>
              </w:rPr>
              <w:t xml:space="preserve">Recipientes improvisados </w:t>
            </w:r>
            <w:r w:rsidRPr="005E4C67">
              <w:rPr>
                <w:sz w:val="16"/>
                <w:szCs w:val="16"/>
              </w:rPr>
              <w:t>(garrafas PET e caixas de papelão)</w:t>
            </w:r>
          </w:p>
        </w:tc>
        <w:tc>
          <w:tcPr>
            <w:tcW w:w="850" w:type="dxa"/>
            <w:tcBorders>
              <w:bottom w:val="single" w:sz="4" w:space="0" w:color="auto"/>
            </w:tcBorders>
            <w:vAlign w:val="center"/>
          </w:tcPr>
          <w:p w14:paraId="4252B796" w14:textId="77777777" w:rsidR="008166C9" w:rsidRPr="008C1193" w:rsidRDefault="008166C9" w:rsidP="00AE6839">
            <w:pPr>
              <w:jc w:val="both"/>
              <w:rPr>
                <w:sz w:val="20"/>
                <w:szCs w:val="20"/>
              </w:rPr>
            </w:pPr>
            <w:r w:rsidRPr="008C1193">
              <w:rPr>
                <w:sz w:val="20"/>
                <w:szCs w:val="20"/>
              </w:rPr>
              <w:t>33,3</w:t>
            </w:r>
          </w:p>
        </w:tc>
      </w:tr>
      <w:tr w:rsidR="008166C9" w:rsidRPr="004B4AF1" w14:paraId="5AEFDBD9" w14:textId="77777777" w:rsidTr="007E745E">
        <w:trPr>
          <w:trHeight w:val="20"/>
        </w:trPr>
        <w:tc>
          <w:tcPr>
            <w:tcW w:w="3686" w:type="dxa"/>
            <w:vMerge/>
            <w:tcBorders>
              <w:bottom w:val="single" w:sz="4" w:space="0" w:color="auto"/>
            </w:tcBorders>
            <w:vAlign w:val="center"/>
          </w:tcPr>
          <w:p w14:paraId="625CC295"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289AEE62" w14:textId="6E94415A" w:rsidR="008166C9" w:rsidRPr="008C1193" w:rsidRDefault="008166C9" w:rsidP="00AE6839">
            <w:pPr>
              <w:jc w:val="both"/>
              <w:rPr>
                <w:sz w:val="20"/>
                <w:szCs w:val="20"/>
              </w:rPr>
            </w:pPr>
            <w:r w:rsidRPr="008C1193">
              <w:rPr>
                <w:sz w:val="20"/>
                <w:szCs w:val="20"/>
              </w:rPr>
              <w:t>Não sabe informar</w:t>
            </w:r>
          </w:p>
        </w:tc>
        <w:tc>
          <w:tcPr>
            <w:tcW w:w="850" w:type="dxa"/>
            <w:tcBorders>
              <w:bottom w:val="single" w:sz="4" w:space="0" w:color="auto"/>
            </w:tcBorders>
            <w:vAlign w:val="center"/>
          </w:tcPr>
          <w:p w14:paraId="5AB7DEEC" w14:textId="77777777" w:rsidR="008166C9" w:rsidRPr="008C1193" w:rsidRDefault="008166C9" w:rsidP="00AE6839">
            <w:pPr>
              <w:jc w:val="both"/>
              <w:rPr>
                <w:sz w:val="20"/>
                <w:szCs w:val="20"/>
              </w:rPr>
            </w:pPr>
            <w:r w:rsidRPr="008C1193">
              <w:rPr>
                <w:sz w:val="20"/>
                <w:szCs w:val="20"/>
              </w:rPr>
              <w:t>11,1</w:t>
            </w:r>
          </w:p>
        </w:tc>
      </w:tr>
      <w:tr w:rsidR="008166C9" w:rsidRPr="004B4AF1" w14:paraId="0BBAFF3A" w14:textId="77777777" w:rsidTr="007E745E">
        <w:trPr>
          <w:trHeight w:val="20"/>
        </w:trPr>
        <w:tc>
          <w:tcPr>
            <w:tcW w:w="3686" w:type="dxa"/>
            <w:vMerge w:val="restart"/>
            <w:vAlign w:val="center"/>
          </w:tcPr>
          <w:p w14:paraId="3ED2050D"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Coleta externa dos RSS</w:t>
            </w:r>
          </w:p>
        </w:tc>
        <w:tc>
          <w:tcPr>
            <w:tcW w:w="4536" w:type="dxa"/>
            <w:tcBorders>
              <w:bottom w:val="single" w:sz="4" w:space="0" w:color="auto"/>
            </w:tcBorders>
            <w:vAlign w:val="center"/>
          </w:tcPr>
          <w:p w14:paraId="1A1888CF" w14:textId="77777777" w:rsidR="008166C9" w:rsidRPr="008C1193" w:rsidRDefault="008166C9" w:rsidP="00AE6839">
            <w:pPr>
              <w:jc w:val="both"/>
              <w:rPr>
                <w:sz w:val="20"/>
                <w:szCs w:val="20"/>
              </w:rPr>
            </w:pPr>
            <w:r w:rsidRPr="008C1193">
              <w:rPr>
                <w:sz w:val="20"/>
                <w:szCs w:val="20"/>
              </w:rPr>
              <w:t>Realizada pelo serviço publico de coleta</w:t>
            </w:r>
          </w:p>
        </w:tc>
        <w:tc>
          <w:tcPr>
            <w:tcW w:w="850" w:type="dxa"/>
            <w:tcBorders>
              <w:bottom w:val="single" w:sz="4" w:space="0" w:color="auto"/>
            </w:tcBorders>
            <w:vAlign w:val="center"/>
          </w:tcPr>
          <w:p w14:paraId="3A4532CF" w14:textId="77777777" w:rsidR="008166C9" w:rsidRPr="008C1193" w:rsidRDefault="008166C9" w:rsidP="00AE6839">
            <w:pPr>
              <w:jc w:val="both"/>
              <w:rPr>
                <w:sz w:val="20"/>
                <w:szCs w:val="20"/>
              </w:rPr>
            </w:pPr>
            <w:r w:rsidRPr="008C1193">
              <w:rPr>
                <w:sz w:val="20"/>
                <w:szCs w:val="20"/>
              </w:rPr>
              <w:t>66,7</w:t>
            </w:r>
          </w:p>
        </w:tc>
      </w:tr>
      <w:tr w:rsidR="008166C9" w:rsidRPr="004B4AF1" w14:paraId="269B8086" w14:textId="77777777" w:rsidTr="007E745E">
        <w:trPr>
          <w:trHeight w:val="20"/>
        </w:trPr>
        <w:tc>
          <w:tcPr>
            <w:tcW w:w="3686" w:type="dxa"/>
            <w:vMerge/>
            <w:vAlign w:val="center"/>
          </w:tcPr>
          <w:p w14:paraId="1FDE0740"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23C8D80D" w14:textId="77777777" w:rsidR="008166C9" w:rsidRPr="008C1193" w:rsidRDefault="008166C9" w:rsidP="00AE6839">
            <w:pPr>
              <w:jc w:val="both"/>
              <w:rPr>
                <w:sz w:val="20"/>
                <w:szCs w:val="20"/>
              </w:rPr>
            </w:pPr>
            <w:r w:rsidRPr="008C1193">
              <w:rPr>
                <w:sz w:val="20"/>
                <w:szCs w:val="20"/>
              </w:rPr>
              <w:t>Empresas licenciadas</w:t>
            </w:r>
          </w:p>
        </w:tc>
        <w:tc>
          <w:tcPr>
            <w:tcW w:w="850" w:type="dxa"/>
            <w:tcBorders>
              <w:bottom w:val="single" w:sz="4" w:space="0" w:color="auto"/>
            </w:tcBorders>
            <w:vAlign w:val="center"/>
          </w:tcPr>
          <w:p w14:paraId="6B152E3B" w14:textId="77777777" w:rsidR="008166C9" w:rsidRPr="008C1193" w:rsidRDefault="008166C9" w:rsidP="00AE6839">
            <w:pPr>
              <w:jc w:val="both"/>
              <w:rPr>
                <w:sz w:val="20"/>
                <w:szCs w:val="20"/>
              </w:rPr>
            </w:pPr>
            <w:r w:rsidRPr="008C1193">
              <w:rPr>
                <w:sz w:val="20"/>
                <w:szCs w:val="20"/>
              </w:rPr>
              <w:t>33,3</w:t>
            </w:r>
          </w:p>
        </w:tc>
      </w:tr>
      <w:tr w:rsidR="008166C9" w:rsidRPr="004B4AF1" w14:paraId="0146EC28" w14:textId="77777777" w:rsidTr="007E745E">
        <w:trPr>
          <w:trHeight w:val="20"/>
        </w:trPr>
        <w:tc>
          <w:tcPr>
            <w:tcW w:w="3686" w:type="dxa"/>
            <w:vMerge/>
            <w:tcBorders>
              <w:bottom w:val="single" w:sz="4" w:space="0" w:color="auto"/>
            </w:tcBorders>
            <w:vAlign w:val="center"/>
          </w:tcPr>
          <w:p w14:paraId="369E6E85"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3E0C844D" w14:textId="489C0BF6" w:rsidR="008166C9" w:rsidRPr="008C1193" w:rsidRDefault="008166C9" w:rsidP="00AE6839">
            <w:pPr>
              <w:jc w:val="both"/>
              <w:rPr>
                <w:sz w:val="20"/>
                <w:szCs w:val="20"/>
              </w:rPr>
            </w:pPr>
            <w:r w:rsidRPr="008C1193">
              <w:rPr>
                <w:sz w:val="20"/>
                <w:szCs w:val="20"/>
              </w:rPr>
              <w:t>Não sabe informar</w:t>
            </w:r>
          </w:p>
        </w:tc>
        <w:tc>
          <w:tcPr>
            <w:tcW w:w="850" w:type="dxa"/>
            <w:tcBorders>
              <w:bottom w:val="single" w:sz="4" w:space="0" w:color="auto"/>
            </w:tcBorders>
            <w:vAlign w:val="center"/>
          </w:tcPr>
          <w:p w14:paraId="013C4C47" w14:textId="77777777" w:rsidR="008166C9" w:rsidRPr="008C1193" w:rsidRDefault="008166C9" w:rsidP="00AE6839">
            <w:pPr>
              <w:jc w:val="both"/>
              <w:rPr>
                <w:sz w:val="20"/>
                <w:szCs w:val="20"/>
              </w:rPr>
            </w:pPr>
            <w:r w:rsidRPr="008C1193">
              <w:rPr>
                <w:sz w:val="20"/>
                <w:szCs w:val="20"/>
              </w:rPr>
              <w:t>-</w:t>
            </w:r>
          </w:p>
        </w:tc>
      </w:tr>
      <w:tr w:rsidR="008166C9" w:rsidRPr="004B4AF1" w14:paraId="6057C6E5" w14:textId="77777777" w:rsidTr="007E745E">
        <w:trPr>
          <w:trHeight w:val="20"/>
        </w:trPr>
        <w:tc>
          <w:tcPr>
            <w:tcW w:w="3686" w:type="dxa"/>
            <w:vMerge w:val="restart"/>
            <w:vAlign w:val="center"/>
          </w:tcPr>
          <w:p w14:paraId="18DE5C07" w14:textId="77777777"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Treinamento dos profissionais quanto ao descarte de RSS</w:t>
            </w:r>
          </w:p>
        </w:tc>
        <w:tc>
          <w:tcPr>
            <w:tcW w:w="4536" w:type="dxa"/>
            <w:tcBorders>
              <w:bottom w:val="single" w:sz="4" w:space="0" w:color="auto"/>
            </w:tcBorders>
            <w:vAlign w:val="center"/>
          </w:tcPr>
          <w:p w14:paraId="257D3EF0" w14:textId="77777777" w:rsidR="008166C9" w:rsidRPr="008C1193" w:rsidRDefault="008166C9" w:rsidP="00AE6839">
            <w:pPr>
              <w:jc w:val="both"/>
              <w:rPr>
                <w:sz w:val="20"/>
                <w:szCs w:val="20"/>
              </w:rPr>
            </w:pPr>
            <w:r w:rsidRPr="008C1193">
              <w:rPr>
                <w:sz w:val="20"/>
                <w:szCs w:val="20"/>
              </w:rPr>
              <w:t>Realiza treinamento de forma esporádica</w:t>
            </w:r>
          </w:p>
        </w:tc>
        <w:tc>
          <w:tcPr>
            <w:tcW w:w="850" w:type="dxa"/>
            <w:tcBorders>
              <w:bottom w:val="single" w:sz="4" w:space="0" w:color="auto"/>
            </w:tcBorders>
            <w:vAlign w:val="center"/>
          </w:tcPr>
          <w:p w14:paraId="50E445D4" w14:textId="77777777" w:rsidR="008166C9" w:rsidRPr="008C1193" w:rsidRDefault="008166C9" w:rsidP="00AE6839">
            <w:pPr>
              <w:jc w:val="both"/>
              <w:rPr>
                <w:sz w:val="20"/>
                <w:szCs w:val="20"/>
              </w:rPr>
            </w:pPr>
            <w:r w:rsidRPr="008C1193">
              <w:rPr>
                <w:sz w:val="20"/>
                <w:szCs w:val="20"/>
              </w:rPr>
              <w:t>77,8</w:t>
            </w:r>
          </w:p>
        </w:tc>
      </w:tr>
      <w:tr w:rsidR="008166C9" w:rsidRPr="004B4AF1" w14:paraId="3864D78F" w14:textId="77777777" w:rsidTr="007E745E">
        <w:trPr>
          <w:trHeight w:val="20"/>
        </w:trPr>
        <w:tc>
          <w:tcPr>
            <w:tcW w:w="3686" w:type="dxa"/>
            <w:vMerge/>
            <w:vAlign w:val="center"/>
          </w:tcPr>
          <w:p w14:paraId="22761E81"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287CF024" w14:textId="77777777" w:rsidR="008166C9" w:rsidRPr="008C1193" w:rsidRDefault="008166C9" w:rsidP="00AE6839">
            <w:pPr>
              <w:jc w:val="both"/>
              <w:rPr>
                <w:sz w:val="20"/>
                <w:szCs w:val="20"/>
              </w:rPr>
            </w:pPr>
            <w:r w:rsidRPr="008C1193">
              <w:rPr>
                <w:sz w:val="20"/>
                <w:szCs w:val="20"/>
              </w:rPr>
              <w:t>Realiza treinamento de forma regular</w:t>
            </w:r>
          </w:p>
        </w:tc>
        <w:tc>
          <w:tcPr>
            <w:tcW w:w="850" w:type="dxa"/>
            <w:tcBorders>
              <w:bottom w:val="single" w:sz="4" w:space="0" w:color="auto"/>
            </w:tcBorders>
            <w:vAlign w:val="center"/>
          </w:tcPr>
          <w:p w14:paraId="5C154E2C" w14:textId="77777777" w:rsidR="008166C9" w:rsidRPr="008C1193" w:rsidRDefault="008166C9" w:rsidP="00AE6839">
            <w:pPr>
              <w:jc w:val="both"/>
              <w:rPr>
                <w:sz w:val="20"/>
                <w:szCs w:val="20"/>
              </w:rPr>
            </w:pPr>
            <w:r w:rsidRPr="008C1193">
              <w:rPr>
                <w:sz w:val="20"/>
                <w:szCs w:val="20"/>
              </w:rPr>
              <w:t>11,1</w:t>
            </w:r>
          </w:p>
        </w:tc>
      </w:tr>
      <w:tr w:rsidR="008166C9" w:rsidRPr="004B4AF1" w14:paraId="5DB4C9C5" w14:textId="77777777" w:rsidTr="007E745E">
        <w:trPr>
          <w:trHeight w:val="20"/>
        </w:trPr>
        <w:tc>
          <w:tcPr>
            <w:tcW w:w="3686" w:type="dxa"/>
            <w:vMerge/>
            <w:tcBorders>
              <w:bottom w:val="single" w:sz="4" w:space="0" w:color="auto"/>
            </w:tcBorders>
            <w:vAlign w:val="center"/>
          </w:tcPr>
          <w:p w14:paraId="0FAE602B"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77C4C54D" w14:textId="2583B65C" w:rsidR="008166C9" w:rsidRPr="008C1193" w:rsidRDefault="008166C9" w:rsidP="00AE6839">
            <w:pPr>
              <w:jc w:val="both"/>
              <w:rPr>
                <w:sz w:val="20"/>
                <w:szCs w:val="20"/>
              </w:rPr>
            </w:pPr>
            <w:r w:rsidRPr="008C1193">
              <w:rPr>
                <w:sz w:val="20"/>
                <w:szCs w:val="20"/>
              </w:rPr>
              <w:t>Não sabe informar</w:t>
            </w:r>
          </w:p>
        </w:tc>
        <w:tc>
          <w:tcPr>
            <w:tcW w:w="850" w:type="dxa"/>
            <w:tcBorders>
              <w:bottom w:val="single" w:sz="4" w:space="0" w:color="auto"/>
            </w:tcBorders>
            <w:vAlign w:val="center"/>
          </w:tcPr>
          <w:p w14:paraId="52D20273" w14:textId="77777777" w:rsidR="008166C9" w:rsidRPr="008C1193" w:rsidRDefault="008166C9" w:rsidP="00AE6839">
            <w:pPr>
              <w:jc w:val="both"/>
              <w:rPr>
                <w:sz w:val="20"/>
                <w:szCs w:val="20"/>
              </w:rPr>
            </w:pPr>
            <w:r w:rsidRPr="008C1193">
              <w:rPr>
                <w:sz w:val="20"/>
                <w:szCs w:val="20"/>
              </w:rPr>
              <w:t>11,1</w:t>
            </w:r>
          </w:p>
        </w:tc>
      </w:tr>
      <w:tr w:rsidR="008166C9" w:rsidRPr="004B4AF1" w14:paraId="6E3BA1C7" w14:textId="77777777" w:rsidTr="007E745E">
        <w:trPr>
          <w:trHeight w:val="20"/>
        </w:trPr>
        <w:tc>
          <w:tcPr>
            <w:tcW w:w="3686" w:type="dxa"/>
            <w:vMerge w:val="restart"/>
            <w:vAlign w:val="center"/>
          </w:tcPr>
          <w:p w14:paraId="7BAD7C28" w14:textId="0BF2AAAD" w:rsidR="008166C9" w:rsidRPr="008C1193" w:rsidRDefault="008166C9" w:rsidP="00AE6839">
            <w:pPr>
              <w:pStyle w:val="PargrafodaLista"/>
              <w:numPr>
                <w:ilvl w:val="0"/>
                <w:numId w:val="3"/>
              </w:numPr>
              <w:spacing w:before="0"/>
              <w:ind w:left="318" w:right="0"/>
              <w:contextualSpacing/>
              <w:rPr>
                <w:sz w:val="20"/>
                <w:szCs w:val="20"/>
              </w:rPr>
            </w:pPr>
            <w:r w:rsidRPr="008C1193">
              <w:rPr>
                <w:sz w:val="20"/>
                <w:szCs w:val="20"/>
              </w:rPr>
              <w:t xml:space="preserve">Quanto </w:t>
            </w:r>
            <w:r w:rsidR="001A2089" w:rsidRPr="008C1193">
              <w:rPr>
                <w:sz w:val="20"/>
                <w:szCs w:val="20"/>
              </w:rPr>
              <w:t>à</w:t>
            </w:r>
            <w:r w:rsidRPr="008C1193">
              <w:rPr>
                <w:sz w:val="20"/>
                <w:szCs w:val="20"/>
              </w:rPr>
              <w:t xml:space="preserve"> </w:t>
            </w:r>
            <w:r w:rsidRPr="008C1193">
              <w:rPr>
                <w:bCs/>
                <w:sz w:val="20"/>
                <w:szCs w:val="20"/>
              </w:rPr>
              <w:t xml:space="preserve">fiscalização dos órgãos competentes </w:t>
            </w:r>
          </w:p>
        </w:tc>
        <w:tc>
          <w:tcPr>
            <w:tcW w:w="4536" w:type="dxa"/>
            <w:tcBorders>
              <w:bottom w:val="single" w:sz="4" w:space="0" w:color="auto"/>
            </w:tcBorders>
            <w:vAlign w:val="center"/>
          </w:tcPr>
          <w:p w14:paraId="4980F275" w14:textId="77777777" w:rsidR="008166C9" w:rsidRPr="008C1193" w:rsidRDefault="008166C9" w:rsidP="00AE6839">
            <w:pPr>
              <w:jc w:val="both"/>
              <w:rPr>
                <w:sz w:val="20"/>
                <w:szCs w:val="20"/>
              </w:rPr>
            </w:pPr>
            <w:r w:rsidRPr="008C1193">
              <w:rPr>
                <w:bCs/>
                <w:sz w:val="20"/>
                <w:szCs w:val="20"/>
              </w:rPr>
              <w:t>Passaram por fiscalização nos últimos dois anos</w:t>
            </w:r>
          </w:p>
        </w:tc>
        <w:tc>
          <w:tcPr>
            <w:tcW w:w="850" w:type="dxa"/>
            <w:tcBorders>
              <w:bottom w:val="single" w:sz="4" w:space="0" w:color="auto"/>
            </w:tcBorders>
            <w:vAlign w:val="center"/>
          </w:tcPr>
          <w:p w14:paraId="72E249F1" w14:textId="77777777" w:rsidR="008166C9" w:rsidRPr="008C1193" w:rsidRDefault="008166C9" w:rsidP="00AE6839">
            <w:pPr>
              <w:jc w:val="both"/>
              <w:rPr>
                <w:sz w:val="20"/>
                <w:szCs w:val="20"/>
              </w:rPr>
            </w:pPr>
            <w:r w:rsidRPr="008C1193">
              <w:rPr>
                <w:sz w:val="20"/>
                <w:szCs w:val="20"/>
              </w:rPr>
              <w:t>33,3</w:t>
            </w:r>
          </w:p>
        </w:tc>
      </w:tr>
      <w:tr w:rsidR="008166C9" w:rsidRPr="004B4AF1" w14:paraId="0CD3FB44" w14:textId="77777777" w:rsidTr="007E745E">
        <w:trPr>
          <w:trHeight w:val="20"/>
        </w:trPr>
        <w:tc>
          <w:tcPr>
            <w:tcW w:w="3686" w:type="dxa"/>
            <w:vMerge/>
            <w:vAlign w:val="center"/>
          </w:tcPr>
          <w:p w14:paraId="00BA399F"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034132A7" w14:textId="77777777" w:rsidR="008166C9" w:rsidRPr="008C1193" w:rsidRDefault="008166C9" w:rsidP="00AE6839">
            <w:pPr>
              <w:jc w:val="both"/>
              <w:rPr>
                <w:sz w:val="20"/>
                <w:szCs w:val="20"/>
              </w:rPr>
            </w:pPr>
            <w:r w:rsidRPr="008C1193">
              <w:rPr>
                <w:bCs/>
                <w:sz w:val="20"/>
                <w:szCs w:val="20"/>
              </w:rPr>
              <w:t>Passaram por fiscalização apenas uma vez</w:t>
            </w:r>
          </w:p>
        </w:tc>
        <w:tc>
          <w:tcPr>
            <w:tcW w:w="850" w:type="dxa"/>
            <w:tcBorders>
              <w:bottom w:val="single" w:sz="4" w:space="0" w:color="auto"/>
            </w:tcBorders>
            <w:vAlign w:val="center"/>
          </w:tcPr>
          <w:p w14:paraId="7740D262" w14:textId="77777777" w:rsidR="008166C9" w:rsidRPr="008C1193" w:rsidRDefault="008166C9" w:rsidP="00AE6839">
            <w:pPr>
              <w:jc w:val="both"/>
              <w:rPr>
                <w:sz w:val="20"/>
                <w:szCs w:val="20"/>
              </w:rPr>
            </w:pPr>
            <w:r w:rsidRPr="008C1193">
              <w:rPr>
                <w:sz w:val="20"/>
                <w:szCs w:val="20"/>
              </w:rPr>
              <w:t>66,7</w:t>
            </w:r>
          </w:p>
        </w:tc>
      </w:tr>
      <w:tr w:rsidR="008166C9" w:rsidRPr="004B4AF1" w14:paraId="1549BECC" w14:textId="77777777" w:rsidTr="007E745E">
        <w:trPr>
          <w:trHeight w:val="20"/>
        </w:trPr>
        <w:tc>
          <w:tcPr>
            <w:tcW w:w="3686" w:type="dxa"/>
            <w:vMerge/>
            <w:tcBorders>
              <w:bottom w:val="single" w:sz="4" w:space="0" w:color="auto"/>
            </w:tcBorders>
            <w:vAlign w:val="center"/>
          </w:tcPr>
          <w:p w14:paraId="3B5B1C05" w14:textId="77777777" w:rsidR="008166C9" w:rsidRPr="008C1193" w:rsidRDefault="008166C9" w:rsidP="00AE6839">
            <w:pPr>
              <w:pStyle w:val="PargrafodaLista"/>
              <w:numPr>
                <w:ilvl w:val="0"/>
                <w:numId w:val="3"/>
              </w:numPr>
              <w:spacing w:before="0"/>
              <w:ind w:left="318" w:right="0"/>
              <w:contextualSpacing/>
              <w:rPr>
                <w:sz w:val="20"/>
                <w:szCs w:val="20"/>
              </w:rPr>
            </w:pPr>
          </w:p>
        </w:tc>
        <w:tc>
          <w:tcPr>
            <w:tcW w:w="4536" w:type="dxa"/>
            <w:tcBorders>
              <w:bottom w:val="single" w:sz="4" w:space="0" w:color="auto"/>
            </w:tcBorders>
            <w:vAlign w:val="center"/>
          </w:tcPr>
          <w:p w14:paraId="37466117" w14:textId="48F7A0AB" w:rsidR="008166C9" w:rsidRPr="008C1193" w:rsidRDefault="008166C9" w:rsidP="00AE6839">
            <w:pPr>
              <w:jc w:val="both"/>
              <w:rPr>
                <w:sz w:val="20"/>
                <w:szCs w:val="20"/>
              </w:rPr>
            </w:pPr>
            <w:r w:rsidRPr="008C1193">
              <w:rPr>
                <w:sz w:val="20"/>
                <w:szCs w:val="20"/>
              </w:rPr>
              <w:t>Não sabe informar</w:t>
            </w:r>
          </w:p>
        </w:tc>
        <w:tc>
          <w:tcPr>
            <w:tcW w:w="850" w:type="dxa"/>
            <w:tcBorders>
              <w:bottom w:val="single" w:sz="4" w:space="0" w:color="auto"/>
            </w:tcBorders>
            <w:vAlign w:val="center"/>
          </w:tcPr>
          <w:p w14:paraId="2207836D" w14:textId="77777777" w:rsidR="008166C9" w:rsidRPr="008C1193" w:rsidRDefault="008166C9" w:rsidP="00AE6839">
            <w:pPr>
              <w:jc w:val="both"/>
              <w:rPr>
                <w:sz w:val="20"/>
                <w:szCs w:val="20"/>
              </w:rPr>
            </w:pPr>
            <w:r w:rsidRPr="008C1193">
              <w:rPr>
                <w:sz w:val="20"/>
                <w:szCs w:val="20"/>
              </w:rPr>
              <w:t>-</w:t>
            </w:r>
          </w:p>
        </w:tc>
      </w:tr>
      <w:tr w:rsidR="008166C9" w:rsidRPr="004B4AF1" w14:paraId="618DA71B" w14:textId="77777777" w:rsidTr="007E745E">
        <w:trPr>
          <w:trHeight w:val="20"/>
        </w:trPr>
        <w:tc>
          <w:tcPr>
            <w:tcW w:w="9072" w:type="dxa"/>
            <w:gridSpan w:val="3"/>
            <w:tcBorders>
              <w:top w:val="single" w:sz="4" w:space="0" w:color="auto"/>
              <w:left w:val="nil"/>
              <w:bottom w:val="nil"/>
              <w:right w:val="nil"/>
            </w:tcBorders>
          </w:tcPr>
          <w:p w14:paraId="51C3D9F7" w14:textId="18E619C1" w:rsidR="008166C9" w:rsidRPr="008C1193" w:rsidRDefault="008166C9" w:rsidP="00E9314A">
            <w:pPr>
              <w:spacing w:line="360" w:lineRule="auto"/>
              <w:jc w:val="both"/>
              <w:rPr>
                <w:iCs/>
                <w:sz w:val="20"/>
                <w:szCs w:val="20"/>
                <w:lang w:val="pt-BR"/>
              </w:rPr>
            </w:pPr>
            <w:r w:rsidRPr="008C1193">
              <w:rPr>
                <w:sz w:val="20"/>
                <w:szCs w:val="20"/>
              </w:rPr>
              <w:t xml:space="preserve">Fonte: </w:t>
            </w:r>
            <w:r w:rsidR="00B62079" w:rsidRPr="008C1193">
              <w:rPr>
                <w:sz w:val="20"/>
                <w:szCs w:val="20"/>
              </w:rPr>
              <w:t>Autores</w:t>
            </w:r>
            <w:r w:rsidRPr="008C1193">
              <w:rPr>
                <w:iCs/>
                <w:sz w:val="20"/>
                <w:szCs w:val="20"/>
                <w:lang w:val="pt-BR"/>
              </w:rPr>
              <w:t xml:space="preserve"> (2025)</w:t>
            </w:r>
            <w:r w:rsidR="001A2089" w:rsidRPr="008C1193">
              <w:rPr>
                <w:iCs/>
                <w:sz w:val="20"/>
                <w:szCs w:val="20"/>
                <w:lang w:val="pt-BR"/>
              </w:rPr>
              <w:t>.</w:t>
            </w:r>
          </w:p>
        </w:tc>
      </w:tr>
    </w:tbl>
    <w:p w14:paraId="37C4423C" w14:textId="4D47160E" w:rsidR="008166C9" w:rsidRPr="004B4AF1" w:rsidRDefault="008166C9" w:rsidP="00D53B1A">
      <w:pPr>
        <w:spacing w:line="360" w:lineRule="auto"/>
        <w:ind w:firstLine="720"/>
        <w:jc w:val="both"/>
        <w:rPr>
          <w:sz w:val="24"/>
          <w:szCs w:val="24"/>
          <w:lang w:val="pt-BR"/>
        </w:rPr>
      </w:pPr>
      <w:r w:rsidRPr="004B4AF1">
        <w:rPr>
          <w:sz w:val="24"/>
          <w:szCs w:val="24"/>
          <w:lang w:val="pt-BR"/>
        </w:rPr>
        <w:t xml:space="preserve">a) </w:t>
      </w:r>
      <w:r w:rsidR="00B62079" w:rsidRPr="004B4AF1">
        <w:rPr>
          <w:sz w:val="24"/>
          <w:szCs w:val="24"/>
          <w:lang w:val="pt-BR"/>
        </w:rPr>
        <w:t>E</w:t>
      </w:r>
      <w:r w:rsidRPr="004B4AF1">
        <w:rPr>
          <w:sz w:val="24"/>
          <w:szCs w:val="24"/>
          <w:lang w:val="pt-BR"/>
        </w:rPr>
        <w:t xml:space="preserve">mbora a maioria das clínicas tenha declarado possuir </w:t>
      </w:r>
      <w:r w:rsidR="00B62079" w:rsidRPr="004B4AF1">
        <w:rPr>
          <w:sz w:val="24"/>
          <w:szCs w:val="24"/>
          <w:lang w:val="pt-BR"/>
        </w:rPr>
        <w:t>o Plano de Gerenciamento de Resíduos de Serviços de Saúde (PGRSS)</w:t>
      </w:r>
      <w:r w:rsidRPr="004B4AF1">
        <w:rPr>
          <w:sz w:val="24"/>
          <w:szCs w:val="24"/>
          <w:lang w:val="pt-BR"/>
        </w:rPr>
        <w:t>, parte expressiva indicou estar com o documento desatualizado. Nenhuma unidade relatou ausência do PGRSS, demonstra</w:t>
      </w:r>
      <w:r w:rsidR="0049304F">
        <w:rPr>
          <w:sz w:val="24"/>
          <w:szCs w:val="24"/>
          <w:lang w:val="pt-BR"/>
        </w:rPr>
        <w:t>ndo</w:t>
      </w:r>
      <w:r w:rsidRPr="004B4AF1">
        <w:rPr>
          <w:sz w:val="24"/>
          <w:szCs w:val="24"/>
          <w:lang w:val="pt-BR"/>
        </w:rPr>
        <w:t xml:space="preserve"> comprometimento institucional </w:t>
      </w:r>
      <w:r w:rsidR="000A0DB4" w:rsidRPr="004B4AF1">
        <w:rPr>
          <w:sz w:val="24"/>
          <w:szCs w:val="24"/>
          <w:lang w:val="pt-BR"/>
        </w:rPr>
        <w:t xml:space="preserve">da RDC nº 222/2018. </w:t>
      </w:r>
      <w:r w:rsidRPr="004B4AF1">
        <w:rPr>
          <w:sz w:val="24"/>
          <w:szCs w:val="24"/>
          <w:lang w:val="pt-BR"/>
        </w:rPr>
        <w:t>Contudo, os dados evidenciam a necessidade de assegurar sua efetividade diante das constantes atualizações regulatórias e técnicas.</w:t>
      </w:r>
    </w:p>
    <w:p w14:paraId="007FE4E1" w14:textId="77777777" w:rsidR="0023520D" w:rsidRPr="004B4AF1" w:rsidRDefault="00B62079" w:rsidP="00D53B1A">
      <w:pPr>
        <w:spacing w:line="360" w:lineRule="auto"/>
        <w:ind w:firstLine="720"/>
        <w:jc w:val="both"/>
        <w:rPr>
          <w:sz w:val="24"/>
          <w:szCs w:val="24"/>
          <w:lang w:val="pt-BR"/>
        </w:rPr>
      </w:pPr>
      <w:r w:rsidRPr="004B4AF1">
        <w:rPr>
          <w:sz w:val="24"/>
          <w:szCs w:val="24"/>
          <w:lang w:val="pt-BR"/>
        </w:rPr>
        <w:lastRenderedPageBreak/>
        <w:t>b) Embora</w:t>
      </w:r>
      <w:r w:rsidR="008166C9" w:rsidRPr="004B4AF1">
        <w:rPr>
          <w:sz w:val="24"/>
          <w:szCs w:val="24"/>
          <w:lang w:val="pt-BR"/>
        </w:rPr>
        <w:t xml:space="preserve"> parte das clínicas afirme </w:t>
      </w:r>
      <w:r w:rsidRPr="004B4AF1">
        <w:rPr>
          <w:sz w:val="24"/>
          <w:szCs w:val="24"/>
          <w:lang w:val="pt-BR"/>
        </w:rPr>
        <w:t xml:space="preserve">classificar e </w:t>
      </w:r>
      <w:r w:rsidR="008166C9" w:rsidRPr="004B4AF1">
        <w:rPr>
          <w:sz w:val="24"/>
          <w:szCs w:val="24"/>
          <w:lang w:val="pt-BR"/>
        </w:rPr>
        <w:t xml:space="preserve">identificar corretamente todos os resíduos gerados conforme a RDC nº 222/2018, a maioria realiza a segregação de forma parcial. Esse resultado revela fragilidade no cumprimento da norma, </w:t>
      </w:r>
      <w:r w:rsidR="00163473" w:rsidRPr="004B4AF1">
        <w:rPr>
          <w:sz w:val="24"/>
          <w:szCs w:val="24"/>
        </w:rPr>
        <w:t xml:space="preserve">pois ainda é </w:t>
      </w:r>
      <w:r w:rsidR="00BC4880" w:rsidRPr="004B4AF1">
        <w:rPr>
          <w:sz w:val="24"/>
          <w:szCs w:val="24"/>
        </w:rPr>
        <w:t>possível verificar</w:t>
      </w:r>
      <w:r w:rsidR="00603D38" w:rsidRPr="004B4AF1">
        <w:rPr>
          <w:sz w:val="24"/>
          <w:szCs w:val="24"/>
        </w:rPr>
        <w:t xml:space="preserve"> que a </w:t>
      </w:r>
      <w:r w:rsidR="00973B05" w:rsidRPr="004B4AF1">
        <w:rPr>
          <w:sz w:val="24"/>
          <w:szCs w:val="24"/>
        </w:rPr>
        <w:t>alguns</w:t>
      </w:r>
      <w:r w:rsidR="00603D38" w:rsidRPr="004B4AF1">
        <w:rPr>
          <w:sz w:val="24"/>
          <w:szCs w:val="24"/>
        </w:rPr>
        <w:t xml:space="preserve"> dos profissionais</w:t>
      </w:r>
      <w:r w:rsidR="00973B05" w:rsidRPr="004B4AF1">
        <w:rPr>
          <w:sz w:val="24"/>
          <w:szCs w:val="24"/>
        </w:rPr>
        <w:t xml:space="preserve">, procuram </w:t>
      </w:r>
      <w:r w:rsidR="00603D38" w:rsidRPr="004B4AF1">
        <w:rPr>
          <w:sz w:val="24"/>
          <w:szCs w:val="24"/>
        </w:rPr>
        <w:t xml:space="preserve">realiza o manuseio adequado dos resíduos, </w:t>
      </w:r>
      <w:r w:rsidR="00973B05" w:rsidRPr="004B4AF1">
        <w:rPr>
          <w:sz w:val="24"/>
          <w:szCs w:val="24"/>
        </w:rPr>
        <w:t xml:space="preserve">contudo, não </w:t>
      </w:r>
      <w:r w:rsidR="00E51EB4" w:rsidRPr="004B4AF1">
        <w:rPr>
          <w:sz w:val="24"/>
          <w:szCs w:val="24"/>
        </w:rPr>
        <w:t xml:space="preserve">o faz de forma efetiva e consciente, muitas vezes, </w:t>
      </w:r>
      <w:r w:rsidR="00BC4880" w:rsidRPr="004B4AF1">
        <w:rPr>
          <w:sz w:val="24"/>
          <w:szCs w:val="24"/>
        </w:rPr>
        <w:t>podendo uma</w:t>
      </w:r>
      <w:r w:rsidR="00603D38" w:rsidRPr="004B4AF1">
        <w:rPr>
          <w:sz w:val="24"/>
          <w:szCs w:val="24"/>
        </w:rPr>
        <w:t xml:space="preserve"> etapa fundamental para o manejo seguro desses materiais e para a proteção dos trabalhadores diretamente envolvidos no processo. </w:t>
      </w:r>
      <w:r w:rsidR="00BC4880" w:rsidRPr="004B4AF1">
        <w:rPr>
          <w:sz w:val="24"/>
          <w:szCs w:val="24"/>
        </w:rPr>
        <w:t>Praticas que podem</w:t>
      </w:r>
      <w:r w:rsidR="00603D38" w:rsidRPr="004B4AF1">
        <w:rPr>
          <w:sz w:val="24"/>
          <w:szCs w:val="24"/>
        </w:rPr>
        <w:t xml:space="preserve"> representa não apenas um risco à integridade física dos colaboradores, como também evidencia fragilidades na implementação de práticas seguras e sustentáveis no ambiente clínico. O correto manuseio dos resíduos exige conhecimento técnico, capacitação contínua e adesão rigorosa aos protocolos estabelecidos, sendo imprescindível para a prevenção de acidentes, a mitigação de impactos ambientais e o fortalecimento da cultura de segurança ocupacional. A constatação dessa lacuna reforça a necessidade de intervenções educativas e estruturais que promovam a conscientização e a qualificação dos profissionais, assegurando a conformidade com as normas vigentes e a proteção da saúde coletiva.</w:t>
      </w:r>
      <w:r w:rsidR="008166C9" w:rsidRPr="004B4AF1">
        <w:rPr>
          <w:sz w:val="24"/>
          <w:szCs w:val="24"/>
          <w:lang w:val="pt-BR"/>
        </w:rPr>
        <w:t xml:space="preserve">c) Identificação e Rotulagem dos Recipientes: A maioria das clínicas relatou utilizar recipientes devidamente identificados com rótulos e símbolos de risco, embora parte delas reconheça que essa padronização ocorre apenas parcialmente. </w:t>
      </w:r>
    </w:p>
    <w:p w14:paraId="68CB81A2" w14:textId="21602533" w:rsidR="008166C9" w:rsidRPr="004B4AF1" w:rsidRDefault="008166C9" w:rsidP="00D53B1A">
      <w:pPr>
        <w:spacing w:line="360" w:lineRule="auto"/>
        <w:ind w:firstLine="720"/>
        <w:jc w:val="both"/>
        <w:rPr>
          <w:sz w:val="24"/>
          <w:szCs w:val="24"/>
          <w:lang w:val="pt-BR"/>
        </w:rPr>
      </w:pPr>
      <w:r w:rsidRPr="004B4AF1">
        <w:rPr>
          <w:sz w:val="24"/>
          <w:szCs w:val="24"/>
          <w:lang w:val="pt-BR"/>
        </w:rPr>
        <w:t>d) Descarte de Resíduos potencialmente infectantes: Os resíduos potencialmente infectantes, como algodão, gaze, luvas e máscaras, foram corretamente acondicionados por todas as clínicas em sacos brancos leitosos com símbolo de risco biológico, conforme determina a RDC nº 222/2018 da ANVISA. Esse resultado evidencia conformidade normativa e reforça a importância da segregação adequada para a proteção dos profissionais, dos pacientes e do meio ambiente, prevenindo acidentes ocupacionais e a disseminação de agentes patogênicos.</w:t>
      </w:r>
    </w:p>
    <w:p w14:paraId="081D4E23" w14:textId="1D635663" w:rsidR="00430361" w:rsidRPr="00430361" w:rsidRDefault="00430361" w:rsidP="00430361">
      <w:pPr>
        <w:spacing w:line="360" w:lineRule="auto"/>
        <w:ind w:firstLine="720"/>
        <w:jc w:val="both"/>
        <w:rPr>
          <w:sz w:val="24"/>
          <w:szCs w:val="24"/>
          <w:lang w:val="pt-BR"/>
        </w:rPr>
      </w:pPr>
      <w:r w:rsidRPr="00430361">
        <w:rPr>
          <w:sz w:val="24"/>
          <w:szCs w:val="24"/>
          <w:lang w:val="pt-BR"/>
        </w:rPr>
        <w:t xml:space="preserve">e) Descarte de Resíduos Químicos: A maioria das clínicas informou realizar o descarte adequado de resíduos químicos como amálgama, anestésicos, medicamentos vencidos e reveladores em recipientes específicos e devidamente identificados. Contudo, </w:t>
      </w:r>
      <w:r w:rsidR="00527941">
        <w:rPr>
          <w:sz w:val="24"/>
          <w:szCs w:val="24"/>
          <w:lang w:val="pt-BR"/>
        </w:rPr>
        <w:t>algumas clinicas</w:t>
      </w:r>
      <w:r w:rsidRPr="00430361">
        <w:rPr>
          <w:sz w:val="24"/>
          <w:szCs w:val="24"/>
          <w:lang w:val="pt-BR"/>
        </w:rPr>
        <w:t xml:space="preserve"> ainda os descarta juntamente com os resíduos comuns, prática incompatível com as normas vigentes e que representa risco à saúde pública, além de potenciais impactos ambientais.</w:t>
      </w:r>
    </w:p>
    <w:p w14:paraId="3FD95BEE" w14:textId="2070B48D" w:rsidR="008166C9" w:rsidRPr="004B4AF1" w:rsidRDefault="00B62079" w:rsidP="00D53B1A">
      <w:pPr>
        <w:spacing w:line="360" w:lineRule="auto"/>
        <w:ind w:firstLine="720"/>
        <w:jc w:val="both"/>
        <w:rPr>
          <w:sz w:val="24"/>
          <w:szCs w:val="24"/>
          <w:lang w:val="pt-BR"/>
        </w:rPr>
      </w:pPr>
      <w:r w:rsidRPr="004B4AF1">
        <w:rPr>
          <w:sz w:val="24"/>
          <w:szCs w:val="24"/>
          <w:lang w:val="pt-BR"/>
        </w:rPr>
        <w:t>f</w:t>
      </w:r>
      <w:r w:rsidR="008166C9" w:rsidRPr="004B4AF1">
        <w:rPr>
          <w:sz w:val="24"/>
          <w:szCs w:val="24"/>
          <w:lang w:val="pt-BR"/>
        </w:rPr>
        <w:t>) Descarte de Rejeitos Radioativos: As clínicas informaram não gerar rejeitos radioativos, mas aquelas que os produzem</w:t>
      </w:r>
      <w:r w:rsidR="00000A42">
        <w:rPr>
          <w:sz w:val="24"/>
          <w:szCs w:val="24"/>
          <w:lang w:val="pt-BR"/>
        </w:rPr>
        <w:t xml:space="preserve">, </w:t>
      </w:r>
      <w:r w:rsidR="008166C9" w:rsidRPr="004B4AF1">
        <w:rPr>
          <w:sz w:val="24"/>
          <w:szCs w:val="24"/>
          <w:lang w:val="pt-BR"/>
        </w:rPr>
        <w:t xml:space="preserve">como filmes radiográficos e soluções contendo </w:t>
      </w:r>
      <w:r w:rsidR="008166C9" w:rsidRPr="004B4AF1">
        <w:rPr>
          <w:sz w:val="24"/>
          <w:szCs w:val="24"/>
          <w:lang w:val="pt-BR"/>
        </w:rPr>
        <w:lastRenderedPageBreak/>
        <w:t xml:space="preserve">radionuclídeos declararam encaminhá-los a empresas especializadas. </w:t>
      </w:r>
    </w:p>
    <w:p w14:paraId="10A88B96" w14:textId="07EB5CC3" w:rsidR="008166C9" w:rsidRPr="004B4AF1" w:rsidRDefault="00B62079" w:rsidP="00D53B1A">
      <w:pPr>
        <w:spacing w:line="360" w:lineRule="auto"/>
        <w:ind w:firstLine="720"/>
        <w:jc w:val="both"/>
        <w:rPr>
          <w:sz w:val="24"/>
          <w:szCs w:val="24"/>
          <w:lang w:val="pt-BR"/>
        </w:rPr>
      </w:pPr>
      <w:r w:rsidRPr="004B4AF1">
        <w:rPr>
          <w:sz w:val="24"/>
          <w:szCs w:val="24"/>
          <w:lang w:val="pt-BR"/>
        </w:rPr>
        <w:t>g</w:t>
      </w:r>
      <w:r w:rsidR="008166C9" w:rsidRPr="004B4AF1">
        <w:rPr>
          <w:sz w:val="24"/>
          <w:szCs w:val="24"/>
          <w:lang w:val="pt-BR"/>
        </w:rPr>
        <w:t>) Descarte de Resíduos Comuns: A maioria das clínicas realiza o descarte de resíduos não perigosos</w:t>
      </w:r>
      <w:r w:rsidR="00000A42">
        <w:rPr>
          <w:sz w:val="24"/>
          <w:szCs w:val="24"/>
          <w:lang w:val="pt-BR"/>
        </w:rPr>
        <w:t xml:space="preserve">, </w:t>
      </w:r>
      <w:r w:rsidR="008166C9" w:rsidRPr="004B4AF1">
        <w:rPr>
          <w:sz w:val="24"/>
          <w:szCs w:val="24"/>
          <w:lang w:val="pt-BR"/>
        </w:rPr>
        <w:t>sem risco biológico ou químico em sacos pretos ou recipientes padronizados para resíduos comuns. Apenas uma parcela minoritária adota formas alternativas de descarte. O resultado indica</w:t>
      </w:r>
      <w:r w:rsidRPr="004B4AF1">
        <w:rPr>
          <w:sz w:val="24"/>
          <w:szCs w:val="24"/>
          <w:lang w:val="pt-BR"/>
        </w:rPr>
        <w:t xml:space="preserve"> um</w:t>
      </w:r>
      <w:r w:rsidR="008166C9" w:rsidRPr="004B4AF1">
        <w:rPr>
          <w:sz w:val="24"/>
          <w:szCs w:val="24"/>
          <w:lang w:val="pt-BR"/>
        </w:rPr>
        <w:t xml:space="preserve"> nível</w:t>
      </w:r>
      <w:r w:rsidRPr="004B4AF1">
        <w:rPr>
          <w:sz w:val="24"/>
          <w:szCs w:val="24"/>
          <w:lang w:val="pt-BR"/>
        </w:rPr>
        <w:t xml:space="preserve"> considerável</w:t>
      </w:r>
      <w:r w:rsidR="008166C9" w:rsidRPr="004B4AF1">
        <w:rPr>
          <w:sz w:val="24"/>
          <w:szCs w:val="24"/>
          <w:lang w:val="pt-BR"/>
        </w:rPr>
        <w:t xml:space="preserve"> </w:t>
      </w:r>
      <w:r w:rsidRPr="004B4AF1">
        <w:rPr>
          <w:sz w:val="24"/>
          <w:szCs w:val="24"/>
          <w:lang w:val="pt-BR"/>
        </w:rPr>
        <w:t>referente a RDC 222/2018</w:t>
      </w:r>
      <w:r w:rsidR="008166C9" w:rsidRPr="004B4AF1">
        <w:rPr>
          <w:sz w:val="24"/>
          <w:szCs w:val="24"/>
          <w:lang w:val="pt-BR"/>
        </w:rPr>
        <w:t xml:space="preserve">, considerando que esses resíduos não representam ameaça à saúde ou ao meio ambiente. </w:t>
      </w:r>
    </w:p>
    <w:p w14:paraId="077DB12A" w14:textId="12D50272" w:rsidR="00A85FD5" w:rsidRPr="00A85FD5" w:rsidRDefault="00A85FD5" w:rsidP="00A85FD5">
      <w:pPr>
        <w:spacing w:line="360" w:lineRule="auto"/>
        <w:ind w:firstLine="720"/>
        <w:jc w:val="both"/>
        <w:rPr>
          <w:sz w:val="24"/>
          <w:szCs w:val="24"/>
          <w:lang w:val="pt-BR"/>
        </w:rPr>
      </w:pPr>
      <w:r w:rsidRPr="00A85FD5">
        <w:rPr>
          <w:sz w:val="24"/>
          <w:szCs w:val="24"/>
          <w:lang w:val="pt-BR"/>
        </w:rPr>
        <w:t xml:space="preserve">h) Descarte de Resíduos Perfurocortantes: A maioria das clínicas utiliza recipientes adequados, como caixas rígidas do tipo Descarpack, para o acondicionamento de materiais perfurocortantes. </w:t>
      </w:r>
      <w:r w:rsidR="008E004C">
        <w:rPr>
          <w:sz w:val="24"/>
          <w:szCs w:val="24"/>
          <w:lang w:val="pt-BR"/>
        </w:rPr>
        <w:t>Mas</w:t>
      </w:r>
      <w:r w:rsidRPr="00A85FD5">
        <w:rPr>
          <w:sz w:val="24"/>
          <w:szCs w:val="24"/>
          <w:lang w:val="pt-BR"/>
        </w:rPr>
        <w:t>, algumas ainda recorrem a recipientes improvisados</w:t>
      </w:r>
      <w:r w:rsidR="00000A42">
        <w:rPr>
          <w:sz w:val="24"/>
          <w:szCs w:val="24"/>
          <w:lang w:val="pt-BR"/>
        </w:rPr>
        <w:t xml:space="preserve">, </w:t>
      </w:r>
      <w:r w:rsidRPr="00A85FD5">
        <w:rPr>
          <w:sz w:val="24"/>
          <w:szCs w:val="24"/>
          <w:lang w:val="pt-BR"/>
        </w:rPr>
        <w:t>como garrafas PET e caixas de papelão prática preocupante, uma vez que recipientes não padronizados elevam significativamente o risco de acidentes e infecções ocupacionais, comprometendo a segurança dos profissionais e o cumprimento da Resolução RDC nº 222/2018.</w:t>
      </w:r>
    </w:p>
    <w:p w14:paraId="680E7297" w14:textId="6F0536C6" w:rsidR="008166C9" w:rsidRPr="004B4AF1" w:rsidRDefault="008046B3" w:rsidP="00D53B1A">
      <w:pPr>
        <w:spacing w:line="360" w:lineRule="auto"/>
        <w:ind w:firstLine="720"/>
        <w:jc w:val="both"/>
        <w:rPr>
          <w:sz w:val="24"/>
          <w:szCs w:val="24"/>
          <w:lang w:val="pt-BR"/>
        </w:rPr>
      </w:pPr>
      <w:r w:rsidRPr="004B4AF1">
        <w:rPr>
          <w:sz w:val="24"/>
          <w:szCs w:val="24"/>
          <w:lang w:val="pt-BR"/>
        </w:rPr>
        <w:t>i</w:t>
      </w:r>
      <w:r w:rsidR="008166C9" w:rsidRPr="004B4AF1">
        <w:rPr>
          <w:sz w:val="24"/>
          <w:szCs w:val="24"/>
          <w:lang w:val="pt-BR"/>
        </w:rPr>
        <w:t>) Coleta Externa dos Resíduos de Serviços de Saúde (RSS): Verificou-se que, na maioria das clínicas odontológicas, a coleta dos RSS é realizada por órgãos públicos vinculados à Prefeitura Municipal, enquanto uma parcela menor recorre a empresas privadas devidamente licenciadas. Essa configuração revela uma predominante dependência da estrutura pública para o manejo externo dos resíduos, o que pode representar fragilidade em termos de autonomia operacional e capacidade de resposta diante de eventuais interrupções ou limitações logísticas. Por outro lado, a presença de alternativas privadas, ainda que restrita, aponta para possibilidades de diversificação dos serviços, ampliando a segurança e a eficiência na destinação final dos resíduos, desde que devidamente regulamentadas e fiscalizadas.</w:t>
      </w:r>
    </w:p>
    <w:p w14:paraId="0D4EFF39" w14:textId="5B7E6184" w:rsidR="008166C9" w:rsidRPr="004B4AF1" w:rsidRDefault="00B62079" w:rsidP="00D53B1A">
      <w:pPr>
        <w:spacing w:line="360" w:lineRule="auto"/>
        <w:ind w:firstLine="720"/>
        <w:jc w:val="both"/>
        <w:rPr>
          <w:sz w:val="24"/>
          <w:szCs w:val="24"/>
          <w:lang w:val="pt-BR"/>
        </w:rPr>
      </w:pPr>
      <w:r w:rsidRPr="004B4AF1">
        <w:rPr>
          <w:sz w:val="24"/>
          <w:szCs w:val="24"/>
          <w:lang w:val="pt-BR"/>
        </w:rPr>
        <w:t>j</w:t>
      </w:r>
      <w:r w:rsidR="008166C9" w:rsidRPr="004B4AF1">
        <w:rPr>
          <w:sz w:val="24"/>
          <w:szCs w:val="24"/>
          <w:lang w:val="pt-BR"/>
        </w:rPr>
        <w:t>) Capacitação dos Profissionais para o Manejo de RSS: Observou-se que, embora a maioria dos profissionais receba algum tipo de treinamento sobre o descarte de resíduos odontológicos, esse processo ocorre de forma esporádica. Apenas uma parcela reduzida relatou participar de capacitações regulares, enquanto outros nunca foram instruídos especificamente para o manejo dos Resíduos de Serviços de Saúde (RSS). Essa lacuna formativa representa uma fragilidade significativa na gestão dos resíduos, comprometendo a efetividade das diretrizes estabelecidas pela ANVISA. A ausência de treinamentos sistemáticos não apenas dificulta a aplicação correta da</w:t>
      </w:r>
      <w:r w:rsidR="00BB18BC" w:rsidRPr="004B4AF1">
        <w:rPr>
          <w:sz w:val="24"/>
          <w:szCs w:val="24"/>
          <w:lang w:val="pt-BR"/>
        </w:rPr>
        <w:t xml:space="preserve"> </w:t>
      </w:r>
      <w:r w:rsidR="00BB18BC" w:rsidRPr="004B4AF1">
        <w:rPr>
          <w:iCs/>
          <w:sz w:val="24"/>
          <w:szCs w:val="24"/>
        </w:rPr>
        <w:t>RDC nº 222/2018 da ANVISA</w:t>
      </w:r>
      <w:r w:rsidR="00540448" w:rsidRPr="004B4AF1">
        <w:rPr>
          <w:iCs/>
          <w:sz w:val="24"/>
          <w:szCs w:val="24"/>
        </w:rPr>
        <w:t>,</w:t>
      </w:r>
      <w:r w:rsidR="00BB18BC" w:rsidRPr="004B4AF1">
        <w:rPr>
          <w:sz w:val="24"/>
          <w:szCs w:val="24"/>
          <w:lang w:val="pt-BR"/>
        </w:rPr>
        <w:t xml:space="preserve"> </w:t>
      </w:r>
      <w:r w:rsidR="00540448" w:rsidRPr="004B4AF1">
        <w:rPr>
          <w:sz w:val="24"/>
          <w:szCs w:val="24"/>
          <w:lang w:val="pt-BR"/>
        </w:rPr>
        <w:t>c</w:t>
      </w:r>
      <w:r w:rsidR="008166C9" w:rsidRPr="004B4AF1">
        <w:rPr>
          <w:sz w:val="24"/>
          <w:szCs w:val="24"/>
          <w:lang w:val="pt-BR"/>
        </w:rPr>
        <w:t>omo também favorece condutas inadequadas, elevando os riscos ocupacionais, ambientais e sanitários.</w:t>
      </w:r>
    </w:p>
    <w:p w14:paraId="2AA1E48E" w14:textId="2FB5F8D4" w:rsidR="008166C9" w:rsidRPr="004B4AF1" w:rsidRDefault="00B62079" w:rsidP="00D53B1A">
      <w:pPr>
        <w:spacing w:line="360" w:lineRule="auto"/>
        <w:ind w:firstLine="720"/>
        <w:jc w:val="both"/>
        <w:rPr>
          <w:sz w:val="24"/>
          <w:szCs w:val="24"/>
          <w:lang w:val="pt-BR"/>
        </w:rPr>
      </w:pPr>
      <w:r w:rsidRPr="004B4AF1">
        <w:rPr>
          <w:sz w:val="24"/>
          <w:szCs w:val="24"/>
          <w:lang w:val="pt-BR"/>
        </w:rPr>
        <w:lastRenderedPageBreak/>
        <w:t>k</w:t>
      </w:r>
      <w:r w:rsidR="008166C9" w:rsidRPr="004B4AF1">
        <w:rPr>
          <w:sz w:val="24"/>
          <w:szCs w:val="24"/>
          <w:lang w:val="pt-BR"/>
        </w:rPr>
        <w:t xml:space="preserve">) Fiscalização pelos Órgãos Competentes: A maioria das clínicas relatou ter sido fiscalizada apenas uma vez nos últimos dois anos quanto ao gerenciamento de resíduos, enquanto algumas passaram por mais de uma inspeção. Nenhuma clínica declarou ausência de fiscalização. </w:t>
      </w:r>
      <w:r w:rsidR="00C92168">
        <w:rPr>
          <w:sz w:val="24"/>
          <w:szCs w:val="24"/>
          <w:lang w:val="pt-BR"/>
        </w:rPr>
        <w:t xml:space="preserve">Indicando </w:t>
      </w:r>
      <w:r w:rsidR="008166C9" w:rsidRPr="004B4AF1">
        <w:rPr>
          <w:sz w:val="24"/>
          <w:szCs w:val="24"/>
          <w:lang w:val="pt-BR"/>
        </w:rPr>
        <w:t>que, embora os órgãos competentes estejam presentes e atuantes, a atuação ainda se mostra limitada em termos de frequência e abrangência. A regularidade das inspeções é essencial para fortalecer a cultura de conformidade, prevenir práticas.</w:t>
      </w:r>
    </w:p>
    <w:p w14:paraId="1E6BE2C0" w14:textId="15FE37DB" w:rsidR="0046406E" w:rsidRPr="004B4AF1" w:rsidRDefault="008166C9" w:rsidP="00E55028">
      <w:pPr>
        <w:spacing w:line="360" w:lineRule="auto"/>
        <w:ind w:firstLine="709"/>
        <w:jc w:val="both"/>
        <w:rPr>
          <w:sz w:val="24"/>
          <w:szCs w:val="24"/>
        </w:rPr>
      </w:pPr>
      <w:r w:rsidRPr="004B4AF1">
        <w:rPr>
          <w:sz w:val="24"/>
          <w:szCs w:val="24"/>
        </w:rPr>
        <w:t xml:space="preserve">Portanto, </w:t>
      </w:r>
      <w:r w:rsidR="00C96EA8" w:rsidRPr="004B4AF1">
        <w:rPr>
          <w:rStyle w:val="resultpara0"/>
          <w:sz w:val="24"/>
          <w:szCs w:val="24"/>
          <w:shd w:val="clear" w:color="auto" w:fill="FFFFFF"/>
        </w:rPr>
        <w:t>é essencial que os reponsáveis das clínicas odontológicas invistam em treinamento, infraestrutura e educação ambiental para seus funcionários.</w:t>
      </w:r>
      <w:r w:rsidR="00C96EA8" w:rsidRPr="004B4AF1">
        <w:rPr>
          <w:sz w:val="24"/>
          <w:szCs w:val="24"/>
          <w:shd w:val="clear" w:color="auto" w:fill="FFFFFF"/>
        </w:rPr>
        <w:t> </w:t>
      </w:r>
      <w:r w:rsidR="00C96EA8" w:rsidRPr="004B4AF1">
        <w:rPr>
          <w:rStyle w:val="resultpara2"/>
          <w:sz w:val="24"/>
          <w:szCs w:val="24"/>
          <w:shd w:val="clear" w:color="auto" w:fill="FFFFFF"/>
        </w:rPr>
        <w:t>Implementar um Plano de Gerenciamento de Resíduos de Serviços de Saúde (PGRSS) é fundamental para garantir que todos os processos, desde a geração até o descarte, sigam as leis e as normas técnicas.</w:t>
      </w:r>
    </w:p>
    <w:p w14:paraId="72C68D21" w14:textId="77777777" w:rsidR="007267EB" w:rsidRPr="004B4AF1" w:rsidRDefault="007267EB" w:rsidP="007267EB">
      <w:pPr>
        <w:spacing w:line="360" w:lineRule="auto"/>
        <w:ind w:firstLine="720"/>
        <w:jc w:val="both"/>
        <w:rPr>
          <w:sz w:val="24"/>
          <w:szCs w:val="24"/>
        </w:rPr>
      </w:pPr>
    </w:p>
    <w:p w14:paraId="7AE0E5EA" w14:textId="77777777" w:rsidR="00D53B1A" w:rsidRPr="004B4AF1" w:rsidRDefault="003949CE" w:rsidP="00D53B1A">
      <w:pPr>
        <w:widowControl/>
        <w:tabs>
          <w:tab w:val="left" w:pos="1290"/>
        </w:tabs>
        <w:spacing w:after="160" w:line="259" w:lineRule="auto"/>
        <w:jc w:val="both"/>
        <w:rPr>
          <w:sz w:val="28"/>
          <w:szCs w:val="28"/>
        </w:rPr>
      </w:pPr>
      <w:r w:rsidRPr="004B4AF1">
        <w:rPr>
          <w:b/>
          <w:sz w:val="24"/>
          <w:szCs w:val="24"/>
        </w:rPr>
        <w:t xml:space="preserve">4. CONCLUSÃO </w:t>
      </w:r>
    </w:p>
    <w:p w14:paraId="1F7E7F74" w14:textId="77777777" w:rsidR="00D132C5" w:rsidRPr="00D132C5" w:rsidRDefault="00D132C5" w:rsidP="00D132C5">
      <w:pPr>
        <w:widowControl/>
        <w:tabs>
          <w:tab w:val="left" w:pos="709"/>
        </w:tabs>
        <w:spacing w:line="360" w:lineRule="auto"/>
        <w:ind w:firstLine="709"/>
        <w:jc w:val="both"/>
        <w:rPr>
          <w:bCs/>
          <w:sz w:val="24"/>
          <w:szCs w:val="24"/>
          <w:lang w:val="pt-BR"/>
        </w:rPr>
      </w:pPr>
      <w:r w:rsidRPr="00D132C5">
        <w:rPr>
          <w:bCs/>
          <w:sz w:val="24"/>
          <w:szCs w:val="24"/>
          <w:lang w:val="pt-BR"/>
        </w:rPr>
        <w:t>Para assegurar uma gestão segura e sustentável dos resíduos gerados na prática odontológica, torna-se imprescindível o fortalecimento de iniciativas de formação continuada, a padronização no uso de recipientes apropriados, a atualização sistemática do Plano de Gerenciamento de Resíduos de Serviços de Saúde (PGRSS) e o incremento na periodicidade das inspeções. Tais medidas, aliadas a políticas públicas mais eficazes, contribuem significativamente para a mitigação de riscos à saúde, a preservação ambiental e o fortalecimento da consciência de responsabilidade socioambiental no âmbito odontológico.</w:t>
      </w:r>
    </w:p>
    <w:p w14:paraId="52EC58D6" w14:textId="117D592A" w:rsidR="00D132C5" w:rsidRPr="00D132C5" w:rsidRDefault="00D132C5" w:rsidP="00D132C5">
      <w:pPr>
        <w:widowControl/>
        <w:tabs>
          <w:tab w:val="left" w:pos="709"/>
        </w:tabs>
        <w:spacing w:line="360" w:lineRule="auto"/>
        <w:ind w:firstLine="709"/>
        <w:jc w:val="both"/>
        <w:rPr>
          <w:bCs/>
          <w:sz w:val="24"/>
          <w:szCs w:val="24"/>
          <w:lang w:val="pt-BR"/>
        </w:rPr>
      </w:pPr>
      <w:r w:rsidRPr="00D132C5">
        <w:rPr>
          <w:bCs/>
          <w:sz w:val="24"/>
          <w:szCs w:val="24"/>
          <w:lang w:val="pt-BR"/>
        </w:rPr>
        <w:t>Ademais, é fundamental que tanto as entidades públicas quanto as privadas se engajem ativamente na formulação de estratégias integradas voltadas à sensibilização sobre os impactos do descarte inadequado. Isso demanda investimentos em campanhas educativas, o aprimoramento dos mecanismos de monitoramento, a promoção de práticas de logística reversa e o estabelecimento de parcerias institucionais que assegurem a conformidade com a legislação</w:t>
      </w:r>
      <w:r w:rsidR="001720E9">
        <w:rPr>
          <w:bCs/>
          <w:sz w:val="24"/>
          <w:szCs w:val="24"/>
          <w:lang w:val="pt-BR"/>
        </w:rPr>
        <w:t>.</w:t>
      </w:r>
    </w:p>
    <w:p w14:paraId="5018DF76" w14:textId="77777777" w:rsidR="00D132C5" w:rsidRPr="00D132C5" w:rsidRDefault="00D132C5" w:rsidP="00D132C5">
      <w:pPr>
        <w:widowControl/>
        <w:tabs>
          <w:tab w:val="left" w:pos="709"/>
        </w:tabs>
        <w:spacing w:line="360" w:lineRule="auto"/>
        <w:ind w:firstLine="709"/>
        <w:jc w:val="both"/>
        <w:rPr>
          <w:bCs/>
          <w:sz w:val="24"/>
          <w:szCs w:val="24"/>
          <w:lang w:val="pt-BR"/>
        </w:rPr>
      </w:pPr>
      <w:r w:rsidRPr="00D132C5">
        <w:rPr>
          <w:bCs/>
          <w:sz w:val="24"/>
          <w:szCs w:val="24"/>
          <w:lang w:val="pt-BR"/>
        </w:rPr>
        <w:t>A implementação dessas ações não apenas viabiliza o cumprimento das exigências legais, como também representa um avanço rumo a um modelo de gestão mais ético, sustentável e alinhado aos princípios da saúde pública, da segurança do trabalho e da proteção ambiental, garantindo benefícios duradouros à sociedade e às futuras gerações.</w:t>
      </w:r>
    </w:p>
    <w:p w14:paraId="29DBF040" w14:textId="77777777" w:rsidR="00E55028" w:rsidRPr="004B4AF1" w:rsidRDefault="00E55028" w:rsidP="00E55028">
      <w:pPr>
        <w:widowControl/>
        <w:tabs>
          <w:tab w:val="left" w:pos="709"/>
        </w:tabs>
        <w:spacing w:line="360" w:lineRule="auto"/>
        <w:ind w:firstLine="709"/>
        <w:jc w:val="both"/>
        <w:rPr>
          <w:bCs/>
          <w:sz w:val="24"/>
          <w:szCs w:val="24"/>
          <w:lang w:val="pt-BR"/>
        </w:rPr>
      </w:pPr>
    </w:p>
    <w:p w14:paraId="12365F8D" w14:textId="77777777" w:rsidR="00E55028" w:rsidRPr="004B4AF1" w:rsidRDefault="00E55028" w:rsidP="00E55028">
      <w:pPr>
        <w:widowControl/>
        <w:tabs>
          <w:tab w:val="left" w:pos="709"/>
        </w:tabs>
        <w:spacing w:line="360" w:lineRule="auto"/>
        <w:ind w:firstLine="709"/>
        <w:jc w:val="both"/>
        <w:rPr>
          <w:bCs/>
          <w:sz w:val="24"/>
          <w:szCs w:val="24"/>
          <w:lang w:val="pt-BR"/>
        </w:rPr>
      </w:pPr>
    </w:p>
    <w:p w14:paraId="5D816746" w14:textId="3AE26FEA" w:rsidR="003949CE" w:rsidRPr="004B4AF1" w:rsidRDefault="003949CE" w:rsidP="00C96EA8">
      <w:pPr>
        <w:widowControl/>
        <w:tabs>
          <w:tab w:val="left" w:pos="1290"/>
        </w:tabs>
        <w:spacing w:after="160" w:line="360" w:lineRule="auto"/>
        <w:jc w:val="both"/>
        <w:rPr>
          <w:bCs/>
          <w:sz w:val="24"/>
          <w:szCs w:val="24"/>
          <w:lang w:val="pt-BR"/>
        </w:rPr>
      </w:pPr>
      <w:r w:rsidRPr="004B4AF1">
        <w:rPr>
          <w:b/>
          <w:sz w:val="24"/>
          <w:szCs w:val="24"/>
        </w:rPr>
        <w:lastRenderedPageBreak/>
        <w:t xml:space="preserve">REFERÊNCIAS </w:t>
      </w:r>
    </w:p>
    <w:p w14:paraId="06195EFD" w14:textId="77777777" w:rsidR="0016173C" w:rsidRPr="001720E9" w:rsidRDefault="0016173C" w:rsidP="001720E9">
      <w:pPr>
        <w:pStyle w:val="NormalWeb"/>
        <w:jc w:val="both"/>
      </w:pPr>
      <w:bookmarkStart w:id="1" w:name="_gjdgxs" w:colFirst="0" w:colLast="0"/>
      <w:bookmarkEnd w:id="1"/>
      <w:r w:rsidRPr="001720E9">
        <w:rPr>
          <w:rStyle w:val="Forte"/>
          <w:b w:val="0"/>
          <w:bCs w:val="0"/>
        </w:rPr>
        <w:t>ANVISA.</w:t>
      </w:r>
      <w:r w:rsidRPr="001720E9">
        <w:t xml:space="preserve"> Agência Nacional de Vigilância Sanitária. </w:t>
      </w:r>
      <w:r w:rsidRPr="001720E9">
        <w:rPr>
          <w:rStyle w:val="nfase"/>
        </w:rPr>
        <w:t>Resolução RDC n.º 222, de 18 de junho de 2018.</w:t>
      </w:r>
      <w:r w:rsidRPr="001720E9">
        <w:t xml:space="preserve"> Dispõe sobre o regulamento técnico para o gerenciamento de resíduos de serviços de saúde. Brasília: ANVISA, 2018.</w:t>
      </w:r>
    </w:p>
    <w:p w14:paraId="165DD18D" w14:textId="77777777" w:rsidR="0016173C" w:rsidRPr="001720E9" w:rsidRDefault="0016173C" w:rsidP="001720E9">
      <w:pPr>
        <w:pStyle w:val="NormalWeb"/>
        <w:jc w:val="both"/>
      </w:pPr>
      <w:r w:rsidRPr="001720E9">
        <w:rPr>
          <w:rStyle w:val="Forte"/>
          <w:b w:val="0"/>
          <w:bCs w:val="0"/>
        </w:rPr>
        <w:t>BINÁRIO, M.</w:t>
      </w:r>
      <w:r w:rsidRPr="001720E9">
        <w:t xml:space="preserve"> </w:t>
      </w:r>
      <w:r w:rsidRPr="001720E9">
        <w:rPr>
          <w:rStyle w:val="nfase"/>
        </w:rPr>
        <w:t>Lixo hospitalar: tipos, riscos e descarte adequado.</w:t>
      </w:r>
      <w:r w:rsidRPr="001720E9">
        <w:t xml:space="preserve"> A importância do descarte correto dos resíduos de serviços de saúde. 2023.</w:t>
      </w:r>
    </w:p>
    <w:p w14:paraId="283CC632" w14:textId="77777777" w:rsidR="0016173C" w:rsidRPr="001720E9" w:rsidRDefault="0016173C" w:rsidP="001720E9">
      <w:pPr>
        <w:pStyle w:val="NormalWeb"/>
        <w:jc w:val="both"/>
      </w:pPr>
      <w:r w:rsidRPr="001720E9">
        <w:rPr>
          <w:rStyle w:val="Forte"/>
          <w:b w:val="0"/>
          <w:bCs w:val="0"/>
        </w:rPr>
        <w:t>BRASIL.</w:t>
      </w:r>
      <w:r w:rsidRPr="001720E9">
        <w:t xml:space="preserve"> Ministério da Saúde. Agência Nacional de Vigilância Sanitária. </w:t>
      </w:r>
      <w:r w:rsidRPr="001720E9">
        <w:rPr>
          <w:rStyle w:val="nfase"/>
        </w:rPr>
        <w:t>Manual de gerenciamento de resíduos de serviços de saúde.</w:t>
      </w:r>
      <w:r w:rsidRPr="001720E9">
        <w:t xml:space="preserve"> Disponível em: https://www.gov.br/anvisa/pt-br/assuntos/servicosdesaude/residuos/manual-gerenciamento-residuos.pdf. Acesso em: 20 out. 2025.</w:t>
      </w:r>
    </w:p>
    <w:p w14:paraId="3E8C39F1" w14:textId="77777777" w:rsidR="0016173C" w:rsidRPr="001720E9" w:rsidRDefault="0016173C" w:rsidP="001720E9">
      <w:pPr>
        <w:pStyle w:val="NormalWeb"/>
        <w:jc w:val="both"/>
      </w:pPr>
      <w:r w:rsidRPr="001720E9">
        <w:rPr>
          <w:rStyle w:val="Forte"/>
          <w:b w:val="0"/>
          <w:bCs w:val="0"/>
        </w:rPr>
        <w:t>CFO.</w:t>
      </w:r>
      <w:r w:rsidRPr="001720E9">
        <w:t xml:space="preserve"> Conselho Federal de Odontologia. </w:t>
      </w:r>
      <w:r w:rsidRPr="001720E9">
        <w:rPr>
          <w:rStyle w:val="nfase"/>
        </w:rPr>
        <w:t>Quantidade geral de profissionais e entidades ativas.</w:t>
      </w:r>
      <w:r w:rsidRPr="001720E9">
        <w:t xml:space="preserve"> Brasília: CFO, 2025. Disponível em: https://website.cfo.org.br/quantidade-geral-de-profissionais-e-entidades-ativas/. Acesso em: 29 out. 2025.</w:t>
      </w:r>
    </w:p>
    <w:p w14:paraId="24979ADC" w14:textId="77777777" w:rsidR="0016173C" w:rsidRPr="001720E9" w:rsidRDefault="0016173C" w:rsidP="001720E9">
      <w:pPr>
        <w:pStyle w:val="NormalWeb"/>
        <w:jc w:val="both"/>
      </w:pPr>
      <w:r w:rsidRPr="001720E9">
        <w:rPr>
          <w:rStyle w:val="Forte"/>
          <w:b w:val="0"/>
          <w:bCs w:val="0"/>
        </w:rPr>
        <w:t>MARTY, Elizângela; MARTY, Roseli Mari.</w:t>
      </w:r>
      <w:r w:rsidRPr="001720E9">
        <w:t xml:space="preserve"> </w:t>
      </w:r>
      <w:r w:rsidRPr="001720E9">
        <w:rPr>
          <w:rStyle w:val="nfase"/>
        </w:rPr>
        <w:t>Materiais, equipamentos e coleta: procedimentos básicos de análises laboratoriais.</w:t>
      </w:r>
      <w:r w:rsidRPr="001720E9">
        <w:t xml:space="preserve"> São Paulo: Saraiva, 2014. Disponível em: Minha Biblioteca.</w:t>
      </w:r>
    </w:p>
    <w:p w14:paraId="671CA843" w14:textId="77777777" w:rsidR="0016173C" w:rsidRPr="001720E9" w:rsidRDefault="0016173C" w:rsidP="001720E9">
      <w:pPr>
        <w:pStyle w:val="NormalWeb"/>
        <w:jc w:val="both"/>
      </w:pPr>
      <w:r w:rsidRPr="001720E9">
        <w:rPr>
          <w:rStyle w:val="Forte"/>
          <w:b w:val="0"/>
          <w:bCs w:val="0"/>
        </w:rPr>
        <w:t>MATTAR, F.</w:t>
      </w:r>
      <w:r w:rsidRPr="001720E9">
        <w:t xml:space="preserve"> </w:t>
      </w:r>
      <w:r w:rsidRPr="001720E9">
        <w:rPr>
          <w:rStyle w:val="nfase"/>
        </w:rPr>
        <w:t>Pesquisa de marketing.</w:t>
      </w:r>
      <w:r w:rsidRPr="001720E9">
        <w:t xml:space="preserve"> São Paulo: Atlas, 1996.</w:t>
      </w:r>
    </w:p>
    <w:p w14:paraId="516FF0F9" w14:textId="77777777" w:rsidR="0016173C" w:rsidRPr="001720E9" w:rsidRDefault="0016173C" w:rsidP="001720E9">
      <w:pPr>
        <w:pStyle w:val="NormalWeb"/>
        <w:jc w:val="both"/>
      </w:pPr>
      <w:r w:rsidRPr="001720E9">
        <w:rPr>
          <w:rStyle w:val="Forte"/>
          <w:b w:val="0"/>
          <w:bCs w:val="0"/>
        </w:rPr>
        <w:t>PEREIRA, Reobbe Aguiar; KOZUSNY-ANDREANI, Dora Inês.</w:t>
      </w:r>
      <w:r w:rsidRPr="001720E9">
        <w:t xml:space="preserve"> Gestão dos resíduos sólidos nas unidades básicas de saúde no município de Guaraí, Estado do Tocantins, Brasil. </w:t>
      </w:r>
      <w:r w:rsidRPr="001720E9">
        <w:rPr>
          <w:rStyle w:val="nfase"/>
        </w:rPr>
        <w:t>Pesquisa, Sociedade e Desenvolvimento</w:t>
      </w:r>
      <w:r w:rsidRPr="001720E9">
        <w:t>, v. 9, n. 8, p. e275985453, 2020.</w:t>
      </w:r>
    </w:p>
    <w:p w14:paraId="4E7C6A1B" w14:textId="77777777" w:rsidR="0016173C" w:rsidRPr="001720E9" w:rsidRDefault="0016173C" w:rsidP="001720E9">
      <w:pPr>
        <w:pStyle w:val="NormalWeb"/>
        <w:jc w:val="both"/>
        <w:rPr>
          <w:lang w:val="en-US"/>
        </w:rPr>
      </w:pPr>
      <w:r w:rsidRPr="001720E9">
        <w:rPr>
          <w:rStyle w:val="Forte"/>
          <w:b w:val="0"/>
          <w:bCs w:val="0"/>
        </w:rPr>
        <w:t>SABBAHI, Dania A.; EL-NAGGAR, Hesham M.; ZAHRAN, Mohammed H.</w:t>
      </w:r>
      <w:r w:rsidRPr="001720E9">
        <w:t xml:space="preserve"> Management of dental waste in dental offices and clinics in Jeddah, Saudi Arabia. </w:t>
      </w:r>
      <w:r w:rsidRPr="001720E9">
        <w:rPr>
          <w:rStyle w:val="nfase"/>
          <w:lang w:val="en-US"/>
        </w:rPr>
        <w:t>Journal of the Air &amp; Waste Management Association</w:t>
      </w:r>
      <w:r w:rsidRPr="001720E9">
        <w:rPr>
          <w:lang w:val="en-US"/>
        </w:rPr>
        <w:t>, v. 70, n. 10, p. 1022-1029, 2020.</w:t>
      </w:r>
    </w:p>
    <w:p w14:paraId="15FF6BFF" w14:textId="24D79510" w:rsidR="0016173C" w:rsidRPr="001720E9" w:rsidRDefault="0016173C" w:rsidP="001720E9">
      <w:pPr>
        <w:pStyle w:val="NormalWeb"/>
        <w:jc w:val="both"/>
      </w:pPr>
      <w:r w:rsidRPr="001720E9">
        <w:rPr>
          <w:rStyle w:val="Forte"/>
          <w:b w:val="0"/>
          <w:bCs w:val="0"/>
        </w:rPr>
        <w:t>SILVA; BARCELLOS.</w:t>
      </w:r>
      <w:r w:rsidRPr="001720E9">
        <w:t xml:space="preserve"> </w:t>
      </w:r>
      <w:r w:rsidRPr="001720E9">
        <w:rPr>
          <w:rStyle w:val="nfase"/>
        </w:rPr>
        <w:t>Manual odonto novo.</w:t>
      </w:r>
      <w:r w:rsidRPr="001720E9">
        <w:t xml:space="preserve"> Brasília: ANATEL, 2006. p. 113.</w:t>
      </w:r>
    </w:p>
    <w:p w14:paraId="62014595" w14:textId="6A253204" w:rsidR="00046273" w:rsidRPr="001720E9" w:rsidRDefault="00046273" w:rsidP="001720E9">
      <w:pPr>
        <w:pStyle w:val="NormalWeb"/>
        <w:jc w:val="both"/>
        <w:rPr>
          <w:lang w:val="en-US"/>
        </w:rPr>
      </w:pPr>
      <w:r w:rsidRPr="001720E9">
        <w:t xml:space="preserve">UNIVERSIDADE FEDERAL DA FRONTEIRA SUL. Laboratórios / Gerenciamento de resíduos. Portal UFFS. Disponível em: </w:t>
      </w:r>
      <w:hyperlink r:id="rId10" w:history="1">
        <w:r w:rsidRPr="001720E9">
          <w:rPr>
            <w:rStyle w:val="Hyperlink"/>
            <w:color w:val="auto"/>
            <w:u w:val="none"/>
          </w:rPr>
          <w:t>https://www.uffs.edu.br/uffs/laboratorios/Gerenciamento%20de%20res%C3%ADduos</w:t>
        </w:r>
      </w:hyperlink>
      <w:r w:rsidRPr="001720E9">
        <w:t xml:space="preserve">. </w:t>
      </w:r>
      <w:r w:rsidRPr="001720E9">
        <w:rPr>
          <w:lang w:val="en-US"/>
        </w:rPr>
        <w:t>Acesso em: 17 out. 2025.</w:t>
      </w:r>
    </w:p>
    <w:p w14:paraId="74D32050" w14:textId="430D1173" w:rsidR="00DB5854" w:rsidRPr="001720E9" w:rsidRDefault="0016173C" w:rsidP="001720E9">
      <w:pPr>
        <w:pStyle w:val="NormalWeb"/>
        <w:jc w:val="both"/>
      </w:pPr>
      <w:r w:rsidRPr="001720E9">
        <w:rPr>
          <w:rStyle w:val="Forte"/>
          <w:b w:val="0"/>
          <w:bCs w:val="0"/>
          <w:lang w:val="en-US"/>
        </w:rPr>
        <w:t>WORLD HEALTH ORGANIZATION.</w:t>
      </w:r>
      <w:r w:rsidRPr="001720E9">
        <w:rPr>
          <w:lang w:val="en-US"/>
        </w:rPr>
        <w:t xml:space="preserve"> </w:t>
      </w:r>
      <w:r w:rsidRPr="001720E9">
        <w:rPr>
          <w:rStyle w:val="nfase"/>
          <w:lang w:val="en-US"/>
        </w:rPr>
        <w:t>Safe management of wastes from health-care activities: a summary.</w:t>
      </w:r>
      <w:r w:rsidRPr="001720E9">
        <w:rPr>
          <w:lang w:val="en-US"/>
        </w:rPr>
        <w:t xml:space="preserve"> Geneva: World Health Organization, 2017. Disponível em: </w:t>
      </w:r>
      <w:hyperlink r:id="rId11" w:tgtFrame="_new" w:history="1">
        <w:r w:rsidRPr="001720E9">
          <w:rPr>
            <w:rStyle w:val="Hyperlink"/>
            <w:color w:val="auto"/>
            <w:u w:val="none"/>
            <w:lang w:val="en-US"/>
          </w:rPr>
          <w:t>https://apps.who.int/iris/bitstream/handle/10665/259491/WHO-FWC-WSH-17.05</w:t>
        </w:r>
      </w:hyperlink>
      <w:r w:rsidRPr="001720E9">
        <w:rPr>
          <w:lang w:val="en-US"/>
        </w:rPr>
        <w:t xml:space="preserve">. </w:t>
      </w:r>
      <w:r w:rsidRPr="001720E9">
        <w:t>Acesso em: 27 out. 2025.</w:t>
      </w:r>
    </w:p>
    <w:sectPr w:rsidR="00DB5854" w:rsidRPr="001720E9" w:rsidSect="00266E00">
      <w:headerReference w:type="default" r:id="rId12"/>
      <w:footerReference w:type="default" r:id="rId13"/>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17AC" w14:textId="77777777" w:rsidR="008E13B8" w:rsidRDefault="008E13B8" w:rsidP="005A1575">
      <w:r>
        <w:separator/>
      </w:r>
    </w:p>
  </w:endnote>
  <w:endnote w:type="continuationSeparator" w:id="0">
    <w:p w14:paraId="2F27EE3D" w14:textId="77777777" w:rsidR="008E13B8" w:rsidRDefault="008E13B8"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F66D" w14:textId="77777777" w:rsidR="008E13B8" w:rsidRDefault="008E13B8" w:rsidP="005A1575">
      <w:r>
        <w:separator/>
      </w:r>
    </w:p>
  </w:footnote>
  <w:footnote w:type="continuationSeparator" w:id="0">
    <w:p w14:paraId="2B874353" w14:textId="77777777" w:rsidR="008E13B8" w:rsidRDefault="008E13B8"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38182AE0"/>
    <w:multiLevelType w:val="multilevel"/>
    <w:tmpl w:val="FEF48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9D62E3"/>
    <w:multiLevelType w:val="hybridMultilevel"/>
    <w:tmpl w:val="55AE84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6408314">
    <w:abstractNumId w:val="0"/>
  </w:num>
  <w:num w:numId="2" w16cid:durableId="1791629034">
    <w:abstractNumId w:val="1"/>
  </w:num>
  <w:num w:numId="3" w16cid:durableId="4602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0A42"/>
    <w:rsid w:val="00002423"/>
    <w:rsid w:val="0000680B"/>
    <w:rsid w:val="00010C97"/>
    <w:rsid w:val="00015C9D"/>
    <w:rsid w:val="000436E8"/>
    <w:rsid w:val="00045BD6"/>
    <w:rsid w:val="00046273"/>
    <w:rsid w:val="00050A98"/>
    <w:rsid w:val="00052138"/>
    <w:rsid w:val="000605EB"/>
    <w:rsid w:val="000A0DB4"/>
    <w:rsid w:val="000A1B4B"/>
    <w:rsid w:val="000B769E"/>
    <w:rsid w:val="000E6288"/>
    <w:rsid w:val="00105ACA"/>
    <w:rsid w:val="00117DE1"/>
    <w:rsid w:val="00120442"/>
    <w:rsid w:val="00121379"/>
    <w:rsid w:val="00121DB8"/>
    <w:rsid w:val="00121F7B"/>
    <w:rsid w:val="00130541"/>
    <w:rsid w:val="00141A9C"/>
    <w:rsid w:val="00156DBD"/>
    <w:rsid w:val="0016173C"/>
    <w:rsid w:val="00163473"/>
    <w:rsid w:val="001720E9"/>
    <w:rsid w:val="00177FDF"/>
    <w:rsid w:val="00187E8F"/>
    <w:rsid w:val="001925F0"/>
    <w:rsid w:val="0019423C"/>
    <w:rsid w:val="001A2089"/>
    <w:rsid w:val="001B4446"/>
    <w:rsid w:val="001C5237"/>
    <w:rsid w:val="001D4FA5"/>
    <w:rsid w:val="001E3D22"/>
    <w:rsid w:val="00216054"/>
    <w:rsid w:val="00231ECF"/>
    <w:rsid w:val="0023520D"/>
    <w:rsid w:val="002571B7"/>
    <w:rsid w:val="00266E00"/>
    <w:rsid w:val="002C078E"/>
    <w:rsid w:val="002D1CCF"/>
    <w:rsid w:val="002E330B"/>
    <w:rsid w:val="002F3682"/>
    <w:rsid w:val="002F59BA"/>
    <w:rsid w:val="00314FB9"/>
    <w:rsid w:val="0031571D"/>
    <w:rsid w:val="00326B59"/>
    <w:rsid w:val="003348DB"/>
    <w:rsid w:val="00340B04"/>
    <w:rsid w:val="00343DC3"/>
    <w:rsid w:val="003447CA"/>
    <w:rsid w:val="00355D20"/>
    <w:rsid w:val="0036380E"/>
    <w:rsid w:val="003764EB"/>
    <w:rsid w:val="003837CA"/>
    <w:rsid w:val="0038543F"/>
    <w:rsid w:val="003949CE"/>
    <w:rsid w:val="003B4C73"/>
    <w:rsid w:val="003C1585"/>
    <w:rsid w:val="003C1A26"/>
    <w:rsid w:val="003D1E46"/>
    <w:rsid w:val="003E7387"/>
    <w:rsid w:val="003F2B68"/>
    <w:rsid w:val="003F53FA"/>
    <w:rsid w:val="00400F85"/>
    <w:rsid w:val="00402CA2"/>
    <w:rsid w:val="00425533"/>
    <w:rsid w:val="004260FB"/>
    <w:rsid w:val="00430361"/>
    <w:rsid w:val="00437667"/>
    <w:rsid w:val="0046406E"/>
    <w:rsid w:val="00464FF0"/>
    <w:rsid w:val="00472060"/>
    <w:rsid w:val="0049304F"/>
    <w:rsid w:val="004B3806"/>
    <w:rsid w:val="004B4AF1"/>
    <w:rsid w:val="004E409D"/>
    <w:rsid w:val="004F1D7A"/>
    <w:rsid w:val="00527941"/>
    <w:rsid w:val="00537578"/>
    <w:rsid w:val="00540448"/>
    <w:rsid w:val="00540E86"/>
    <w:rsid w:val="00561DEF"/>
    <w:rsid w:val="00563FB4"/>
    <w:rsid w:val="0057768F"/>
    <w:rsid w:val="0058109E"/>
    <w:rsid w:val="005A1575"/>
    <w:rsid w:val="005B25ED"/>
    <w:rsid w:val="005C699A"/>
    <w:rsid w:val="005E013B"/>
    <w:rsid w:val="005E4C67"/>
    <w:rsid w:val="00603D38"/>
    <w:rsid w:val="00611C06"/>
    <w:rsid w:val="0061403B"/>
    <w:rsid w:val="00614B3A"/>
    <w:rsid w:val="006156B4"/>
    <w:rsid w:val="00645BA4"/>
    <w:rsid w:val="00660598"/>
    <w:rsid w:val="006625D6"/>
    <w:rsid w:val="0067200B"/>
    <w:rsid w:val="00674C2E"/>
    <w:rsid w:val="0069512B"/>
    <w:rsid w:val="006B2889"/>
    <w:rsid w:val="006D0F69"/>
    <w:rsid w:val="007016FA"/>
    <w:rsid w:val="00725956"/>
    <w:rsid w:val="007267EB"/>
    <w:rsid w:val="00727E68"/>
    <w:rsid w:val="007418C9"/>
    <w:rsid w:val="007426AE"/>
    <w:rsid w:val="00751BA6"/>
    <w:rsid w:val="00753791"/>
    <w:rsid w:val="007701A8"/>
    <w:rsid w:val="00786693"/>
    <w:rsid w:val="007907A4"/>
    <w:rsid w:val="007A3840"/>
    <w:rsid w:val="007A49AB"/>
    <w:rsid w:val="007B00E2"/>
    <w:rsid w:val="007B5B42"/>
    <w:rsid w:val="007B657C"/>
    <w:rsid w:val="007B7D45"/>
    <w:rsid w:val="007C2820"/>
    <w:rsid w:val="007D0AB0"/>
    <w:rsid w:val="007D637F"/>
    <w:rsid w:val="007E5F0D"/>
    <w:rsid w:val="007E745E"/>
    <w:rsid w:val="008046B3"/>
    <w:rsid w:val="008166C9"/>
    <w:rsid w:val="00820F55"/>
    <w:rsid w:val="00832979"/>
    <w:rsid w:val="00836259"/>
    <w:rsid w:val="00841390"/>
    <w:rsid w:val="008466D0"/>
    <w:rsid w:val="00875CF1"/>
    <w:rsid w:val="00876679"/>
    <w:rsid w:val="0088267E"/>
    <w:rsid w:val="008C1193"/>
    <w:rsid w:val="008E004C"/>
    <w:rsid w:val="008E13B8"/>
    <w:rsid w:val="008E16BE"/>
    <w:rsid w:val="00902A2D"/>
    <w:rsid w:val="00927691"/>
    <w:rsid w:val="00931324"/>
    <w:rsid w:val="009613E3"/>
    <w:rsid w:val="00962C69"/>
    <w:rsid w:val="00973B05"/>
    <w:rsid w:val="00987597"/>
    <w:rsid w:val="009B179F"/>
    <w:rsid w:val="009B6B9D"/>
    <w:rsid w:val="009C3268"/>
    <w:rsid w:val="009C4CD8"/>
    <w:rsid w:val="00A061ED"/>
    <w:rsid w:val="00A13681"/>
    <w:rsid w:val="00A268B9"/>
    <w:rsid w:val="00A26934"/>
    <w:rsid w:val="00A331CF"/>
    <w:rsid w:val="00A4163A"/>
    <w:rsid w:val="00A45578"/>
    <w:rsid w:val="00A53C2E"/>
    <w:rsid w:val="00A720DC"/>
    <w:rsid w:val="00A85FD5"/>
    <w:rsid w:val="00AA7473"/>
    <w:rsid w:val="00AD21F6"/>
    <w:rsid w:val="00AE6839"/>
    <w:rsid w:val="00B028F8"/>
    <w:rsid w:val="00B05DF9"/>
    <w:rsid w:val="00B25C20"/>
    <w:rsid w:val="00B318A0"/>
    <w:rsid w:val="00B35189"/>
    <w:rsid w:val="00B3558C"/>
    <w:rsid w:val="00B4184E"/>
    <w:rsid w:val="00B43237"/>
    <w:rsid w:val="00B600B0"/>
    <w:rsid w:val="00B62079"/>
    <w:rsid w:val="00B6228B"/>
    <w:rsid w:val="00B660DA"/>
    <w:rsid w:val="00B9293E"/>
    <w:rsid w:val="00BB18BC"/>
    <w:rsid w:val="00BC4880"/>
    <w:rsid w:val="00C10045"/>
    <w:rsid w:val="00C233CE"/>
    <w:rsid w:val="00C44BC9"/>
    <w:rsid w:val="00C46206"/>
    <w:rsid w:val="00C506D8"/>
    <w:rsid w:val="00C54A9D"/>
    <w:rsid w:val="00C65345"/>
    <w:rsid w:val="00C67A06"/>
    <w:rsid w:val="00C74238"/>
    <w:rsid w:val="00C75377"/>
    <w:rsid w:val="00C92168"/>
    <w:rsid w:val="00C96EA8"/>
    <w:rsid w:val="00CA4E79"/>
    <w:rsid w:val="00CC710F"/>
    <w:rsid w:val="00CE2B1C"/>
    <w:rsid w:val="00CF2176"/>
    <w:rsid w:val="00D132C5"/>
    <w:rsid w:val="00D1593E"/>
    <w:rsid w:val="00D3154F"/>
    <w:rsid w:val="00D53B1A"/>
    <w:rsid w:val="00D746A1"/>
    <w:rsid w:val="00D90320"/>
    <w:rsid w:val="00D94BE6"/>
    <w:rsid w:val="00D9502E"/>
    <w:rsid w:val="00DA3479"/>
    <w:rsid w:val="00DA7AD4"/>
    <w:rsid w:val="00DB5854"/>
    <w:rsid w:val="00DB745D"/>
    <w:rsid w:val="00DE04D3"/>
    <w:rsid w:val="00DF119E"/>
    <w:rsid w:val="00DF3C1D"/>
    <w:rsid w:val="00DF3CB4"/>
    <w:rsid w:val="00E006C1"/>
    <w:rsid w:val="00E12438"/>
    <w:rsid w:val="00E148D4"/>
    <w:rsid w:val="00E327AE"/>
    <w:rsid w:val="00E51EB4"/>
    <w:rsid w:val="00E53700"/>
    <w:rsid w:val="00E55028"/>
    <w:rsid w:val="00E5617D"/>
    <w:rsid w:val="00E629EE"/>
    <w:rsid w:val="00E71BD7"/>
    <w:rsid w:val="00E803F0"/>
    <w:rsid w:val="00E9314A"/>
    <w:rsid w:val="00EB2E7E"/>
    <w:rsid w:val="00EB5071"/>
    <w:rsid w:val="00EC3CD2"/>
    <w:rsid w:val="00ED3F22"/>
    <w:rsid w:val="00EF0868"/>
    <w:rsid w:val="00EF6CC0"/>
    <w:rsid w:val="00F06613"/>
    <w:rsid w:val="00F06CF3"/>
    <w:rsid w:val="00F211B8"/>
    <w:rsid w:val="00F21DAB"/>
    <w:rsid w:val="00F2526C"/>
    <w:rsid w:val="00F42CB1"/>
    <w:rsid w:val="00F46632"/>
    <w:rsid w:val="00F542C8"/>
    <w:rsid w:val="00F74E90"/>
    <w:rsid w:val="00F948A7"/>
    <w:rsid w:val="00FA058D"/>
    <w:rsid w:val="00FD0791"/>
    <w:rsid w:val="00FD40A8"/>
    <w:rsid w:val="00FE1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EB"/>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table" w:styleId="Tabelacomgrade">
    <w:name w:val="Table Grid"/>
    <w:basedOn w:val="Tabelanormal"/>
    <w:uiPriority w:val="39"/>
    <w:rsid w:val="00786693"/>
    <w:pPr>
      <w:autoSpaceDE/>
      <w:autoSpaceDN/>
    </w:pPr>
    <w:rPr>
      <w:rFonts w:ascii="Times New Roman" w:eastAsia="Times New Roman" w:hAnsi="Times New Roman" w:cs="Times New Roman"/>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6406E"/>
    <w:rPr>
      <w:color w:val="0000FF" w:themeColor="hyperlink"/>
      <w:u w:val="single"/>
    </w:rPr>
  </w:style>
  <w:style w:type="character" w:styleId="Forte">
    <w:name w:val="Strong"/>
    <w:basedOn w:val="Fontepargpadro"/>
    <w:uiPriority w:val="22"/>
    <w:qFormat/>
    <w:rsid w:val="0016173C"/>
    <w:rPr>
      <w:b/>
      <w:bCs/>
    </w:rPr>
  </w:style>
  <w:style w:type="character" w:styleId="nfase">
    <w:name w:val="Emphasis"/>
    <w:basedOn w:val="Fontepargpadro"/>
    <w:uiPriority w:val="20"/>
    <w:qFormat/>
    <w:rsid w:val="0016173C"/>
    <w:rPr>
      <w:i/>
      <w:iCs/>
    </w:rPr>
  </w:style>
  <w:style w:type="paragraph" w:styleId="NormalWeb">
    <w:name w:val="Normal (Web)"/>
    <w:basedOn w:val="Normal"/>
    <w:uiPriority w:val="99"/>
    <w:unhideWhenUsed/>
    <w:rsid w:val="0016173C"/>
    <w:pPr>
      <w:widowControl/>
      <w:autoSpaceDE/>
      <w:autoSpaceDN/>
      <w:spacing w:before="100" w:beforeAutospacing="1" w:after="100" w:afterAutospacing="1"/>
    </w:pPr>
    <w:rPr>
      <w:sz w:val="24"/>
      <w:szCs w:val="24"/>
      <w:lang w:val="pt-BR" w:eastAsia="pt-BR"/>
    </w:rPr>
  </w:style>
  <w:style w:type="character" w:styleId="MenoPendente">
    <w:name w:val="Unresolved Mention"/>
    <w:basedOn w:val="Fontepargpadro"/>
    <w:uiPriority w:val="99"/>
    <w:semiHidden/>
    <w:unhideWhenUsed/>
    <w:rsid w:val="00046273"/>
    <w:rPr>
      <w:color w:val="605E5C"/>
      <w:shd w:val="clear" w:color="auto" w:fill="E1DFDD"/>
    </w:rPr>
  </w:style>
  <w:style w:type="character" w:customStyle="1" w:styleId="resultpara0">
    <w:name w:val="result__para__0"/>
    <w:basedOn w:val="Fontepargpadro"/>
    <w:rsid w:val="00C96EA8"/>
  </w:style>
  <w:style w:type="character" w:customStyle="1" w:styleId="resultpara2">
    <w:name w:val="result__para__2"/>
    <w:basedOn w:val="Fontepargpadro"/>
    <w:rsid w:val="00C96EA8"/>
  </w:style>
  <w:style w:type="character" w:styleId="Refdecomentrio">
    <w:name w:val="annotation reference"/>
    <w:basedOn w:val="Fontepargpadro"/>
    <w:uiPriority w:val="99"/>
    <w:semiHidden/>
    <w:unhideWhenUsed/>
    <w:rsid w:val="009B179F"/>
    <w:rPr>
      <w:sz w:val="16"/>
      <w:szCs w:val="16"/>
    </w:rPr>
  </w:style>
  <w:style w:type="paragraph" w:styleId="Textodecomentrio">
    <w:name w:val="annotation text"/>
    <w:basedOn w:val="Normal"/>
    <w:link w:val="TextodecomentrioChar"/>
    <w:uiPriority w:val="99"/>
    <w:semiHidden/>
    <w:unhideWhenUsed/>
    <w:rsid w:val="009B179F"/>
    <w:rPr>
      <w:sz w:val="20"/>
      <w:szCs w:val="20"/>
    </w:rPr>
  </w:style>
  <w:style w:type="character" w:customStyle="1" w:styleId="TextodecomentrioChar">
    <w:name w:val="Texto de comentário Char"/>
    <w:basedOn w:val="Fontepargpadro"/>
    <w:link w:val="Textodecomentrio"/>
    <w:uiPriority w:val="99"/>
    <w:semiHidden/>
    <w:rsid w:val="009B179F"/>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B179F"/>
    <w:rPr>
      <w:b/>
      <w:bCs/>
    </w:rPr>
  </w:style>
  <w:style w:type="character" w:customStyle="1" w:styleId="AssuntodocomentrioChar">
    <w:name w:val="Assunto do comentário Char"/>
    <w:basedOn w:val="TextodecomentrioChar"/>
    <w:link w:val="Assuntodocomentrio"/>
    <w:uiPriority w:val="99"/>
    <w:semiHidden/>
    <w:rsid w:val="009B179F"/>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nafreitasdantas9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iris/bitstream/handle/10665/259491/WHO-FWC-WSH-17.05-eng.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ffs.edu.br/uffs/laboratorios/Gerenciamento%20de%20res%C3%ADduos" TargetMode="External"/><Relationship Id="rId4" Type="http://schemas.openxmlformats.org/officeDocument/2006/relationships/webSettings" Target="webSettings.xml"/><Relationship Id="rId9" Type="http://schemas.openxmlformats.org/officeDocument/2006/relationships/hyperlink" Target="https://Dentistas.net.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3749</Words>
  <Characters>20247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3</cp:revision>
  <dcterms:created xsi:type="dcterms:W3CDTF">2025-11-18T15:59:00Z</dcterms:created>
  <dcterms:modified xsi:type="dcterms:W3CDTF">2025-11-21T12:00:00Z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