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3634" w14:textId="77777777" w:rsidR="00124727" w:rsidRDefault="00CA6BF3">
      <w:pPr>
        <w:spacing w:line="360" w:lineRule="auto"/>
        <w:ind w:right="-307" w:firstLine="720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Atrofia Muscular Espinhal tipo 3, sintomatologia e diagnósticos diferenciais: um relato de caso</w:t>
      </w:r>
    </w:p>
    <w:p w14:paraId="211B4222" w14:textId="77777777" w:rsidR="00124727" w:rsidRDefault="00CA6BF3">
      <w:pPr>
        <w:spacing w:line="360" w:lineRule="auto"/>
        <w:ind w:right="-30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Descrever apresentação clínica, tratamento e evolução de um paciente pediátrico com Atrofia Muscular Espinhal (AME) Tipo 3, destacando os desafios no diagnóstico diferencial. </w:t>
      </w:r>
    </w:p>
    <w:p w14:paraId="2DC4D2A4" w14:textId="77777777" w:rsidR="00124727" w:rsidRDefault="00CA6BF3">
      <w:pPr>
        <w:spacing w:line="360" w:lineRule="auto"/>
        <w:ind w:right="-307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Menina, 15 anos, desenvolvimento neuropsicomotor normal até os 4 anos onde apres</w:t>
      </w:r>
      <w:r>
        <w:rPr>
          <w:sz w:val="24"/>
          <w:szCs w:val="24"/>
        </w:rPr>
        <w:t xml:space="preserve">entou dificuldade para correr, subir escadas com fraqueza inicialmente proximal e predominando em membros inferiores. Aos 10 anos estabeleceu quadro de paraparesia crural de predomínio proximal manifestando quedas e instabilidade de marcha. Teste genético </w:t>
      </w:r>
      <w:r>
        <w:rPr>
          <w:sz w:val="24"/>
          <w:szCs w:val="24"/>
        </w:rPr>
        <w:t>para Atrofia Muscular Espinhal - AME (</w:t>
      </w:r>
      <w:r>
        <w:rPr>
          <w:color w:val="212121"/>
          <w:sz w:val="24"/>
          <w:szCs w:val="24"/>
          <w:highlight w:val="white"/>
        </w:rPr>
        <w:t>doença neuromuscular de herança autossômica recessiva)</w:t>
      </w:r>
      <w:r>
        <w:rPr>
          <w:sz w:val="24"/>
          <w:szCs w:val="24"/>
        </w:rPr>
        <w:t xml:space="preserve">, detectou deleção em homozigose no gene 1 </w:t>
      </w:r>
      <w:r>
        <w:rPr>
          <w:color w:val="212121"/>
          <w:sz w:val="24"/>
          <w:szCs w:val="24"/>
          <w:highlight w:val="white"/>
        </w:rPr>
        <w:t>de sobrevivência do motoneurônio (</w:t>
      </w:r>
      <w:r>
        <w:rPr>
          <w:sz w:val="24"/>
          <w:szCs w:val="24"/>
        </w:rPr>
        <w:t xml:space="preserve">SMN1), nos éxons 7 e 8 - </w:t>
      </w:r>
      <w:r>
        <w:rPr>
          <w:color w:val="212121"/>
          <w:sz w:val="24"/>
          <w:szCs w:val="24"/>
          <w:highlight w:val="white"/>
        </w:rPr>
        <w:t>alteração que implica em degeneração do corno anterior da medu</w:t>
      </w:r>
      <w:r>
        <w:rPr>
          <w:color w:val="212121"/>
          <w:sz w:val="24"/>
          <w:szCs w:val="24"/>
          <w:highlight w:val="white"/>
        </w:rPr>
        <w:t xml:space="preserve">la espinhal, determinando quadro de fraqueza muscular de predomínio proximal progressiva, simétrica e posterior atrofia. O gene 2 de sobrevivência do motoneurônio (SMN2) é determinante do fenótipo da doença. No relato em questão, a idade de surgimento dos </w:t>
      </w:r>
      <w:r>
        <w:rPr>
          <w:color w:val="212121"/>
          <w:sz w:val="24"/>
          <w:szCs w:val="24"/>
          <w:highlight w:val="white"/>
        </w:rPr>
        <w:t xml:space="preserve">sintomas é compatível com AME tipo 3 (três ou quatro cópias do gene SMN2) e o início das manifestações variam de 18 meses de idade à idade adulta. </w:t>
      </w:r>
      <w:r>
        <w:rPr>
          <w:sz w:val="24"/>
          <w:szCs w:val="24"/>
        </w:rPr>
        <w:t>O exame neurológico à primeira consulta (02/19) revelou tetraparesia proximal hiporreflexa, hipotonia muscula</w:t>
      </w:r>
      <w:r>
        <w:rPr>
          <w:sz w:val="24"/>
          <w:szCs w:val="24"/>
        </w:rPr>
        <w:t xml:space="preserve">r simétrica, sem atrofias. Em 03/19, iniciou processo judicial para aquisição de </w:t>
      </w:r>
      <w:r>
        <w:rPr>
          <w:sz w:val="24"/>
          <w:szCs w:val="24"/>
          <w:highlight w:val="white"/>
        </w:rPr>
        <w:t xml:space="preserve">nusinersena (SPINRAZA®) devido ao diagnóstico. </w:t>
      </w:r>
      <w:r>
        <w:rPr>
          <w:sz w:val="24"/>
          <w:szCs w:val="24"/>
        </w:rPr>
        <w:t xml:space="preserve">Em 03/20, estabeleceu quadro de segundo neurônio mais exuberante (arreflexia e fasciculações de coxa) e piora das manifestações </w:t>
      </w:r>
      <w:r>
        <w:rPr>
          <w:sz w:val="24"/>
          <w:szCs w:val="24"/>
        </w:rPr>
        <w:t>já relatadas. Em 10/21, destaca-se marcha em báscula de quadril, pior à direita, necessidade de apoio para adquirir a posição de pé e acentuação de lordose lombar. Em 07/22, após tratamento com nusinersena, exibe exame neurológico com melhora global da for</w:t>
      </w:r>
      <w:r>
        <w:rPr>
          <w:sz w:val="24"/>
          <w:szCs w:val="24"/>
        </w:rPr>
        <w:t xml:space="preserve">ça proximal de membros, mais importante em membros inferiores resultando em melhor marcha com independência e báscula com menor compensação de quadril, manteve dificuldade de flexão de coxa. </w:t>
      </w:r>
    </w:p>
    <w:p w14:paraId="72D1B192" w14:textId="77777777" w:rsidR="00124727" w:rsidRDefault="00CA6BF3">
      <w:pPr>
        <w:spacing w:line="360" w:lineRule="auto"/>
        <w:ind w:right="-307" w:firstLine="720"/>
        <w:jc w:val="both"/>
      </w:pPr>
      <w:r>
        <w:rPr>
          <w:color w:val="212121"/>
          <w:sz w:val="24"/>
          <w:szCs w:val="24"/>
          <w:highlight w:val="white"/>
        </w:rPr>
        <w:t>A progressão da AME tipo 3 leva a incapacidade de deambulação, f</w:t>
      </w:r>
      <w:r>
        <w:rPr>
          <w:color w:val="212121"/>
          <w:sz w:val="24"/>
          <w:szCs w:val="24"/>
          <w:highlight w:val="white"/>
        </w:rPr>
        <w:t>raqueza da musculatura respiratória e escoliose, portanto, deve entrar na pesquisa de diagnósticos diferenciais. Além disso, Distrofia Muscular de Duchenne e Becker, Distrofia Muscular de Cinturas e a Miastenia Gravis constituem hipóteses diagnósticas impo</w:t>
      </w:r>
      <w:r>
        <w:rPr>
          <w:color w:val="212121"/>
          <w:sz w:val="24"/>
          <w:szCs w:val="24"/>
          <w:highlight w:val="white"/>
        </w:rPr>
        <w:t xml:space="preserve">rtantes que devem </w:t>
      </w:r>
      <w:r>
        <w:rPr>
          <w:color w:val="212121"/>
          <w:sz w:val="24"/>
          <w:szCs w:val="24"/>
          <w:highlight w:val="white"/>
        </w:rPr>
        <w:lastRenderedPageBreak/>
        <w:t>ser analisadas devido a achados de hiporreflexia e/ou arreflexia, bem como distribuição proximal da fraqueza.</w:t>
      </w:r>
    </w:p>
    <w:sectPr w:rsidR="00124727">
      <w:pgSz w:w="11909" w:h="16834"/>
      <w:pgMar w:top="1701" w:right="1440" w:bottom="170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0A274" w14:textId="77777777" w:rsidR="00CA6BF3" w:rsidRDefault="00CA6BF3">
      <w:pPr>
        <w:spacing w:line="240" w:lineRule="auto"/>
      </w:pPr>
      <w:r>
        <w:separator/>
      </w:r>
    </w:p>
  </w:endnote>
  <w:endnote w:type="continuationSeparator" w:id="0">
    <w:p w14:paraId="231680EE" w14:textId="77777777" w:rsidR="00CA6BF3" w:rsidRDefault="00CA6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78C2D" w14:textId="77777777" w:rsidR="00CA6BF3" w:rsidRDefault="00CA6BF3">
      <w:r>
        <w:separator/>
      </w:r>
    </w:p>
  </w:footnote>
  <w:footnote w:type="continuationSeparator" w:id="0">
    <w:p w14:paraId="0EE5631F" w14:textId="77777777" w:rsidR="00CA6BF3" w:rsidRDefault="00CA6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727"/>
    <w:rsid w:val="00124727"/>
    <w:rsid w:val="00A91C58"/>
    <w:rsid w:val="00CA6BF3"/>
    <w:rsid w:val="4295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09A5"/>
  <w15:docId w15:val="{865B6771-54F0-4497-9D74-65775825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4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joaov</dc:creator>
  <cp:lastModifiedBy>rafae</cp:lastModifiedBy>
  <cp:revision>2</cp:revision>
  <dcterms:created xsi:type="dcterms:W3CDTF">2023-08-21T23:32:00Z</dcterms:created>
  <dcterms:modified xsi:type="dcterms:W3CDTF">2023-08-21T23:32:00Z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C976676EA72A40169D94BF4A103661E8</vt:lpwstr>
  </property>
</Properties>
</file>