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DESIGUALDADES DE OPORTUNIDADES EDUCACIONAIS: A CRONICIDADE D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ADVERSIDADES NO COTIDIANO ESCOLAR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Felipe Maquiné Santos Silva - UERJ/FFP/PIBIC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Francisco Saraiva da Silva Júnior - UERJ/FFP/FAPERJ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presente trabalho é um recorte de uma pesquisa qualitativa, de cunho etnográfico, que encontra-se em curso. Objetiva-se, no texto, apresentar evidências sobre as desigualdades de oportunidades educacionais no período anterior e durante a pandemia, e refletir sobre o pós-pandemia, sendo este último realizado a partir dos relatos dos sujeitos da pesquisa realizada. O trabalho foi realizado em uma escola pública estadual, na cidade de São Gonçalo, no Rio de Janeiro. Como aporte teórico,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ancoramos em André (1995), Magnani (2002), Minayo (2004), Bourdieu (1998), Sacristán (2000), Freitas (2007), Nóvoa e Alvim (2021), dentre outros. Como resultado parcial, busca-se uma reflexão a partir das evidências históricas e recentes sobre as desigualdades de oportunidades educacionais reveladas na literatura, num diálogo com os dados do campo, projetando a construção de uma nova perspectiva sobre a educação para pensar o futuro.   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Palavras-chave: Cotidiano escolar; Ensino Fundamental; Desigualdades de oportunidades educacionais; Abordagem etnográfica.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Resumo Expandido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período pandêmico evidenciou marcas históricas das desigualdades de oportunidades educacionais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já vinham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décadas, e além de reproduzi-las,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intensificou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nos últimos anos. Logo, o distanciamento forçado, porém necessário,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somado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às condições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precarização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trabalho docente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da escola,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agi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como facilitador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diversos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traumas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 educação brasileira: o déficit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aprendizagem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 distorção idade-série, a evasão escolar, dentre outros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problemas que assolam o sistema educacional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Historicamente, os estudos de Ribeiro (1991) e Patto (2015) demonstram os índices e casos concretos sobre as oportunidades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educacionais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estudantes do século passado,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cuja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reprodução contínua desse panorama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desigualdades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fez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‘‘praticamente imune às tentativas de revertê-lo, seja através da subvenção de pesquisas sobre suas causas, seja de medidas técnico-administrativas tomadas pelos órgãos oficiais’’ (Patto, 2015, p. 27).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Nos anos anteriores à pandemia, o estudo de Branco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(2020) traz luz acerca do cenário educacional por meio de uma análise do número de matrículas na educação básica, de modo a refletir sobre as condições de permanência, abandono e posteriormente, evasão no/do percurso escolar. De acordo com a sua pesquisa, no ano de 2018, os Anos Iniciais do Ensino Fundamental contavam com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15.176.420 matrículas,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já 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Anos Finais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enumeravam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12.007.550 matrículas, enquanto no Ensino Médio, chegavam somente 7.709.929 desses matriculados (Branco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., 2020, p. 139). Logo, na avaliação final,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constata-se que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somente 49% dos alunos que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ingressavam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 Ensino Fundamental chegavam no Ensino Médio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evidenciando uma interrupção na/da trajetória escolar desses estudantes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Durante a pandemia,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pesquisa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Silva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(2023) evidencia um número intensificado do mesmo cenário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 mesma problemática. No ano de 2022, o número de matrículas nos Anos Iniciais já se encontrava num decréscimo preocupante, onde iniciaram, naquela etapa, 11.315.992 matrículas; nos Anos Finais, 9.607.854; e finalmente, no Ensino Médio, 6.319.373 matrículas contabilizadas (Silva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., 2023). No mesmo ritmo de 2018, as matrículas escolares, em 2022, sofreram um declínio de cerca de 50%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revelando a gravidade da situação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face dos dados apresentados, é possível afirmar que a pandemia acentuou as dificuldades já presentes em 2018 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complexificou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ainda mais, o cenário educacional brasileiro, visto que eliminou milhões de alunos no primeiro contato com a escola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e/ou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difi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cultou a permanência destes no decorrer das etapas seguintes. De acordo com Freitas (2007), os alunos mais prejudicados, comumente das camadas desfavorecidas socioeconomicamente, permanecem na escola com poucos recursos sociais e estruturais, com dificuldades na criação de sentidos e reconhecimento cultural,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como afirma Freitas (2007, p. 968)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‘‘eliminação da escola foi suspensa ou adiada e aguardam sua eliminação definitiva na passagem entre ciclos ou conjunto de séries’’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explicit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ando que a exclusão está muito presente, ainda, no nosso sistema educacional.</w:t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Nesse sentido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desenvolveu-se uma pesquisa qualitativa, de cunho etnográfico,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está em curso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na qual o enfoque está no convívio direto com o campo observado, ‘‘de perto e de dentro’’, como indica Magnani (2002). Portanto, o objetivo está, como destaca Minayo (200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p. 21), no trabalho de observação, coleta de dados e análise das evidências, de tal modo a interpretar o ‘‘[...] universo de significados, motivos, aspirações crenças, valores e atitudes [...]’’ no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locus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que o pesquis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ador está inse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rido.</w:t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acordo com Minayo (2004, p. 16), além de articular ‘‘[...] conteúdos, pensamentos e existência’’, é fundamental que o pesquisador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dialogue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 o campo e os seus sujeitos de modo imparcial, para que assim seja possível a adoção do “princípio da relativização” (André, 1995, p. 46) da experiência vivida, de tal modo que haja um estranhamento, um distanciamento das crenças, dos pensamentos e concepções do observador, centralizando a pesquisa nas ações, concepções, cultura do grupo e valores dos sujeitos pesquisados.</w:t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Além da sensibilidade do pesquisador para descentrar-se dos seus valores na sua análise, o pesquisador também precisa ter, dentro de si, a modéstia para lidar com o campo e seus sujeitos, visto que o ‘‘[...] conhecimento científico tem sempre um caráter: aproximado [...]; inacessível em relação à totalidade do objeto [...]; vinculada à vida real [..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.]; condicionado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historicamente’’ (Deslandes, 2004, p. 33). Ao mesmo passo, para reconhecer que sua reconstrução e observação jamais será capaz de ser ‘‘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verdade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’’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apreendendo que ele jamais será capaz de absorver ‘‘[...] perfeitamente bem todo o processo em questão’’ em sua totalidade (Damatta, 1997, p. 21).</w:t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color w:val="ff000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pesquisa foi realizada em 2023, em uma escola estadual da cidade de São Gonçalo, no Rio de Janeiro, onde foram acompanhadas duas turmas do 9.° ano do Ensino Fundamental, na disciplina de Língua Portuguesa. Logo, os sujeitos pesquisados são os alunos e a professora das turmas observadas.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color w:val="ff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 a entrada em campo, foi possível notar uma diferenciação de perfis entre as turmas observadas — 903 e 904. A primeira turma contava com uma pluralidade de perfis comportamentais e estéticos, além de um grupo étnico-racial variado, configurando a sala em diversos blocos de alunos com conversas, ações, estilos e valores distintos. Na segunda turma observada, a configuração de sala era mais generalizada: os grupos de alunos eram mais concentrados nos mesmos estilos, comportamentos e conversas. Além disso, o perfil étnico-racial da turma era comum, tendo em sua maioria alunos pardos e negros. Logo, a turma 904 interagia de forma similar no geral. </w:t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decorrer da pesquisa, com a observação participante, pouco a pouco se concretizou uma parceria com a professora da disciplina de Língua Portuguesa e os alunos das turmas, em que realizaram-se entrevistas semiestruturadas individuais. Como ponto inicial, estavam as seguintes indagações: ‘‘a) Comente sobre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rotina escolar durante a pandemia’’; b) ‘‘Você conseguiu ter acesso às aulas?’’; c) ‘’Você acha que a pandemia afetou a sua aprendizagem da Língua Portuguesa?’’; dentre outras.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Diante das respostas dos alunos, destacam-se as seguintes experiências. A aluna M, da turma 903,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comenta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‘‘Quase repeti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ano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porque eu não conseguia frequentar [...] as aulas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[...] Porque eu não tava,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sabe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frequentando, porque eu não conseguia. Eu fiquei num momento muito delicado da minha vida mesmo [...]’’ (sic).</w:t>
      </w:r>
    </w:p>
    <w:p w:rsidR="00000000" w:rsidDel="00000000" w:rsidP="00000000" w:rsidRDefault="00000000" w:rsidRPr="00000000" w14:paraId="0000002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aluna A, também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 turma 903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continua: ‘‘Você tinha que ‘tá a disposição dos professores o tempo todo, mas os professores não ‘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tavam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à sua disposição o tempo todo, então, era coisa de tipo… Ah, final de semana, os professores botarem atividade na plataforma e, tipo, ah, você tem até meia-noite pra entregar. Aí, se você pedisse pra tirar dúvida, não tinha ninguém [...]’’ (sic).</w:t>
      </w:r>
    </w:p>
    <w:p w:rsidR="00000000" w:rsidDel="00000000" w:rsidP="00000000" w:rsidRDefault="00000000" w:rsidRPr="00000000" w14:paraId="0000002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aluna K, da 904, declara: ‘‘Na parte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eu não tive acesso, eu não fiz, eu não participei, porque eu não sabia como fazer, e também eu não via necessidade de fazer aula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por mais que fosse muito necessário ali [...] Computador eu tenho, porém, eu não conseguia entrar, nem pelo celular, nem pelo computador, nem por nada [...]’’ (sic).</w:t>
      </w:r>
    </w:p>
    <w:p w:rsidR="00000000" w:rsidDel="00000000" w:rsidP="00000000" w:rsidRDefault="00000000" w:rsidRPr="00000000" w14:paraId="0000002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Verifica-se, segundo as informações coletadas, uma experiência comum entre as três alunas, na qual o cotidiano escolar foi atravessado por questões familiares, psicológicas, de desinteresse e colaboração entre a instituição escolar e os alunos. Por mais aproximado que os relatos sejam, estes refletem um panorama vivido em todo o país no que tange às aprendizagens durante o período em questão.</w:t>
      </w:r>
    </w:p>
    <w:p w:rsidR="00000000" w:rsidDel="00000000" w:rsidP="00000000" w:rsidRDefault="00000000" w:rsidRPr="00000000" w14:paraId="0000002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Tecendo algumas considerações apoiando-nos em Nóvoa e Alvim (2021, p. 4), é possível inferir que o pós-pandemia ‘‘[...] obriga a um esforço de construção, de criação e de composição das condições, dos ambientes e dos processos propícios ao estudo e ao trabalho dos alunos. É esse esforço que define o papel dos professores [...]’’. Sem esse esforço, estes alunos, de realidades socioeconomicamente vulneráveis, são suprimidos da função libertadora da escola, ao passo que esta funciona como um espaço segundo Sacristán (2000, p.14) ‘‘[...] que proporciona conteúdos e valores para que os alunos melhorem a sociedade em relação à sua reconstrução social [...]’’, pois o valor da escola está na possibilidade de oferecer oportunidades educacionais a esse grupo em vulnerabilidade socioeconômica, que nenhum outro espaço lhes proporcionará na conquista da cidadania. </w:t>
      </w:r>
    </w:p>
    <w:p w:rsidR="00000000" w:rsidDel="00000000" w:rsidP="00000000" w:rsidRDefault="00000000" w:rsidRPr="00000000" w14:paraId="0000002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Sem esse cuidado, essa preocupação, atenção e solidariedade quanto aos alunos, a escola somente ‘‘[...] contribui para encerrar os membros das classes desfavorecidas no destino que a sociedade lhes assinala, levando-os a perceberem como inaptidões naturais o que não é senão efeito de uma condição inferior [...]’’ (Bourdieu, 1998, p. 59). A partir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disso, podemos pensar que é possível construir ‘‘[...] coletivamente uma outra educação.’’ (Nóvoa; Alvim, 2021, p. 13).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ANDRÉ, Marli Eliza Dalmazo Afonso de.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Etnografia da prática escolar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Campinas: Papirus, 1995. p. 27-48.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BOURDIEU, Pierre. A escola conservadora: as desigualdades frente à escola e à cultura. In: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Escritos da Educação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Petrópolis: Vozes, 1998, p. 41-64. Disponível em: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https://edisciplinas.usp.br/pluginfile.php/4900368/mod_resource/content/0/Texto%20820-%20BOURDIEU%20%281998%29%20-%20A%20escola%20conservadora.pdf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em: 08 ago. 2022.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BRANCO, E. P.; ADRIANO, G.; BRANCO, A. B. G.; IWASSE, L. F. A. Evasão escolar: desafios para permanência dos estudantes na educação básica.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Contemporânea de Educação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15, n. 3, p. 133-155,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mai/ago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2020. Disponível em: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https://revistas.ufrj.br/index.php/rce/article/view/34781/pdf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em: 22 set. 2022.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DAMATTA, Roberto.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Relativizando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Uma Introdução à Antropologia Social. Rio de Janeiro: Editora Rocco, 1997, p. 17-35. 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DESLANDES, S. F. A construção do projeto de pesquisa.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MINAYO, M. C. 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Pesquisa social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teoria, método e criatividade. 23. ed. Petrópolis, RJ: Editora Vozes, 2004, p. 31-50.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FREITAS, L. C. Eliminação adiada: o ocaso das classes populares no interior da escola e a ocultação da (má) qualidade do ensino.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Educ. Soc.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Campinas, vol. 28, n. 100 - Especial, p. 965-987, out. 2007.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https://www.scielo.br/j/es/a/h8RgCZ6JvYpJNLr8MXxvNMf/?format=pdf&amp;lang=pt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em: 28 maio 2022.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MAGNANI, J. G. De perto e de dentro: notas para uma etnografia urbana.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Brasileira de Ciências Sociais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São Paulo, v. 17, n. 49, p. 11-29, 2002. 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https://www.scielo.br/j/rbcsoc/a/KKxt4zRfvVWbkbgsfQD7ytJ/?format=pdf&amp;lang=pt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em: 20 out. 2023.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MINAYO, M. C. S. (org).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Pesquisa social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teoria, método e criatividade. 23. ed. Petrópolis,  RJ: Editora Vozes,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ÓVOA, A.; ALVIM, YC. Os professores depois da pandemia.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Educ. Soc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., Campinas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42, p.1-16, 2021. Disponível em: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https://www.scielo.br/j/es/a/mvX3xShv5C7dsMtLKTS75PB/?format=pdf&amp;lang=pt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Acesso em: 14 jan.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RIBEIRO, S. C. A Pedagogia da Repetência.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Estudos Avançados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12, n. 5, p. 7-21, 1991.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Disponível em: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https://www.scielo.br/j/ea/a/JyfPSdxSCrxKHxV6H3whNNz/?format=pdf&amp;lang=pt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em: 06 fev. 2022.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PATTO, Maria Helena Souza.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produção do fracasso escolar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histórias de submissão e rebeldia. 4° edição, revista e ampliada. São Paulo: Intermeios, 2015.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SACRISTÁN, José G.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Currículo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uma reflexão sobre a prática. Tradução: Ernani F. da F. Rosa. 3. ed. Porto Alegre: ArtMed, 2000. Cap. 1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SILVA, F. M. S;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GRANJA, Tania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 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SANTOS, B. A; SILVA JÚNIOR, F. S. Educação básica e ensino remoto - os caminhos tortuosos da pandemia e da pós pandemia: alguns apontamentos.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XIV Encontro Estadual da ANFOPE-RJ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[livro eletrônico]: formação e trabalho: desafios da profissão docente. 1. ed. mar/2023. Rio de Janeiro: Casa Editorial Manacá: ANFOPE, 2023. p. 93-96. Disponível em: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https://www.anfope.org.br/wp-content/uploads/2024/02/Anais-XIV-ANFOPE-RJ-2023.pdf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8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400040" cy="17716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cielo.br/j/ea/a/JyfPSdxSCrxKHxV6H3whNNz/?format=pdf&amp;lang=pt" TargetMode="External"/><Relationship Id="rId10" Type="http://schemas.openxmlformats.org/officeDocument/2006/relationships/hyperlink" Target="https://www.scielo.br/j/es/a/mvX3xShv5C7dsMtLKTS75PB/?format=pdf&amp;lang=pt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anfope.org.br/wp-content/uploads/2024/02/Anais-XIV-ANFOPE-RJ-2023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cielo.br/j/rbcsoc/a/KKxt4zRfvVWbkbgsfQD7ytJ/?format=pdf&amp;lang=pt" TargetMode="External"/><Relationship Id="rId15" Type="http://schemas.openxmlformats.org/officeDocument/2006/relationships/header" Target="header3.xml"/><Relationship Id="rId14" Type="http://schemas.openxmlformats.org/officeDocument/2006/relationships/header" Target="header2.xm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edisciplinas.usp.br/pluginfile.php/4900368/mod_resource/content/0/Texto%208%20-%20BOURDIEU%20%281998%29%20-%20A%20escola%20conservadora.pdf" TargetMode="External"/><Relationship Id="rId18" Type="http://schemas.openxmlformats.org/officeDocument/2006/relationships/footer" Target="footer3.xml"/><Relationship Id="rId7" Type="http://schemas.openxmlformats.org/officeDocument/2006/relationships/hyperlink" Target="https://revistas.ufrj.br/index.php/rce/article/view/34781/pdf" TargetMode="External"/><Relationship Id="rId8" Type="http://schemas.openxmlformats.org/officeDocument/2006/relationships/hyperlink" Target="https://www.scielo.br/j/es/a/h8RgCZ6JvYpJNLr8MXxvNMf/?format=pdf&amp;lang=p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