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pPr>
      <w:r>
        <w:rPr>
          <w:rFonts w:eastAsia="Times New Roman" w:cs="Times New Roman"/>
          <w:b/>
          <w:bCs/>
          <w:sz w:val="24"/>
          <w:szCs w:val="24"/>
        </w:rPr>
        <w:t>PODER POLÍTICO E POLÍTICAS PÚBLICAS EDUCACIONAIS: A TRÍADE DO PODER NA ESCOLA E AS REFORMAS NEOLIBERAIS NO BRASIL</w:t>
      </w:r>
    </w:p>
    <w:p>
      <w:pPr>
        <w:pStyle w:val="Normal"/>
        <w:spacing w:lineRule="auto" w:line="240" w:before="0" w:after="0"/>
        <w:jc w:val="both"/>
        <w:rPr>
          <w:rFonts w:ascii="Times New Roman" w:hAnsi="Times New Roman" w:eastAsia="Times New Roman" w:cs="Times New Roman"/>
          <w:sz w:val="24"/>
          <w:szCs w:val="24"/>
        </w:rPr>
      </w:pPr>
      <w:r>
        <w:rPr/>
      </w:r>
    </w:p>
    <w:p>
      <w:pPr>
        <w:pStyle w:val="Normal"/>
        <w:spacing w:lineRule="auto" w:line="240" w:before="0" w:after="0"/>
        <w:jc w:val="end"/>
        <w:rPr/>
      </w:pPr>
      <w:r>
        <w:rPr>
          <w:rFonts w:eastAsia="Times New Roman" w:cs="Times New Roman"/>
          <w:sz w:val="24"/>
          <w:szCs w:val="24"/>
        </w:rPr>
        <w:t>Ana Cristina Nunes Gonçalves</w:t>
      </w:r>
    </w:p>
    <w:p>
      <w:pPr>
        <w:pStyle w:val="Normal"/>
        <w:spacing w:lineRule="auto" w:line="240" w:before="0" w:after="0"/>
        <w:jc w:val="end"/>
        <w:rPr/>
      </w:pPr>
      <w:r>
        <w:rPr>
          <w:rFonts w:eastAsia="Times New Roman" w:cs="Times New Roman"/>
          <w:sz w:val="24"/>
          <w:szCs w:val="24"/>
        </w:rPr>
        <w:t>Universidade Estadual de Montes Claros (Unimontes)</w:t>
      </w:r>
    </w:p>
    <w:p>
      <w:pPr>
        <w:pStyle w:val="Normal"/>
        <w:spacing w:lineRule="auto" w:line="240" w:before="0" w:after="0"/>
        <w:jc w:val="end"/>
        <w:rPr/>
      </w:pPr>
      <w:r>
        <w:rPr>
          <w:rFonts w:eastAsia="Times New Roman" w:cs="Times New Roman"/>
          <w:color w:val="4472C4"/>
          <w:sz w:val="24"/>
          <w:szCs w:val="24"/>
          <w:u w:val="single" w:color="4472C4"/>
        </w:rPr>
        <w:t>anacristinanunes360@gmail.com</w:t>
      </w:r>
    </w:p>
    <w:p>
      <w:pPr>
        <w:pStyle w:val="Normal"/>
        <w:spacing w:lineRule="auto" w:line="240" w:before="0" w:after="0"/>
        <w:jc w:val="both"/>
        <w:rPr/>
      </w:pPr>
      <w:r>
        <w:rPr/>
      </w:r>
    </w:p>
    <w:p>
      <w:pPr>
        <w:pStyle w:val="Normal"/>
        <w:spacing w:lineRule="auto" w:line="240" w:before="0" w:after="0"/>
        <w:jc w:val="end"/>
        <w:rPr/>
      </w:pPr>
      <w:r>
        <w:rPr>
          <w:rFonts w:eastAsia="Times New Roman" w:cs="Times New Roman"/>
          <w:sz w:val="24"/>
          <w:szCs w:val="24"/>
        </w:rPr>
        <w:t>Jéssica Francisca dos Santos</w:t>
      </w:r>
    </w:p>
    <w:p>
      <w:pPr>
        <w:pStyle w:val="Normal"/>
        <w:spacing w:lineRule="auto" w:line="240" w:before="0" w:after="0"/>
        <w:jc w:val="end"/>
        <w:rPr/>
      </w:pPr>
      <w:r>
        <w:rPr>
          <w:rFonts w:eastAsia="Times New Roman" w:cs="Times New Roman"/>
          <w:sz w:val="24"/>
          <w:szCs w:val="24"/>
        </w:rPr>
        <w:t>Universidade Estadual de Montes Claros (Unimontes)</w:t>
      </w:r>
    </w:p>
    <w:p>
      <w:pPr>
        <w:pStyle w:val="Normal"/>
        <w:spacing w:lineRule="auto" w:line="240" w:before="0" w:after="0"/>
        <w:jc w:val="end"/>
        <w:rPr/>
      </w:pPr>
      <w:r>
        <w:rPr>
          <w:rFonts w:eastAsia="Times New Roman" w:cs="Times New Roman"/>
          <w:color w:val="4472C4"/>
          <w:sz w:val="24"/>
          <w:szCs w:val="24"/>
          <w:u w:val="single" w:color="4472C4"/>
        </w:rPr>
        <w:t>Jessikfe9@gmail.com</w:t>
      </w:r>
    </w:p>
    <w:p>
      <w:pPr>
        <w:pStyle w:val="Normal"/>
        <w:spacing w:lineRule="auto" w:line="240" w:before="0" w:after="0"/>
        <w:jc w:val="both"/>
        <w:rPr/>
      </w:pPr>
      <w:r>
        <w:rPr/>
      </w:r>
    </w:p>
    <w:p>
      <w:pPr>
        <w:pStyle w:val="Normal"/>
        <w:spacing w:lineRule="auto" w:line="240" w:before="0" w:after="0"/>
        <w:jc w:val="end"/>
        <w:rPr/>
      </w:pPr>
      <w:r>
        <w:rPr>
          <w:rFonts w:eastAsia="Times New Roman" w:cs="Times New Roman"/>
          <w:sz w:val="24"/>
          <w:szCs w:val="24"/>
        </w:rPr>
        <w:t>Laiane Aparecida Rodrigues de Brito</w:t>
      </w:r>
    </w:p>
    <w:p>
      <w:pPr>
        <w:pStyle w:val="Normal"/>
        <w:spacing w:lineRule="auto" w:line="240" w:before="0" w:after="0"/>
        <w:jc w:val="end"/>
        <w:rPr/>
      </w:pPr>
      <w:r>
        <w:rPr>
          <w:rFonts w:eastAsia="Times New Roman" w:cs="Times New Roman"/>
          <w:sz w:val="24"/>
          <w:szCs w:val="24"/>
        </w:rPr>
        <w:t>Universidade Estadual de Montes Claros (Unimontes)</w:t>
      </w:r>
    </w:p>
    <w:p>
      <w:pPr>
        <w:pStyle w:val="Normal"/>
        <w:spacing w:lineRule="auto" w:line="240" w:before="0" w:after="0"/>
        <w:jc w:val="end"/>
        <w:rPr/>
      </w:pPr>
      <w:r>
        <w:rPr>
          <w:rFonts w:eastAsia="Times New Roman" w:cs="Times New Roman"/>
          <w:color w:val="4472C4"/>
          <w:sz w:val="24"/>
          <w:szCs w:val="24"/>
          <w:u w:val="single" w:color="4472C4"/>
        </w:rPr>
        <w:t>Laayanerodriguesl250@gmail.com</w:t>
      </w:r>
    </w:p>
    <w:p>
      <w:pPr>
        <w:pStyle w:val="Normal"/>
        <w:spacing w:lineRule="auto" w:line="240" w:before="0" w:after="0"/>
        <w:jc w:val="both"/>
        <w:rPr/>
      </w:pPr>
      <w:r>
        <w:rPr/>
      </w:r>
    </w:p>
    <w:p>
      <w:pPr>
        <w:pStyle w:val="Normal"/>
        <w:spacing w:lineRule="auto" w:line="240" w:before="0" w:after="0"/>
        <w:jc w:val="end"/>
        <w:rPr/>
      </w:pPr>
      <w:r>
        <w:rPr>
          <w:rFonts w:eastAsia="Times New Roman" w:cs="Times New Roman"/>
          <w:sz w:val="24"/>
          <w:szCs w:val="24"/>
        </w:rPr>
        <w:t>Thaís Souza Santos</w:t>
      </w:r>
    </w:p>
    <w:p>
      <w:pPr>
        <w:pStyle w:val="Normal"/>
        <w:spacing w:lineRule="auto" w:line="240" w:before="0" w:after="0"/>
        <w:jc w:val="end"/>
        <w:rPr/>
      </w:pPr>
      <w:r>
        <w:rPr>
          <w:rFonts w:eastAsia="Times New Roman" w:cs="Times New Roman"/>
          <w:sz w:val="24"/>
          <w:szCs w:val="24"/>
        </w:rPr>
        <w:t>Universidade Estadual de Montes Claros (Unimontes)</w:t>
      </w:r>
    </w:p>
    <w:p>
      <w:pPr>
        <w:pStyle w:val="Normal"/>
        <w:spacing w:lineRule="auto" w:line="240" w:before="0" w:after="0"/>
        <w:jc w:val="end"/>
        <w:rPr>
          <w:rFonts w:ascii="Times New Roman" w:hAnsi="Times New Roman" w:eastAsia="Times New Roman" w:cs="Times New Roman"/>
          <w:color w:val="4472C4"/>
          <w:sz w:val="24"/>
          <w:szCs w:val="24"/>
          <w:u w:val="single" w:color="4472C4"/>
        </w:rPr>
      </w:pPr>
      <w:hyperlink r:id="rId2">
        <w:r>
          <w:rPr>
            <w:rStyle w:val="Hyperlink"/>
            <w:rFonts w:eastAsia="Times New Roman" w:cs="Times New Roman"/>
            <w:color w:val="4472C4"/>
            <w:sz w:val="24"/>
            <w:szCs w:val="24"/>
            <w:u w:val="single" w:color="4472C4"/>
          </w:rPr>
          <w:t>souzasantosthais955@gmail.com</w:t>
        </w:r>
      </w:hyperlink>
      <w:r>
        <w:rPr>
          <w:rFonts w:eastAsia="Times New Roman" w:cs="Times New Roman"/>
          <w:color w:val="4472C4"/>
          <w:sz w:val="24"/>
          <w:szCs w:val="24"/>
          <w:u w:val="single" w:color="4472C4"/>
        </w:rPr>
        <w:br/>
        <w:br/>
      </w:r>
      <w:r>
        <w:rPr>
          <w:rFonts w:eastAsia="Times New Roman" w:cs="Times New Roman"/>
          <w:color w:val="000000"/>
          <w:sz w:val="24"/>
          <w:szCs w:val="24"/>
          <w:u w:val="none" w:color="4472C4"/>
        </w:rPr>
        <w:t>Tiago Gonçalves Barbosa</w:t>
      </w:r>
    </w:p>
    <w:p>
      <w:pPr>
        <w:pStyle w:val="Normal"/>
        <w:spacing w:lineRule="auto" w:line="240" w:before="0" w:after="0"/>
        <w:jc w:val="end"/>
        <w:rPr/>
      </w:pPr>
      <w:r>
        <w:rPr>
          <w:rFonts w:eastAsia="Times New Roman" w:cs="Times New Roman"/>
          <w:sz w:val="24"/>
          <w:szCs w:val="24"/>
        </w:rPr>
        <w:t>Universidade Estadual de Montes Claros (Unimontes)</w:t>
      </w:r>
    </w:p>
    <w:p>
      <w:pPr>
        <w:pStyle w:val="Normal"/>
        <w:spacing w:lineRule="auto" w:line="240" w:before="0" w:after="0"/>
        <w:jc w:val="end"/>
        <w:rPr/>
      </w:pPr>
      <w:r>
        <w:rPr>
          <w:rFonts w:eastAsia="Times New Roman" w:cs="Times New Roman"/>
          <w:color w:val="4472C4"/>
          <w:sz w:val="24"/>
          <w:szCs w:val="24"/>
          <w:u w:val="single" w:color="4472C4"/>
        </w:rPr>
        <w:t>tiagoviolabarbosa@gmail.com</w:t>
      </w:r>
    </w:p>
    <w:p>
      <w:pPr>
        <w:pStyle w:val="Normal"/>
        <w:spacing w:lineRule="auto" w:line="240" w:before="0" w:after="0"/>
        <w:jc w:val="end"/>
        <w:rPr/>
      </w:pPr>
      <w:r>
        <w:rPr/>
      </w:r>
    </w:p>
    <w:p>
      <w:pPr>
        <w:pStyle w:val="Normal"/>
        <w:spacing w:lineRule="auto" w:line="240" w:before="0" w:after="0"/>
        <w:jc w:val="end"/>
        <w:rPr/>
      </w:pPr>
      <w:r>
        <w:rPr>
          <w:rFonts w:eastAsia="Times New Roman" w:cs="Times New Roman"/>
          <w:sz w:val="24"/>
          <w:szCs w:val="24"/>
        </w:rPr>
        <w:t>José França Neto</w:t>
      </w:r>
    </w:p>
    <w:p>
      <w:pPr>
        <w:pStyle w:val="Normal"/>
        <w:spacing w:lineRule="auto" w:line="240" w:before="0" w:after="0"/>
        <w:jc w:val="end"/>
        <w:rPr/>
      </w:pPr>
      <w:r>
        <w:rPr>
          <w:rFonts w:eastAsia="Times New Roman" w:cs="Times New Roman"/>
          <w:sz w:val="24"/>
          <w:szCs w:val="24"/>
        </w:rPr>
        <w:t>Universidade Estadual de Montes Claros (Unimontes)</w:t>
      </w:r>
    </w:p>
    <w:p>
      <w:pPr>
        <w:pStyle w:val="Normal"/>
        <w:spacing w:lineRule="auto" w:line="240" w:before="0" w:after="0"/>
        <w:jc w:val="end"/>
        <w:rPr/>
      </w:pPr>
      <w:r>
        <w:rPr>
          <w:rFonts w:eastAsia="Times New Roman" w:cs="Times New Roman"/>
          <w:color w:val="4472C4"/>
          <w:sz w:val="24"/>
          <w:szCs w:val="24"/>
          <w:u w:val="single" w:color="4472C4"/>
        </w:rPr>
        <w:t>jose.franca@unimontes.br</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 xml:space="preserve">Eixo: </w:t>
      </w:r>
      <w:r>
        <w:rPr>
          <w:rFonts w:eastAsia="Times New Roman" w:cs="Times New Roman"/>
          <w:sz w:val="24"/>
          <w:szCs w:val="24"/>
        </w:rPr>
        <w:t>6 - Políticas Públicas e Gestão da Educação</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Resumo Expandido</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Resumo simples</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O trabalho investiga como as três dimensões do poder descritas por Bobbio se manifestam na escola pública brasileira, condicionando as políticas educacionais. Toma como eixo analítico as reformas neoliberais dos anos 1990 e seus desdobramentos, com base em Weber, Dias, Passaes, Höfling, Libâneo, Oliveira e Toschi, Souza e Rua.</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 xml:space="preserve">Palavras-chave: </w:t>
      </w:r>
      <w:r>
        <w:rPr>
          <w:rFonts w:eastAsia="Times New Roman" w:cs="Times New Roman"/>
          <w:sz w:val="24"/>
          <w:szCs w:val="24"/>
        </w:rPr>
        <w:t>Poder político; Políticas educacionais; Neoliberalismo; Estado; Legitimidade.</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Introdução</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Não há sociedade sem poder. Essa afirmação pode parecer óbvia, mas esconde uma questão bem menos simples: de onde vem esse poder e a quem ele serve? O que muda de uma época para outra não é a existência do poder, mas os mecanismos pelos quais ele se sustenta: às vezes pela força direta, outras vezes pela construção de consenso, muitas vezes pelas duas ao mesmo tempo.</w:t>
      </w:r>
    </w:p>
    <w:p>
      <w:pPr>
        <w:pStyle w:val="Normal"/>
        <w:spacing w:lineRule="auto" w:line="240" w:before="0" w:after="0"/>
        <w:ind w:firstLine="709"/>
        <w:jc w:val="both"/>
        <w:rPr/>
      </w:pPr>
      <w:r>
        <w:rPr>
          <w:rFonts w:eastAsia="Times New Roman" w:cs="Times New Roman"/>
          <w:sz w:val="24"/>
          <w:szCs w:val="24"/>
        </w:rPr>
        <w:t>No caso da educação brasileira, essa pergunta ganhou urgência a partir dos anos 1990, quando uma série de reformas transformou profundamente a organização do ensino público. Essas reformas não nasceram do nada: foram resultado de disputas que envolveram governos, organismos internacionais e grupos com interesses muito concretos sobre o que a escola deveria ser e fazer. Para compreendê-las, não basta analisar decretos e legislações; é preciso identificar quais formas de poder as produziram e a quais interesses serviram.</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Justificativa e problema da pesquisa</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Há um contraste que vale a pena notar. Na tradição clássica, Aristóteles entendia que o Estado existe para servir ao bem de todos, e não aos interesses de uma parte da sociedade (DIAS, 2013). Rousseau chamou esse bem comum de vontade geral. O problema é que nem sempre o Estado age assim, e a escola pública costuma pagar o preço quando ele deixa de agir dessa forma.</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A questão que orienta este trabalho é: de que modo as formas pelas quais o poder político se legitima condicionam o que entra na agenda das políticas educacionais no Brasil? Identificar esse movimento é necessário para compreender por que certas reformas avançaram e por que alternativas mais democráticas raramente chegaram a ser debatidas.</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Objetivos da pesquisa</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O objetivo central é analisar como os fundamentos do poder político se traduzem nas políticas educacionais brasileiras após 1990. Para isso, as categorias de poder, legitimidade e dominação são examinadas a partir de Bobbio, Weber e Dias, enquanto a análise das reformas educacionais se apoia em Libâneo, Oliveira e Toschi, Höfling e Passaes. Os modelos de formulação de políticas públicas descritos por Souza e Rua servem de base para discutir como essas reformas chegaram à escola.</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Referencial teórico que fundamenta a pesquisa</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Bobbio (2000) propõe uma distinção que ajuda a organizar a análise. Para ele, o poder na sociedade se apresenta em três formas: o econômico, que pertence a quem controla recursos que os outros precisam; o ideológico, que é exercido por quem consegue fazer suas ideias parecerem as únicas possíveis; e o político, que pode, em último caso, recorrer à força. Dias (2013) ressalta que essa última forma é a que define o Estado propriamente dito, pois é a única instituição cuja prerrogativa de usar a coerção de forma autorizada é socialmente reconhecida.</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Quando se olha para a escola com essa lente, o quadro se torna mais claro. A pressão pela privatização do ensino e pelo sistema de voucher é poder econômico em ação: transforma a educação em negócio e o estudante em cliente. O projeto Escola Sem Partido, que enquadra o professor como doutrinador e abre espaço para que grupos hostilizem escolas públicas por razões ideológicas, é a face ideológica desse processo. A articulação de parlamentares que garantem aprovação legislativa para essas agendas fecha o ciclo pela via política, costurando as duas anteriores. Aristóteles já havia descrito esse tipo de situação ao analisar governos que atendem a interesses de grupos específicos em vez do bem geral.</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Weber (1991) identificou três bases sobre as quais governantes buscam legitimidade: a tradição, o carisma pessoal e a lei. Os Estados modernos se apoiam principalmente nessa terceira base: governa quem age segundo as regras escritas, independentemente de quem ocupe o cargo. Isso oferece estabilidade, mas permite que reformas contrárias ao interesse público avancem desde que sigam os trâmites legais. É aí que entram Souza (2003) e Rua (1997): ambas mostram que as políticas públicas não são apenas o que a lei manda fazer, mas o resultado de quem conseguiu colocar seu problema na agenda e quem ficou de fora. Libâneo, Oliveira e Toschi (2012) conectam isso diretamente à educação, demonstrando como as reformas dos anos 1990 chegaram às escolas embaladas num discurso de modernização que encobria sua dimensão de ajuste às exigências de organismos externos.</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Para além da análise do poder, a compreensão do próprio conceito de Estado importa. Passaes et al. (2025) distinguem três elementos indispensáveis: o povo, o território e o poder soberano; e diferenciam ainda o Estado, que é permanente, do governo, que é transitório. Essa distinção tem consequências diretas para a análise das políticas educacionais: governos mudam, mas certas políticas deixam marcas duradouras nas estruturas do Estado. Höfling (2001) reforça que o Estado não pode ser reduzido à burocracia pública, e que as políticas públicas são de sua responsabilidade quanto à implementação e manutenção, envolvendo órgãos públicos e diferentes organismos da sociedade.</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Procedimentos metodológicos</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A pesquisa é bibliográfica e documental, com abordagem qualitativa. Os textos de teoria política de Bobbio, Weber e Dias foram lidos em articulação com as análises sobre políticas educacionais de Libâneo, Oliveira e Toschi, Höfling, Passaes, Souza e Rua. O fio condutor da análise foram as categorias de poder, legitimidade e políticas públicas, usadas para interpretar as reformas educacionais do período estudado.</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Análise dos dados e resultados finais da pesquisa</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As reformas educacionais brasileiras pós-1990 cumpriram as exigências formais da legitimidade racional-legal: passaram pelo Congresso, foram sancionadas e publicadas. Mas o cumprimento do rito legal não diz nada sobre quem pautou o conteúdo dessas reformas. Como mostra Rua (1997), o FMI e o Banco Mundial não apenas condicionaram recursos financeiros: definiram o que era considerado uma política educacional razoável, tornando alternativas politicamente impensáveis. O discurso da inevitabilidade fez o trabalho que a coerção não precisou fazer: naturalizou como técnico o que era uma escolha. O resultado, como documentam Libâneo, Oliveira e Toschi (2012), foi uma escola cada vez mais organizada em torno de metas de desempenho, com pouco espaço para a formação integral do sujeito.</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Relação do objeto de estudo com a pesquisa em Educação e eixo temático do COPED</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A escola pública é um aparelho do Estado e, por isso, está no centro da disputa entre as dimensões do poder descritas por Bobbio (2000). Estudar essa disputa não é um exercício apenas acadêmico. Pesquisadores e gestores que compreendem como o poder legitima certas agendas e silencia outras têm mais condições de agir criticamente nos processos que definem o cotidiano escolar. Nesse sentido, o trabalho dialoga diretamente com o eixo Políticas Públicas e Gestão da Educação, por tratar da articulação entre poder, Estado e escola e das condições democráticas de gestão da educação.</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Considerações finais</w:t>
      </w:r>
    </w:p>
    <w:p>
      <w:pPr>
        <w:pStyle w:val="Normal"/>
        <w:spacing w:lineRule="auto" w:line="240" w:before="0" w:after="0"/>
        <w:jc w:val="both"/>
        <w:rPr/>
      </w:pPr>
      <w:r>
        <w:rPr/>
      </w:r>
    </w:p>
    <w:p>
      <w:pPr>
        <w:pStyle w:val="Normal"/>
        <w:spacing w:lineRule="auto" w:line="240" w:before="0" w:after="0"/>
        <w:ind w:firstLine="709"/>
        <w:jc w:val="both"/>
        <w:rPr/>
      </w:pPr>
      <w:r>
        <w:rPr>
          <w:rFonts w:eastAsia="Times New Roman" w:cs="Times New Roman"/>
          <w:sz w:val="24"/>
          <w:szCs w:val="24"/>
        </w:rPr>
        <w:t>Nenhuma política educacional é neutra. Toda reforma carrega uma concepção de escola, de sociedade e de quem merece o quê. O neoliberalismo educacional não é uma fatalidade: é uma escolha política que avançou pela combinação de poder econômico, ideológico e político, como a tríade de Bobbio (2000) permite visualizar. O contraponto a isso passa pela noção de vontade geral de Rousseau: uma educação pública orientada pelo interesse coletivo e não pelo lucro de alguns. Chegar lá exige, antes de mais nada, nomear com clareza o que está em jogo.</w:t>
      </w:r>
    </w:p>
    <w:p>
      <w:pPr>
        <w:pStyle w:val="Normal"/>
        <w:spacing w:lineRule="auto" w:line="240" w:before="0" w:after="0"/>
        <w:jc w:val="both"/>
        <w:rPr/>
      </w:pPr>
      <w:r>
        <w:rPr/>
      </w:r>
    </w:p>
    <w:p>
      <w:pPr>
        <w:pStyle w:val="Normal"/>
        <w:spacing w:lineRule="auto" w:line="240" w:before="0" w:after="0"/>
        <w:jc w:val="both"/>
        <w:rPr/>
      </w:pPr>
      <w:r>
        <w:rPr>
          <w:rFonts w:eastAsia="Times New Roman" w:cs="Times New Roman"/>
          <w:b/>
          <w:bCs/>
          <w:sz w:val="24"/>
          <w:szCs w:val="24"/>
        </w:rPr>
        <w:t>Referências</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BOBBIO, Norberto. </w:t>
      </w:r>
      <w:r>
        <w:rPr>
          <w:rFonts w:eastAsia="Times New Roman" w:cs="Times New Roman"/>
          <w:b/>
          <w:bCs/>
          <w:i w:val="false"/>
          <w:iCs w:val="false"/>
          <w:sz w:val="24"/>
          <w:szCs w:val="24"/>
        </w:rPr>
        <w:t>Estado, governo, sociedade:</w:t>
      </w:r>
      <w:r>
        <w:rPr>
          <w:rFonts w:eastAsia="Times New Roman" w:cs="Times New Roman"/>
          <w:b w:val="false"/>
          <w:bCs w:val="false"/>
          <w:i w:val="false"/>
          <w:iCs w:val="false"/>
          <w:sz w:val="24"/>
          <w:szCs w:val="24"/>
        </w:rPr>
        <w:t xml:space="preserve"> para uma teoria geral da política. Tradução de Marco Aurélio Nogueira. 8. ed. Rio de Janeiro: Paz e Terra, 2000. p. 155-175.</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BRASIL. Lei nº 9.394, de 20 de dezembro de 1996. Estabelece as diretrizes e bases da educação nacional. </w:t>
      </w:r>
      <w:r>
        <w:rPr>
          <w:rFonts w:eastAsia="Times New Roman" w:cs="Times New Roman"/>
          <w:b/>
          <w:bCs/>
          <w:i w:val="false"/>
          <w:iCs w:val="false"/>
          <w:sz w:val="24"/>
          <w:szCs w:val="24"/>
        </w:rPr>
        <w:t>Diário Oficial da União,</w:t>
      </w:r>
      <w:r>
        <w:rPr>
          <w:rFonts w:eastAsia="Times New Roman" w:cs="Times New Roman"/>
          <w:b w:val="false"/>
          <w:bCs w:val="false"/>
          <w:i w:val="false"/>
          <w:iCs w:val="false"/>
          <w:sz w:val="24"/>
          <w:szCs w:val="24"/>
        </w:rPr>
        <w:t xml:space="preserve"> Brasília, 23 dez. 1996.</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DIAS, Reinaldo. </w:t>
      </w:r>
      <w:r>
        <w:rPr>
          <w:rFonts w:eastAsia="Times New Roman" w:cs="Times New Roman"/>
          <w:b/>
          <w:bCs/>
          <w:i w:val="false"/>
          <w:iCs w:val="false"/>
          <w:sz w:val="24"/>
          <w:szCs w:val="24"/>
        </w:rPr>
        <w:t>Ciência política.</w:t>
      </w:r>
      <w:r>
        <w:rPr>
          <w:rFonts w:eastAsia="Times New Roman" w:cs="Times New Roman"/>
          <w:b w:val="false"/>
          <w:bCs w:val="false"/>
          <w:i w:val="false"/>
          <w:iCs w:val="false"/>
          <w:sz w:val="24"/>
          <w:szCs w:val="24"/>
        </w:rPr>
        <w:t xml:space="preserve"> 2. ed. São Paulo: Atlas, 2013. p. 28-75.</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HÖFLING, Eloisa de Mattos. Estado e políticas (públicas) sociais. </w:t>
      </w:r>
      <w:r>
        <w:rPr>
          <w:rFonts w:eastAsia="Times New Roman" w:cs="Times New Roman"/>
          <w:b/>
          <w:bCs/>
          <w:i w:val="false"/>
          <w:iCs w:val="false"/>
          <w:sz w:val="24"/>
          <w:szCs w:val="24"/>
        </w:rPr>
        <w:t>Cadernos Cedes,</w:t>
      </w:r>
      <w:r>
        <w:rPr>
          <w:rFonts w:eastAsia="Times New Roman" w:cs="Times New Roman"/>
          <w:b w:val="false"/>
          <w:bCs w:val="false"/>
          <w:i w:val="false"/>
          <w:iCs w:val="false"/>
          <w:sz w:val="24"/>
          <w:szCs w:val="24"/>
        </w:rPr>
        <w:t xml:space="preserve"> Campinas, ano XXI, n. 55, p. 30-41, nov. 2001. DOI: 10.1590/S0101-32622001000300003. Disponível em: </w:t>
      </w:r>
      <w:r>
        <w:rPr>
          <w:rFonts w:eastAsia="Times New Roman" w:cs="Times New Roman"/>
          <w:b w:val="false"/>
          <w:bCs w:val="false"/>
          <w:i/>
          <w:iCs/>
          <w:sz w:val="24"/>
          <w:szCs w:val="24"/>
        </w:rPr>
        <w:t>http://www.scielo.br/j/ccedes/a/pqNtQNWnT6B98Lgjpc5YsHq/</w:t>
      </w:r>
      <w:r>
        <w:rPr>
          <w:rFonts w:eastAsia="Times New Roman" w:cs="Times New Roman"/>
          <w:b w:val="false"/>
          <w:bCs w:val="false"/>
          <w:i w:val="false"/>
          <w:iCs w:val="false"/>
          <w:sz w:val="24"/>
          <w:szCs w:val="24"/>
        </w:rPr>
        <w:t>. Acesso em: abr. 2026.</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LIBÂNEO, José Carlos; OLIVEIRA, João Ferreira de; TOSCHI, Mirza Seabra. </w:t>
      </w:r>
      <w:r>
        <w:rPr>
          <w:rFonts w:eastAsia="Times New Roman" w:cs="Times New Roman"/>
          <w:b/>
          <w:bCs/>
          <w:i w:val="false"/>
          <w:iCs w:val="false"/>
          <w:sz w:val="24"/>
          <w:szCs w:val="24"/>
        </w:rPr>
        <w:t>Educação escolar:</w:t>
      </w:r>
      <w:r>
        <w:rPr>
          <w:rFonts w:eastAsia="Times New Roman" w:cs="Times New Roman"/>
          <w:b w:val="false"/>
          <w:bCs w:val="false"/>
          <w:i w:val="false"/>
          <w:iCs w:val="false"/>
          <w:sz w:val="24"/>
          <w:szCs w:val="24"/>
        </w:rPr>
        <w:t xml:space="preserve"> políticas, estrutura e organização. 10. ed. São Paulo: Cortez, 2012. p. 60-70.</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PASSAES, Fernando Mendes et al. </w:t>
      </w:r>
      <w:r>
        <w:rPr>
          <w:rFonts w:eastAsia="Times New Roman" w:cs="Times New Roman"/>
          <w:b/>
          <w:bCs/>
          <w:i w:val="false"/>
          <w:iCs w:val="false"/>
          <w:sz w:val="24"/>
          <w:szCs w:val="24"/>
        </w:rPr>
        <w:t>Estado, governo e administração pública.</w:t>
      </w:r>
      <w:r>
        <w:rPr>
          <w:rFonts w:eastAsia="Times New Roman" w:cs="Times New Roman"/>
          <w:b w:val="false"/>
          <w:bCs w:val="false"/>
          <w:i w:val="false"/>
          <w:iCs w:val="false"/>
          <w:sz w:val="24"/>
          <w:szCs w:val="24"/>
        </w:rPr>
        <w:t xml:space="preserve"> Disponível em: </w:t>
      </w:r>
      <w:r>
        <w:rPr>
          <w:rFonts w:eastAsia="Times New Roman" w:cs="Times New Roman"/>
          <w:b w:val="false"/>
          <w:bCs w:val="false"/>
          <w:i/>
          <w:iCs/>
          <w:sz w:val="24"/>
          <w:szCs w:val="24"/>
        </w:rPr>
        <w:t>https://biblioteca.unisced.edu.mz/</w:t>
      </w:r>
      <w:r>
        <w:rPr>
          <w:rFonts w:eastAsia="Times New Roman" w:cs="Times New Roman"/>
          <w:b w:val="false"/>
          <w:bCs w:val="false"/>
          <w:i w:val="false"/>
          <w:iCs w:val="false"/>
          <w:sz w:val="24"/>
          <w:szCs w:val="24"/>
        </w:rPr>
        <w:t>. Acesso em: 14 ago. 2025.</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RUA, Maria das Graças. Análise de políticas públicas: conceitos básicos. Washington: Indes/BID, 1997. Mimeo. Disponível em: </w:t>
      </w:r>
      <w:r>
        <w:rPr>
          <w:rFonts w:eastAsia="Times New Roman" w:cs="Times New Roman"/>
          <w:b w:val="false"/>
          <w:bCs w:val="false"/>
          <w:i/>
          <w:iCs/>
          <w:sz w:val="24"/>
          <w:szCs w:val="24"/>
        </w:rPr>
        <w:t>https://repositorio.enap.gov.br/bitstream/1/1265/1/cppv2_0302_gracas.pdf</w:t>
      </w:r>
      <w:r>
        <w:rPr>
          <w:rFonts w:eastAsia="Times New Roman" w:cs="Times New Roman"/>
          <w:b w:val="false"/>
          <w:bCs w:val="false"/>
          <w:i w:val="false"/>
          <w:iCs w:val="false"/>
          <w:sz w:val="24"/>
          <w:szCs w:val="24"/>
        </w:rPr>
        <w:t>. Acesso em: fev. 2026.</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SOUZA, Celina. "Estado da arte" da área de políticas públicas: conceitos e principais tipologias. In: ENCONTRO ANUAL DA ASSOCIAÇÃO NACIONAL DE PÓS-GRADUAÇÃO E PESQUISA EM CIÊNCIAS SOCIAIS, 27., 2003, Caxambu. </w:t>
      </w:r>
      <w:r>
        <w:rPr>
          <w:rFonts w:eastAsia="Times New Roman" w:cs="Times New Roman"/>
          <w:b/>
          <w:bCs/>
          <w:i w:val="false"/>
          <w:iCs w:val="false"/>
          <w:sz w:val="24"/>
          <w:szCs w:val="24"/>
        </w:rPr>
        <w:t>Anais...</w:t>
      </w:r>
      <w:r>
        <w:rPr>
          <w:rFonts w:eastAsia="Times New Roman" w:cs="Times New Roman"/>
          <w:b w:val="false"/>
          <w:bCs w:val="false"/>
          <w:i w:val="false"/>
          <w:iCs w:val="false"/>
          <w:sz w:val="24"/>
          <w:szCs w:val="24"/>
        </w:rPr>
        <w:t xml:space="preserve"> Caxambu: ANPOCS, 2003.</w:t>
      </w:r>
    </w:p>
    <w:p>
      <w:pPr>
        <w:pStyle w:val="Normal"/>
        <w:spacing w:lineRule="auto" w:line="240" w:before="0" w:after="0"/>
        <w:jc w:val="both"/>
        <w:rPr/>
      </w:pPr>
      <w:r>
        <w:rPr/>
      </w:r>
    </w:p>
    <w:p>
      <w:pPr>
        <w:pStyle w:val="Normal"/>
        <w:spacing w:lineRule="auto" w:line="240" w:before="0" w:after="0"/>
        <w:jc w:val="start"/>
        <w:rPr/>
      </w:pPr>
      <w:r>
        <w:rPr>
          <w:rFonts w:eastAsia="Times New Roman" w:cs="Times New Roman"/>
          <w:b w:val="false"/>
          <w:bCs w:val="false"/>
          <w:i w:val="false"/>
          <w:iCs w:val="false"/>
          <w:sz w:val="24"/>
          <w:szCs w:val="24"/>
        </w:rPr>
        <w:t xml:space="preserve">WEBER, Max. </w:t>
      </w:r>
      <w:r>
        <w:rPr>
          <w:rFonts w:eastAsia="Times New Roman" w:cs="Times New Roman"/>
          <w:b/>
          <w:bCs/>
          <w:i w:val="false"/>
          <w:iCs w:val="false"/>
          <w:sz w:val="24"/>
          <w:szCs w:val="24"/>
        </w:rPr>
        <w:t>Economia e sociedade:</w:t>
      </w:r>
      <w:r>
        <w:rPr>
          <w:rFonts w:eastAsia="Times New Roman" w:cs="Times New Roman"/>
          <w:b w:val="false"/>
          <w:bCs w:val="false"/>
          <w:i w:val="false"/>
          <w:iCs w:val="false"/>
          <w:sz w:val="24"/>
          <w:szCs w:val="24"/>
        </w:rPr>
        <w:t xml:space="preserve"> fundamentos da sociologia compreensiva. Tradução de Régis Barbosa e Karen Elsabe Barbosa; revisão técnica de Gabriel Cohn. v. 1. Brasília: Editora Universidade de Brasília, 1991. p. 33-34, 139-142.</w:t>
      </w:r>
    </w:p>
    <w:sectPr>
      <w:headerReference w:type="even" r:id="rId3"/>
      <w:headerReference w:type="default" r:id="rId4"/>
      <w:headerReference w:type="first" r:id="rId5"/>
      <w:type w:val="nextPage"/>
      <w:pgSz w:w="11906" w:h="16838"/>
      <w:pgMar w:left="1701" w:right="1134" w:gutter="0" w:header="708" w:top="170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jc w:val="center"/>
      <w:rPr/>
    </w:pPr>
    <w:r>
      <w:rPr/>
      <w:drawing>
        <wp:inline distT="0" distB="0" distL="0" distR="0">
          <wp:extent cx="5762625" cy="134302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5762625" cy="1343025"/>
                  </a:xfrm>
                  <a:prstGeom prst="rect">
                    <a:avLst/>
                  </a:prstGeom>
                  <a:noFill/>
                </pic:spPr>
              </pic:pic>
            </a:graphicData>
          </a:graphic>
        </wp:inline>
      </w:drawing>
    </w:r>
  </w:p>
  <w:p>
    <w:pPr>
      <w:pStyle w:val="Normal"/>
      <w:spacing w:lineRule="auto" w:line="240" w:before="0" w:after="0"/>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jc w:val="center"/>
      <w:rPr/>
    </w:pPr>
    <w:r>
      <w:rPr/>
      <w:drawing>
        <wp:inline distT="0" distB="0" distL="0" distR="0">
          <wp:extent cx="5762625" cy="134302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5762625" cy="1343025"/>
                  </a:xfrm>
                  <a:prstGeom prst="rect">
                    <a:avLst/>
                  </a:prstGeom>
                  <a:noFill/>
                </pic:spPr>
              </pic:pic>
            </a:graphicData>
          </a:graphic>
        </wp:inline>
      </w:drawing>
    </w:r>
  </w:p>
  <w:p>
    <w:pPr>
      <w:pStyle w:val="Normal"/>
      <w:spacing w:lineRule="auto" w:line="240" w:before="0" w:after="0"/>
      <w:jc w:val="both"/>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Noto Sans Devanagari"/>
        <w:lang w:val="pt-BR" w:eastAsia="zh-CN" w:bidi="hi-IN"/>
      </w:rPr>
    </w:rPrDefault>
    <w:pPrDefault>
      <w:pPr>
        <w:suppressAutoHyphens w:val="true"/>
      </w:pPr>
    </w:pPrDefault>
  </w:docDefaults>
  <w:style w:type="paragraph" w:styleId="Normal">
    <w:name w:val="Normal"/>
    <w:qFormat/>
    <w:pPr>
      <w:widowControl/>
      <w:bidi w:val="0"/>
      <w:spacing w:before="0" w:after="0"/>
      <w:jc w:val="start"/>
    </w:pPr>
    <w:rPr>
      <w:rFonts w:ascii="Times New Roman" w:hAnsi="Times New Roman" w:eastAsia="Noto Serif CJK SC" w:cs="Noto Sans Devanagari"/>
      <w:color w:val="auto"/>
      <w:kern w:val="0"/>
      <w:sz w:val="20"/>
      <w:szCs w:val="20"/>
      <w:lang w:val="pt-BR" w:eastAsia="zh-CN" w:bidi="hi-IN"/>
    </w:rPr>
  </w:style>
  <w:style w:type="paragraph" w:styleId="Heading1">
    <w:name w:val="heading 1"/>
    <w:basedOn w:val="Ttulo"/>
    <w:qFormat/>
    <w:pPr/>
    <w:rPr>
      <w:color w:val="2E74B5"/>
      <w:sz w:val="32"/>
      <w:szCs w:val="32"/>
    </w:rPr>
  </w:style>
  <w:style w:type="paragraph" w:styleId="Heading2">
    <w:name w:val="heading 2"/>
    <w:basedOn w:val="Ttulo"/>
    <w:qFormat/>
    <w:pPr/>
    <w:rPr>
      <w:color w:val="2E74B5"/>
      <w:sz w:val="26"/>
      <w:szCs w:val="26"/>
    </w:rPr>
  </w:style>
  <w:style w:type="paragraph" w:styleId="Heading3">
    <w:name w:val="heading 3"/>
    <w:basedOn w:val="Ttulo"/>
    <w:qFormat/>
    <w:pPr/>
    <w:rPr>
      <w:color w:val="1F4D78"/>
      <w:sz w:val="24"/>
      <w:szCs w:val="24"/>
    </w:rPr>
  </w:style>
  <w:style w:type="paragraph" w:styleId="Heading4">
    <w:name w:val="heading 4"/>
    <w:basedOn w:val="Ttulo"/>
    <w:qFormat/>
    <w:pPr/>
    <w:rPr>
      <w:i/>
      <w:iCs/>
      <w:color w:val="2E74B5"/>
    </w:rPr>
  </w:style>
  <w:style w:type="paragraph" w:styleId="Heading5">
    <w:name w:val="heading 5"/>
    <w:basedOn w:val="Ttulo"/>
    <w:qFormat/>
    <w:pPr/>
    <w:rPr>
      <w:color w:val="2E74B5"/>
    </w:rPr>
  </w:style>
  <w:style w:type="paragraph" w:styleId="Heading6">
    <w:name w:val="heading 6"/>
    <w:basedOn w:val="Ttulo"/>
    <w:qFormat/>
    <w:pPr/>
    <w:rPr>
      <w:color w:val="1F4D78"/>
    </w:rPr>
  </w:style>
  <w:style w:type="character" w:styleId="Hyperlink">
    <w:name w:val="Hyperlink"/>
    <w:uiPriority w:val="99"/>
    <w:unhideWhenUsed/>
    <w:rPr>
      <w:color w:val="0563C1"/>
      <w:u w:val="single"/>
    </w:rPr>
  </w:style>
  <w:style w:type="character" w:styleId="Caracteresdenotaderodap">
    <w:name w:val="Caracteres de nota de rodapé"/>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cteresdenotadefim">
    <w:name w:val="Caracteres de nota de fim"/>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Title">
    <w:name w:val="Title"/>
    <w:basedOn w:val="Ttulo"/>
    <w:qFormat/>
    <w:pPr/>
    <w:rPr>
      <w:sz w:val="56"/>
      <w:szCs w:val="56"/>
    </w:rPr>
  </w:style>
  <w:style w:type="paragraph" w:styleId="StrongEmphasis">
    <w:name w:val="Strong Emphasis"/>
    <w:qFormat/>
    <w:pPr>
      <w:widowControl/>
      <w:bidi w:val="0"/>
      <w:spacing w:before="0" w:after="0"/>
      <w:jc w:val="start"/>
    </w:pPr>
    <w:rPr>
      <w:rFonts w:ascii="Times New Roman" w:hAnsi="Times New Roman" w:eastAsia="Noto Serif CJK SC" w:cs="Noto Sans Devanagari"/>
      <w:b/>
      <w:bCs/>
      <w:color w:val="auto"/>
      <w:kern w:val="0"/>
      <w:sz w:val="20"/>
      <w:szCs w:val="20"/>
      <w:lang w:val="pt-BR" w:eastAsia="zh-CN" w:bidi="hi-IN"/>
    </w:rPr>
  </w:style>
  <w:style w:type="paragraph" w:styleId="ListParagraph">
    <w:name w:val="List Paragraph"/>
    <w:qFormat/>
    <w:pPr>
      <w:widowControl/>
      <w:bidi w:val="0"/>
      <w:spacing w:before="0" w:after="0"/>
      <w:jc w:val="start"/>
    </w:pPr>
    <w:rPr>
      <w:rFonts w:ascii="Times New Roman" w:hAnsi="Times New Roman" w:eastAsia="Noto Serif CJK SC" w:cs="Noto Sans Devanagari"/>
      <w:color w:val="auto"/>
      <w:kern w:val="0"/>
      <w:sz w:val="20"/>
      <w:szCs w:val="20"/>
      <w:lang w:val="pt-BR"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Cabealhoerodap">
    <w:name w:val="Cabeçalho e rodapé"/>
    <w:basedOn w:val="Normal"/>
    <w:qFormat/>
    <w:pPr/>
    <w:rPr/>
  </w:style>
  <w:style w:type="paragraph" w:styleId="Header">
    <w:name w:val="header"/>
    <w:basedOn w:val="Cabealhoerodap"/>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ouzasantosthais955@gmail.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LibreOffice/26.2.2.2$Linux_X86_64 LibreOffice_project/620$Build-2</Application>
  <AppVersion>15.0000</AppVersion>
  <Pages>4</Pages>
  <Words>1561</Words>
  <Characters>8879</Characters>
  <CharactersWithSpaces>10387</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2026-04-29T20:45:14Z</dcterms:created>
  <dc:creator>Un-named</dc:creator>
  <dc:description/>
  <dc:language>pt-BR</dc:language>
  <cp:lastModifiedBy/>
  <dcterms:modified xsi:type="dcterms:W3CDTF">2026-04-29T18:15:31Z</dcterms:modified>
  <cp:revision>2</cp:revision>
  <dc:subject/>
  <dc:title/>
</cp:coreProperties>
</file>