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7620</wp:posOffset>
            </wp:positionH>
            <wp:positionV relativeFrom="page">
              <wp:posOffset>7620</wp:posOffset>
            </wp:positionV>
            <wp:extent cx="7562850" cy="2085975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866" r="8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Cadernetas Agroecológicas &amp; Mulheres Quilombolas: Revelações sobre o valor monetário do trabalho de agricultoras em conflito com a mineração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hanging="2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Ana Alice França da Silva Gomes</w:t>
      </w:r>
      <w:r w:rsidDel="00000000" w:rsidR="00000000" w:rsidRPr="00000000">
        <w:rPr>
          <w:rFonts w:ascii="Avenir" w:cs="Avenir" w:eastAsia="Avenir" w:hAnsi="Avenir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hanging="2"/>
        <w:jc w:val="center"/>
        <w:rPr>
          <w:rFonts w:ascii="Avenir" w:cs="Avenir" w:eastAsia="Avenir" w:hAnsi="Avenir"/>
          <w:sz w:val="24"/>
          <w:szCs w:val="24"/>
          <w:vertAlign w:val="superscript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Ivana Cristina Lovo</w:t>
      </w:r>
      <w:r w:rsidDel="00000000" w:rsidR="00000000" w:rsidRPr="00000000">
        <w:rPr>
          <w:rFonts w:ascii="Avenir" w:cs="Avenir" w:eastAsia="Avenir" w:hAnsi="Avenir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2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Nadja Maria Gomes Murta</w:t>
      </w:r>
      <w:r w:rsidDel="00000000" w:rsidR="00000000" w:rsidRPr="00000000">
        <w:rPr>
          <w:rFonts w:ascii="Avenir" w:cs="Avenir" w:eastAsia="Avenir" w:hAnsi="Avenir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2"/>
        <w:rPr>
          <w:rFonts w:ascii="Avenir" w:cs="Avenir" w:eastAsia="Avenir" w:hAnsi="Avenir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GT 4: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Re-existências e emergências: as práticas solidárias e transformadoras das mulheres do campo, das florestas e das águas num mundo de crises.</w:t>
      </w:r>
    </w:p>
    <w:p w:rsidR="00000000" w:rsidDel="00000000" w:rsidP="00000000" w:rsidRDefault="00000000" w:rsidRPr="00000000" w14:paraId="0000000F">
      <w:pPr>
        <w:tabs>
          <w:tab w:val="left" w:leader="none" w:pos="3544"/>
        </w:tabs>
        <w:spacing w:line="360" w:lineRule="auto"/>
        <w:ind w:hanging="2"/>
        <w:jc w:val="center"/>
        <w:rPr>
          <w:rFonts w:ascii="Avenir" w:cs="Avenir" w:eastAsia="Avenir" w:hAnsi="Avenir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hanging="2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RESUMO </w:t>
      </w:r>
    </w:p>
    <w:p w:rsidR="00000000" w:rsidDel="00000000" w:rsidP="00000000" w:rsidRDefault="00000000" w:rsidRPr="00000000" w14:paraId="00000011">
      <w:pPr>
        <w:ind w:right="19"/>
        <w:jc w:val="both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 trabalho apresenta resultados de pesquisa em interface com a extensão, caracterizada por ser uma pesquisa-ação emancipatória. Foram envolvidas 23 mulheres rurais (agricultoras, camponesas, quilombolas) moradoras de comunidades em conflito com empreendimentos minerários, nos municípios do Serro, Conceição do Mato Dentro, Dom Joaquim e Alvorada de Minas, Minas Gerais. Para a coleta de informações foram utilizadas cadernetas agroecológicas. Os resultados correspondem às anotações feitas pelas mulheres de junho/2021 a junho/2022  e revelam rendas mensuradas em um total de R$85.066,39. Sendo R$35.133,72 de consumo, R$10.953,07 doação, R$730,00 em troca e R$38.249,60 em vendas. Os resultados demonstram que há diferenças entre as comunidades no que se refere à auto organização das mulheres, o que impacta diretamente no acesso a políticas públicas de ATER e venda institucional. Destaca-se a contribuição das Cadernetas na formação das mulheres, incluindo a tomada de consciência sobre suas realidades, com reflexos na auto estima delas, como revela a fala de uma participante: “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Antes a gente não sabia o que era o pingar do nosso suor, o valor da gota de suor. A gente trabalhava no escuro”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Destaca-se que a pesquisa aqui relatada é a primeira experiência de aplicação das Cadernetas Agroecológicas no contexto da Bacia do Rio Jequitinhonha e os resultados alcançados corroboram com os de outras experiências com a aplicação dessa ferramenta.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ind w:right="800"/>
        <w:jc w:val="both"/>
        <w:rPr>
          <w:rFonts w:ascii="Avenir" w:cs="Avenir" w:eastAsia="Avenir" w:hAnsi="Avenir"/>
          <w:color w:val="ff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caderneta agroecológica, mulheres quilombolas, trabalho das mulheres.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4">
      <w:pPr>
        <w:spacing w:line="360" w:lineRule="auto"/>
        <w:ind w:right="16"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Com inspiração nos resultados de experiências com o uso da Caderneta Agroecológica em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diversos estados brasileiros (WEITZMAN et. al., 2020; RODY e TELLES, 2021), a partir de projetos que envolveram movimentos sociais, grupos de mulheres, associações rurais, cooperativas e sindicatos de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trabalhadores/as rurais com apoio de assessorias técnicas de entidades do campo agroecológico,  e diante de transformações socioambientais e violações de direitos humanos (MILANEZ et al. 2018) provocados por empreendimentos minerários na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região do Médio Espinhaço, em específico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a região que abrange parte dos municípios do Alto da bacia do Rio Jequitinhonha e da bacia do Rio Doce, foi viabilizada experiência com as Cadernetas Agroecológicas junto à mulheres quilombolas em conflito com empreendimentos minerários nos municípios de Conceição do Mato Dentro, Dom Joaquim, Alvorada de Minas e Serro, no estado de Minas Gerais.</w:t>
      </w:r>
    </w:p>
    <w:p w:rsidR="00000000" w:rsidDel="00000000" w:rsidP="00000000" w:rsidRDefault="00000000" w:rsidRPr="00000000" w14:paraId="00000015">
      <w:pPr>
        <w:spacing w:line="360" w:lineRule="auto"/>
        <w:ind w:right="16"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Essa experiência foi iniciada em 2021, a partir de projeto de extensão universitária (Edital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Pibexc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/Proexc/UFVJM) e envolveu estudantes da Licenciatura em Educação do Campo-LEC/UFVJM e de Agronomia do Instituto Federal de Minas Gerais, provenientes das mesmas regiões e comunidades camponesas de origem das mulheres. O projeto de extensão fomentou a interface com a pesquisa,  formalizada em projeto aprovado no Edital CICT 004-2021 PIBIC FAPEMIG, que focou a sistematização e análise dos dados, e possibilitou envolver estudante bolsista da área da Geografia, entre outros estudantes da LEC, provenientes de outras regiões do Vale do Jequitinhonha e Norte de Minas, que contribuíram com a digitalização dos dados das Cadernetas, em um diálogo com  a unidade curricular Estatística aplicada ao Campo (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LECCN110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).  </w:t>
      </w:r>
    </w:p>
    <w:p w:rsidR="00000000" w:rsidDel="00000000" w:rsidP="00000000" w:rsidRDefault="00000000" w:rsidRPr="00000000" w14:paraId="00000016">
      <w:pPr>
        <w:spacing w:line="360" w:lineRule="auto"/>
        <w:ind w:left="0" w:right="16" w:firstLine="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ab/>
        <w:t xml:space="preserve">Destaca-se que essa experiência de extensão e pesquisa traz como referencial a crítica Freireana sobre extensão (FREIRE, 1983), e se inspira nas experiências agroecológicas relacionadas à educação popular. Está também em sintonia com a Resolução nº 7/2018, que estabelece as Diretrizes para a Extensão na Educação Superior Brasileira, com destaque para a definição expressa no  Art. 3º: </w:t>
      </w:r>
    </w:p>
    <w:p w:rsidR="00000000" w:rsidDel="00000000" w:rsidP="00000000" w:rsidRDefault="00000000" w:rsidRPr="00000000" w14:paraId="00000017">
      <w:pPr>
        <w:spacing w:line="240" w:lineRule="auto"/>
        <w:ind w:left="2267.716535433071" w:right="16" w:firstLine="0"/>
        <w:jc w:val="both"/>
        <w:rPr>
          <w:rFonts w:ascii="Avenir" w:cs="Avenir" w:eastAsia="Avenir" w:hAnsi="Avenir"/>
          <w:color w:val="000009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9"/>
          <w:sz w:val="20"/>
          <w:szCs w:val="20"/>
          <w:rtl w:val="0"/>
        </w:rPr>
        <w:t xml:space="preserve">A Extensão na Educação Superior Brasileira é a atividade que se integra à matriz curricular e à organização da pesquisa, constituindo-se em processo interdisciplinar, político educacional, cultural, científico, tecnológico, que promove a interação transformadora entre as instituições de ensino superior e os outros setores da sociedade, por meio da produção e da aplicação do conhecimento, em articulação permanente com o ensino </w:t>
      </w:r>
      <w:r w:rsidDel="00000000" w:rsidR="00000000" w:rsidRPr="00000000">
        <w:rPr>
          <w:rFonts w:ascii="Avenir" w:cs="Avenir" w:eastAsia="Avenir" w:hAnsi="Avenir"/>
          <w:color w:val="000009"/>
          <w:sz w:val="20"/>
          <w:szCs w:val="20"/>
          <w:rtl w:val="0"/>
        </w:rPr>
        <w:t xml:space="preserve">e a</w:t>
      </w:r>
      <w:r w:rsidDel="00000000" w:rsidR="00000000" w:rsidRPr="00000000">
        <w:rPr>
          <w:rFonts w:ascii="Avenir" w:cs="Avenir" w:eastAsia="Avenir" w:hAnsi="Avenir"/>
          <w:color w:val="000009"/>
          <w:sz w:val="20"/>
          <w:szCs w:val="20"/>
          <w:rtl w:val="0"/>
        </w:rPr>
        <w:t xml:space="preserve"> pesquisa. (BRASIL/MEC/CNE/CES, 2018, p. 1). </w:t>
      </w:r>
    </w:p>
    <w:p w:rsidR="00000000" w:rsidDel="00000000" w:rsidP="00000000" w:rsidRDefault="00000000" w:rsidRPr="00000000" w14:paraId="00000018">
      <w:pPr>
        <w:spacing w:before="200" w:line="360" w:lineRule="auto"/>
        <w:ind w:right="16"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Trata-se de uma experiência pioneira com o uso das Cadernetas no contexto de articular o ensino-pesquisa-extensão, em nível de graduação,  que incorpora processos formativos integrados à realidade, em uma práxis dialógica, tendo como eixo estruturante a realidade de conflitos e as estratégias de resistências que articula o trabalho de mulheres quilombolas e camponesas. Faz-se importante destacar que essa dialogicidade só foi possível a partir da parceria com o Movimento pela Soberania Popular na Mineração (MAM), que facilitou a mobilização e o acompanhamento das mulheres em suas comunidades. Esse contexto corrobora com o que Arroyo (2015) indica sobre os movimentos sociais e a construção de outros currículos e, também, com o que o Art. 5º da resolução supracitada, que indica as concepções que estruturam a prática para as diretrizes da extensão na educação superior, como por exemplo o que traz o seu inciso I “a interação dialógica da comunidade acadêmica com a sociedade por meio da troca de conhecimentos, da participação e do contato com as questões complexas contemporâneas presentes no contexto social” entre outros (BRASIL/MEC/CNE/CES, 2018, p. 2). </w:t>
      </w:r>
    </w:p>
    <w:p w:rsidR="00000000" w:rsidDel="00000000" w:rsidP="00000000" w:rsidRDefault="00000000" w:rsidRPr="00000000" w14:paraId="00000019">
      <w:pPr>
        <w:spacing w:line="360" w:lineRule="auto"/>
        <w:ind w:right="16"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Milanez </w:t>
      </w:r>
      <w:r w:rsidDel="00000000" w:rsidR="00000000" w:rsidRPr="00000000">
        <w:rPr>
          <w:rFonts w:ascii="Avenir" w:cs="Avenir" w:eastAsia="Avenir" w:hAnsi="Avenir"/>
          <w:i w:val="1"/>
          <w:color w:val="000009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. (2018) destacam que a chegada do empreendimento Minas-Rio (</w:t>
      </w:r>
      <w:r w:rsidDel="00000000" w:rsidR="00000000" w:rsidRPr="00000000">
        <w:rPr>
          <w:rFonts w:ascii="Avenir" w:cs="Avenir" w:eastAsia="Avenir" w:hAnsi="Avenir"/>
          <w:i w:val="1"/>
          <w:color w:val="000009"/>
          <w:sz w:val="24"/>
          <w:szCs w:val="24"/>
          <w:rtl w:val="0"/>
        </w:rPr>
        <w:t xml:space="preserve">Anglo American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) em Conceição do Mato Dentro, Alvorada de Minas e Dom Joaquim - Minas Gerais, municípios que tinham como principais atividades o turismo e a agricultura familiar, provocou profundas mudanças na vida da população, principalmente das comunidades rurais localizadas no entorno da mina, marcadas pela desterritorialização, violações de direitos, desestruturação dos laços comunitários e modos de vida, aumento dos índices de violência, sobretudo contra as mulheres, insegurança, falta de água e piora das condições de vida. Os danos sobre os recursos hídricos e a perda de áreas de cultivo, que hoje são terras de propriedade da mineradora, são alguns dos fatores que levaram à redução das atividades agrícolas praticadas por essas comunidades e com consequente redução da segurança alimentar e nutricional dessas populações. Essa realidade se aproxima do município do Serro, com a  proposta de expansão minerária pelo Projeto Serro (</w:t>
      </w:r>
      <w:r w:rsidDel="00000000" w:rsidR="00000000" w:rsidRPr="00000000">
        <w:rPr>
          <w:rFonts w:ascii="Avenir" w:cs="Avenir" w:eastAsia="Avenir" w:hAnsi="Avenir"/>
          <w:i w:val="1"/>
          <w:color w:val="000009"/>
          <w:sz w:val="24"/>
          <w:szCs w:val="24"/>
          <w:rtl w:val="0"/>
        </w:rPr>
        <w:t xml:space="preserve">Herculano Mineração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) e Projeto Céu Aberto (</w:t>
      </w:r>
      <w:r w:rsidDel="00000000" w:rsidR="00000000" w:rsidRPr="00000000">
        <w:rPr>
          <w:rFonts w:ascii="Avenir" w:cs="Avenir" w:eastAsia="Avenir" w:hAnsi="Avenir"/>
          <w:i w:val="1"/>
          <w:color w:val="000009"/>
          <w:sz w:val="24"/>
          <w:szCs w:val="24"/>
          <w:rtl w:val="0"/>
        </w:rPr>
        <w:t xml:space="preserve">Onix Mineração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), como aponta Geisler (2018), outro conflito ligado à expansão da mineração no Médio Espinhaço.</w:t>
      </w:r>
    </w:p>
    <w:p w:rsidR="00000000" w:rsidDel="00000000" w:rsidP="00000000" w:rsidRDefault="00000000" w:rsidRPr="00000000" w14:paraId="0000001A">
      <w:pPr>
        <w:spacing w:line="360" w:lineRule="auto"/>
        <w:ind w:right="16"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Agregado a esse contexto de violências e perda de direitos, destaca-se a divisão sexual do trabalho, que estabelece o papel das mulheres na sociedade como responsáveis pelo trabalho doméstico e de cuidados, faz com que recaia sobre as mulheres a sobrecarga de trabalho gerada pela piora das condições de vida nas comunidades afetadas pela mineração. Essa realidade é invisibilizada, seja pelas relações patriarcais que estruturam a sociedade, seja pelas diversas estratégias adotadas pelas mineradoras de silenciamento das comunidades e ocultamento dos danos provocados nos territórios. Apesar de poucos estudos no Brasil se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debruçarem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 sobre a realidade das mulheres no contexto da mineração, a maioria deles apontam para um protagonismo dessas nas ações de mobilização e organização social que buscam garantir direitos e a reparação dos danos provocados pelas mineradoras (COELHO, 2019; IBASE, 2017; MONTEIRO, 2016; FREITAS, 2016).</w:t>
      </w:r>
    </w:p>
    <w:p w:rsidR="00000000" w:rsidDel="00000000" w:rsidP="00000000" w:rsidRDefault="00000000" w:rsidRPr="00000000" w14:paraId="0000001B">
      <w:pPr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Diante desse contexto e do entendimento das Cadernetas Agroecológicas como um instrumento político-pedagógico, a partir do que está explícito em CTA-ZM (2018, p.8), “o uso das cadernetas como ferramenta de ”[...] formação, reflexão e ação na busca da autonomia das mulheres [...]”, o objetivo da pesquisa foi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caracterizar o trabalho e 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agrosociobiodiversidade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manejada por mulheres agricultoras, camponesas e quilombolas dos municípios citados anteriormente, que se encontram em realidade de conflitos com a mineração, tendo como instrumento de coleta de dados, a Caderneta agroecológica. </w:t>
      </w:r>
    </w:p>
    <w:p w:rsidR="00000000" w:rsidDel="00000000" w:rsidP="00000000" w:rsidRDefault="00000000" w:rsidRPr="00000000" w14:paraId="0000001C">
      <w:pPr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Neste artigo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optamos em apresentar os resultados relacionados à caracterização das comunidades e os valores em espécie revelados a partir das anotações nas cadernetas.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Assim, apresentamos a seguir, como se desenvolveu a interlocução entre extensão e pesquisa e os resultados,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com foco na análise das anotações nas Cadernetas ocorridas entre junho de 2021 e junho de 2022, por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highlight w:val="white"/>
          <w:rtl w:val="0"/>
        </w:rPr>
        <w:t xml:space="preserve">24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 mulheres participantes.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DESENVOLVIMENTO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ind w:firstLine="709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 pesquisa-ação pode ser definida como o estudo de uma situação social com vistas a melhorar a qualidade da ação dentro dela. Segundo Tripp (2005, p.458) a pesquisa-ação emancipatória, tem como meta explícita mudar o </w:t>
      </w:r>
      <w:r w:rsidDel="00000000" w:rsidR="00000000" w:rsidRPr="00000000">
        <w:rPr>
          <w:rFonts w:ascii="Avenir" w:cs="Avenir" w:eastAsia="Avenir" w:hAnsi="Avenir"/>
          <w:i w:val="1"/>
          <w:color w:val="000000"/>
          <w:sz w:val="24"/>
          <w:szCs w:val="24"/>
          <w:rtl w:val="0"/>
        </w:rPr>
        <w:t xml:space="preserve">status quo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não só para si mesmo e para suas companheiras/os mais próximas/os, mas de mudá-lo numa escala mais ampla, incluindo o grupo social como um todo.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 interface com a extensão se efetivou com os projetos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selecionados em dois editais Pibexc (01/202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e 01/202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) da Proexc/UFVJM, denominado “Mulheres Camponesas &amp; Cadernetas Agroecológicas: desvelando trabalho e resistência aos grandes projetos de desenvolvimento”, protocolo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Siexc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202210122239166 e  2021101202113166. Essa interface agregou e otimizou recursos e as condições de realização das atividades previstas a partir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das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fases da pesquisa-ação, incluindo as condições especiais de isolamento social, geradas pela pandemia d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Covid-19.  O Projeto foi submetido ao Comitê Ética Pesquisa CEP - UFVJM,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sendo sua aprovação registrada no Parecer no 5.413.802.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Participaram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da pesquisa, 23 mulheres com idade igual ou superior a 18 anos, moradoras dos municípios: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Serro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Comunidades Córrego da Gameleira, Quilombo de Queimadas e Quilombo do Ausente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; 2)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Conceição do Mato Dentro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Comunidade Passa Sete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; 3)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Dom Joaquim: comunidade Cacho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eira; 4)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Alvorada de Minas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Comunidade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de Ribeirão de Trás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Na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Figura 1 está demonstrada a localização dos respectivos municípios. </w:t>
      </w:r>
    </w:p>
    <w:p w:rsidR="00000000" w:rsidDel="00000000" w:rsidP="00000000" w:rsidRDefault="00000000" w:rsidRPr="00000000" w14:paraId="00000022">
      <w:pPr>
        <w:widowControl w:val="1"/>
        <w:spacing w:line="240" w:lineRule="auto"/>
        <w:ind w:left="0" w:right="16" w:firstLine="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Figura 1: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Municípios participantes dos projetos de extensão e pesquisa sobre Cadernetas Agroecológicas nas regiões do Vale Jequitinhonha e Rio Doce. </w:t>
      </w:r>
    </w:p>
    <w:p w:rsidR="00000000" w:rsidDel="00000000" w:rsidP="00000000" w:rsidRDefault="00000000" w:rsidRPr="00000000" w14:paraId="00000023">
      <w:pPr>
        <w:widowControl w:val="1"/>
        <w:spacing w:line="240" w:lineRule="auto"/>
        <w:ind w:left="0" w:right="16" w:firstLine="0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</w:rPr>
        <w:drawing>
          <wp:inline distB="114300" distT="114300" distL="114300" distR="114300">
            <wp:extent cx="4746788" cy="3359681"/>
            <wp:effectExtent b="12700" l="12700" r="12700" t="1270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6788" cy="335968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40" w:lineRule="auto"/>
        <w:ind w:right="16" w:firstLine="0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Fonte: Elaboração própria. 2023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1"/>
        <w:spacing w:line="240" w:lineRule="auto"/>
        <w:ind w:right="16" w:firstLine="0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As mulheres foram selecionadas partir do critério de seleção por conveniência (não amostral), ou seja, participaram aquelas se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aceitaram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formalizar o Termo de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Consentimento Livre e Esclarecido (TCLE)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que se deu a partir da visita das pesquisadoras aos domicílios das mulheres, respeitando as normas de segurança necessárias para o cenário pand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êmico da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Covid-19. </w:t>
      </w:r>
    </w:p>
    <w:p w:rsidR="00000000" w:rsidDel="00000000" w:rsidP="00000000" w:rsidRDefault="00000000" w:rsidRPr="00000000" w14:paraId="00000027">
      <w:pPr>
        <w:widowControl w:val="1"/>
        <w:spacing w:line="360" w:lineRule="auto"/>
        <w:ind w:right="16" w:firstLine="709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 percurso da pesquisa foi organizado em duas etapas: 1) Recrutamento  das participantes do projeto de extensão, com distribuição das Cadernetas e orientação sobre o preenchimento das mesmas, sendo também acordada uma data para iniciar a realização da coleta de informações e como as imagens das folhas anotadas seriam enviadas para a coordenação da pesquisa. Nessa visita foram recolhidas as assinaturas do TCLE; 2) Os dados coletados foram enviados à digitadores que transcreveram os mesmos no formato planilha </w:t>
      </w: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rtl w:val="0"/>
        </w:rPr>
        <w:t xml:space="preserve">Excel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e/ou formulário </w:t>
      </w: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rtl w:val="0"/>
        </w:rPr>
        <w:t xml:space="preserve">Google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widowControl w:val="1"/>
        <w:spacing w:line="360" w:lineRule="auto"/>
        <w:ind w:right="16" w:firstLine="709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equipe de bolsistas (extensão e pesquisa) 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voluntárias/os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da LEC/UFVJM), apoiaram na mobilização, acompanhamento e na sistematização das informações, que se concretizou no banco de dados da pesquisa. Essa equipe foi capacitada para compreender a Caderneta, enquanto instrumento de formação e de pesquisa, assim como para se apropriarem sobre a confecção de planilhas de banco de dados. </w:t>
      </w:r>
    </w:p>
    <w:p w:rsidR="00000000" w:rsidDel="00000000" w:rsidP="00000000" w:rsidRDefault="00000000" w:rsidRPr="00000000" w14:paraId="00000029">
      <w:pPr>
        <w:widowControl w:val="1"/>
        <w:spacing w:line="360" w:lineRule="auto"/>
        <w:ind w:right="16" w:firstLine="709"/>
        <w:jc w:val="both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ada página da Caderneta Agroecológica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é composta por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quatro colunas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onde os alimentos cultivados e/ou produzidos são anotados diariamente divididos e conforme o seu destino final: autoconsumo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, doação, troca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venda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 É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detalhad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a quantidade e o valor monetário, a partir de valores que as próprias mulheres indicam. A figura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2 apresenta a caderneta, que foi impressa e encadernada no formato de calendário/agenda em tamanho A4, a partir de autorização concedida pelo CTA/ZM. </w:t>
      </w:r>
    </w:p>
    <w:p w:rsidR="00000000" w:rsidDel="00000000" w:rsidP="00000000" w:rsidRDefault="00000000" w:rsidRPr="00000000" w14:paraId="0000002A">
      <w:pPr>
        <w:widowControl w:val="1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Figura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2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: Capa Cad. Agroecológica e página interna Cad. Agroecológica.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</w:rPr>
        <w:drawing>
          <wp:inline distB="0" distT="0" distL="0" distR="0">
            <wp:extent cx="2524125" cy="1790700"/>
            <wp:effectExtent b="0" l="0" r="0" t="0"/>
            <wp:docPr descr="https://lh6.googleusercontent.com/lxQUDHAQqdh9VVt_iDzm3or9TfVKmSiL79gsDZyAVXm7HOQqU0xPQGoqZy-8v3ccpgytuG-3yjhNNhEsA7Cybo6EpLDYYIIDJuCUjkD0v79mxgOlaU5_6IG14Mq9TreqlIkh5103v9ch" id="10" name="image2.png"/>
            <a:graphic>
              <a:graphicData uri="http://schemas.openxmlformats.org/drawingml/2006/picture">
                <pic:pic>
                  <pic:nvPicPr>
                    <pic:cNvPr descr="https://lh6.googleusercontent.com/lxQUDHAQqdh9VVt_iDzm3or9TfVKmSiL79gsDZyAVXm7HOQqU0xPQGoqZy-8v3ccpgytuG-3yjhNNhEsA7Cybo6EpLDYYIIDJuCUjkD0v79mxgOlaU5_6IG14Mq9TreqlIkh5103v9ch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</w:rPr>
        <w:drawing>
          <wp:inline distB="0" distT="0" distL="0" distR="0">
            <wp:extent cx="2524125" cy="1828800"/>
            <wp:effectExtent b="0" l="0" r="0" t="0"/>
            <wp:docPr descr="https://lh6.googleusercontent.com/pmUSNV6KxmNqReZzTD8JUlbnSjiPT0sUZqLbvm5KQn-JCvKU-IzQRv4Npv4WPVrts4CrM1iGY2iozR9HhVhSgVTvWCNFq0G9bB-NgQ0Kke6gPNufxsHUJeANts0r6xsEHy71oc2seXf9" id="9" name="image4.png"/>
            <a:graphic>
              <a:graphicData uri="http://schemas.openxmlformats.org/drawingml/2006/picture">
                <pic:pic>
                  <pic:nvPicPr>
                    <pic:cNvPr descr="https://lh6.googleusercontent.com/pmUSNV6KxmNqReZzTD8JUlbnSjiPT0sUZqLbvm5KQn-JCvKU-IzQRv4Npv4WPVrts4CrM1iGY2iozR9HhVhSgVTvWCNFq0G9bB-NgQ0Kke6gPNufxsHUJeANts0r6xsEHy71oc2seXf9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jc w:val="center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 Fonte: CTA-ZM 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                                                 </w:t>
      </w:r>
    </w:p>
    <w:p w:rsidR="00000000" w:rsidDel="00000000" w:rsidP="00000000" w:rsidRDefault="00000000" w:rsidRPr="00000000" w14:paraId="0000002D">
      <w:pPr>
        <w:widowControl w:val="1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360" w:lineRule="auto"/>
        <w:ind w:firstLine="709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 Quadro 1 são apresentadas a distribuição das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mulheres segundo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comunidade e município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widowControl w:val="1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4"/>
          <w:szCs w:val="24"/>
          <w:rtl w:val="0"/>
        </w:rPr>
        <w:t xml:space="preserve">Quadro 1 - Mulheres e suas respectivas comunidades</w:t>
      </w:r>
      <w:r w:rsidDel="00000000" w:rsidR="00000000" w:rsidRPr="00000000">
        <w:rPr>
          <w:rtl w:val="0"/>
        </w:rPr>
      </w:r>
    </w:p>
    <w:tbl>
      <w:tblPr>
        <w:tblStyle w:val="Table1"/>
        <w:tblW w:w="6735.0" w:type="dxa"/>
        <w:jc w:val="center"/>
        <w:tblLayout w:type="fixed"/>
        <w:tblLook w:val="0400"/>
      </w:tblPr>
      <w:tblGrid>
        <w:gridCol w:w="2550"/>
        <w:gridCol w:w="2805"/>
        <w:gridCol w:w="1380"/>
        <w:tblGridChange w:id="0">
          <w:tblGrid>
            <w:gridCol w:w="2550"/>
            <w:gridCol w:w="2805"/>
            <w:gridCol w:w="13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Comunidade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Município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Mulheres 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Ribeirão de Trás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Alvorada de Minas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Passa Sete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Conceição do Mato Dentro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Cachoeira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Dom Joaquim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Serro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Córrego da Gameleira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Serro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Queimadas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Serro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048">
      <w:pPr>
        <w:widowControl w:val="1"/>
        <w:ind w:right="16" w:firstLine="425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Fonte: Elaboração própria.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before="200" w:line="360" w:lineRule="auto"/>
        <w:ind w:right="16" w:firstLine="720"/>
        <w:jc w:val="both"/>
        <w:rPr>
          <w:rFonts w:ascii="Avenir" w:cs="Avenir" w:eastAsia="Avenir" w:hAnsi="Avenir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 Gráfico 1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são apresentadas a frequência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das anotações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mensais e p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ercebe-se algumas variações no número de mulheres que efetuaram os registros em cada mês em algumas das comunidades, mas os dados revelam que em média 18 mulheres mantiveram os registros mensais. É importante ressaltar que são mulheres diferentes que deixaram de anotar em cada mês, o que não inviabilizou a participação delas na pesquisa. Além disso, os meses de Agosto e Setembro de 2021 apresentaram um menor número de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mulheres anotando.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ssa situação revela as dificuldades no acompanhamento mensal das mulheres por parte da equipe de pesquisador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es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, situação que foi acentuada pelo isolamento social,  reflexo da pandemia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da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Covid-19. </w:t>
      </w:r>
    </w:p>
    <w:p w:rsidR="00000000" w:rsidDel="00000000" w:rsidP="00000000" w:rsidRDefault="00000000" w:rsidRPr="00000000" w14:paraId="0000004A">
      <w:pPr>
        <w:widowControl w:val="1"/>
        <w:ind w:right="16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right="16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Gráfico 1 - Frequência mensal das anotações nas Cadernetas/Comunidades </w:t>
      </w:r>
    </w:p>
    <w:p w:rsidR="00000000" w:rsidDel="00000000" w:rsidP="00000000" w:rsidRDefault="00000000" w:rsidRPr="00000000" w14:paraId="0000004C">
      <w:pPr>
        <w:widowControl w:val="1"/>
        <w:ind w:right="16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</w:rPr>
        <w:drawing>
          <wp:inline distB="0" distT="0" distL="0" distR="0">
            <wp:extent cx="5242152" cy="3148996"/>
            <wp:effectExtent b="0" l="0" r="0" t="0"/>
            <wp:docPr descr="https://lh5.googleusercontent.com/I-KsxcZ-2kTJolIsdeSxh3IVZTP3E6iyjrlZ3nebH9w7ghI8ojDPQqP5uO5m7Y_cz1gc9Te0jG7cv_-XnlJl4uukwieKyMF1PrC7UtxeNfJb951VlfV7cwlMNyIme94hCkyCxALwVNjA" id="6" name="image1.png"/>
            <a:graphic>
              <a:graphicData uri="http://schemas.openxmlformats.org/drawingml/2006/picture">
                <pic:pic>
                  <pic:nvPicPr>
                    <pic:cNvPr descr="https://lh5.googleusercontent.com/I-KsxcZ-2kTJolIsdeSxh3IVZTP3E6iyjrlZ3nebH9w7ghI8ojDPQqP5uO5m7Y_cz1gc9Te0jG7cv_-XnlJl4uukwieKyMF1PrC7UtxeNfJb951VlfV7cwlMNyIme94hCkyCxALwVNjA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2152" cy="3148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right="16"/>
        <w:jc w:val="center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Fonte: Elaboração própria.2023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before="200"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As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falhas nas anotações mensais revelam, em um pequeno recorte, as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dificuldades enfrentadas rotineiramente por essas mulheres para conseguirem concretizar as anotações, e que são inerentes à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sobrecarga da jornada produtiva e reprodutiva do trabalho e, em algumas situações, revelam a condição de não domínio da língua escrita, o que demanda apoio de membros da família para efetiv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á-las, além de representar mais uma tarefa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a ser desempenhada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O Gráfico 1 revela ainda uma oscilação na frequência das anotações das mulheres de  Queimadas e da Gameleira, o que revela a condição dessas mulheres e de suas comunidades, como será possível perceber nas sistematizações a seguir, em que está descrita, de forma breve, a realidade de suas comunidades. Com essa descrição é possível identificar as que estão mais organizadas em relação ao plantio de alimentos, a auto-organização e ao acesso às políticas públicas. </w:t>
      </w:r>
    </w:p>
    <w:p w:rsidR="00000000" w:rsidDel="00000000" w:rsidP="00000000" w:rsidRDefault="00000000" w:rsidRPr="00000000" w14:paraId="00000050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4"/>
          <w:szCs w:val="24"/>
          <w:rtl w:val="0"/>
        </w:rPr>
        <w:t xml:space="preserve">Revelando um pouco das comunidades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 Comunidade Quilombola de Ausente, que possui certificado da Fundação Cultural Palmares, está situada próxima ao Distrito de Milho Verde, no Serro, e possui cerca de 100 famílias residentes. 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As sete participantes da pesquisa se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organizam no Coletivo Agroecológico e/ou na Associação Comunitária. A partir disso, grande parte de suas produções são voltadas para esses espaços vinculados também a Feiras Agroecológicas, ao Bem Criar,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Programa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de Aquisição de Alimentos e Pr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ograma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Nacional de Alimentação E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scolar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. Há cerca de sete anos são orientadas pela EMATER.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 Comunidade Queimadas é um território também remanescente de quilombo e possui certificação da Fundação Cultural Palmares, localizada no Serro.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e organiza com o (MAM)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e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h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á anos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vive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sob as ameaças da mineração de ferro na região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Mais recentemente, a </w:t>
      </w:r>
      <w:r w:rsidDel="00000000" w:rsidR="00000000" w:rsidRPr="00000000">
        <w:rPr>
          <w:rFonts w:ascii="Avenir" w:cs="Avenir" w:eastAsia="Avenir" w:hAnsi="Avenir"/>
          <w:i w:val="1"/>
          <w:color w:val="000000"/>
          <w:sz w:val="24"/>
          <w:szCs w:val="24"/>
          <w:highlight w:val="white"/>
          <w:rtl w:val="0"/>
        </w:rPr>
        <w:t xml:space="preserve">Herculano Mineração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tomou posse dos ativos minerários da</w:t>
      </w:r>
      <w:r w:rsidDel="00000000" w:rsidR="00000000" w:rsidRPr="00000000">
        <w:rPr>
          <w:rFonts w:ascii="Avenir" w:cs="Avenir" w:eastAsia="Avenir" w:hAnsi="Avenir"/>
          <w:i w:val="1"/>
          <w:color w:val="000000"/>
          <w:sz w:val="24"/>
          <w:szCs w:val="24"/>
          <w:highlight w:val="white"/>
          <w:rtl w:val="0"/>
        </w:rPr>
        <w:t xml:space="preserve"> Anglo American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, tramitando o licenciamento e frequentemente tenta realizar audiências públicas, desrespeitando o direito à consulta livre, prévia e informada da comunidade quilombola. De Queimadas participam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três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mulheres, muito em razão do momento em que a comunidade vivenciava, ainda amedrontada, pela chegada da mineração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. 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final essa comunidade será diretamente afetada pela atividade minerária. Motivo pelo qual poucas mulheres assinaram o TCLE.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 comunidade Córrego da Gameleira, vizinha a comunidade de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Queimadas,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também sofre ameaças de desterritorialização, sendo alvo do discurso de desenvolvimento e geração de emprego e renda para os moradores do entorno a partir da instalação da mineração. É nesse cenário desordenado e de muita resistência que atuamos junto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às cinco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mulheres agricultoras que permanecem na tentativa de garantir saúde às suas famílias, através dos alimentos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cultiva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dos em seus quintais. Inclusive, são conhecidas na região pela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venda porta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a porta.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C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omo já apresentado, a anotação nas cadernetas não é uma tarefa simples, afinal, a maioria das mulheres da comunidade são analfabetas e dependem do esforço de terceiros para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concretizar as anotações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. No último período, algu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ns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jovens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que apoiavam as anotações,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se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deslocar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m para a capital na intenção de trabalhos remunerados e melhores condições de vida,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levando à queda das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anotações. Além disso, há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maior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dificuldade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de nos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comunicarmos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com elas pela falta de acesso a internet ou a uma rede de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Passa Sete é uma comunidade situada no município de Conceição do Mato Dentro e localizada muito próxima das instalações da Anglo American. Desde 2014 a empresa opera no saque de minério de ferro na região, no intitulado Projeto Minas-Rio. É nesse contexto que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uma das participantes,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vive e resiste às diversas violências e a tentativas de sua desterritorialização.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ua residência está situada a cerca de mil metros 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jus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ante da barragem de rejeitos e desde 2014 a comunidade sofre com a falta d’água. A agricultora ainda fala do assoreamento e morte do rio e dos peixes, das nascentes que secaram e da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perda do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laze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. Após muito enfrentamento e luta, a comunidade é abastecida, atualmente, por um caminhão pipa, sem que saibam a procedência e qualidade dessa água.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 Comunidade Quilombola de Cachoeira está situada entre os limites de Dom Joaquim e Alvorada de Minas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. T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ambém é certificada pela Fundação Cultural Palmares. Participam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cinco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mulheres que se organizam na Associação Comunitária de Cachoeira, Xambá e Ribeirão (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ASCAXAR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). Por disporem de uma organização coletiva, acessam a </w:t>
      </w:r>
      <w:r w:rsidDel="00000000" w:rsidR="00000000" w:rsidRPr="00000000">
        <w:rPr>
          <w:rFonts w:ascii="Avenir" w:cs="Avenir" w:eastAsia="Avenir" w:hAnsi="Avenir"/>
          <w:color w:val="202124"/>
          <w:sz w:val="24"/>
          <w:szCs w:val="24"/>
          <w:highlight w:val="white"/>
          <w:rtl w:val="0"/>
        </w:rPr>
        <w:t xml:space="preserve">Empresa de Assistência Técnica e Extensão Rural do Estado de Minas Gerais (EMATER-MG), além de diversas outras políticas públicas voltadas para a agricultura familiar e para produção de alimentos, de modo geral. Durante o período de pandemia da Covid-19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as vendas de porta em porta foram maiores na própri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comunidade. </w:t>
      </w:r>
    </w:p>
    <w:p w:rsidR="00000000" w:rsidDel="00000000" w:rsidP="00000000" w:rsidRDefault="00000000" w:rsidRPr="00000000" w14:paraId="00000057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Participaram da pesquisa, também,  duas mulheres da Comunidade Quilombola de Ribeirão de Trás, pertencente a Alvorada de Minas. A comunidade é também certificada pela Fundação Cultural Palmares e ambas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as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mulheres integram a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ASCAXAR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. Por estarem organizadas coletivamente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com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as mulheres de Dom Joaquim, as duas moradoras de Ribeirão de Trás também acessam a EMATER e outras políticas governamentais. No entanto, uma produz em menor quantidade.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360" w:lineRule="auto"/>
        <w:ind w:right="16"/>
        <w:jc w:val="both"/>
        <w:rPr>
          <w:rFonts w:ascii="Avenir" w:cs="Avenir" w:eastAsia="Avenir" w:hAnsi="Avenir"/>
          <w:b w:val="1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4"/>
          <w:szCs w:val="24"/>
          <w:rtl w:val="0"/>
        </w:rPr>
        <w:t xml:space="preserve">Revelando valores</w:t>
      </w:r>
    </w:p>
    <w:p w:rsidR="00000000" w:rsidDel="00000000" w:rsidP="00000000" w:rsidRDefault="00000000" w:rsidRPr="00000000" w14:paraId="0000005A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Tabela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2 apresenta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em valores monetários o result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ado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das anotações feitas pelas mulheres,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discriminadas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po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 relação econômica e destino final por comunidade.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Os valores revelam o fruto do trabalho conjunto dessas mulheres e como eles estão relacionados às atividades familiares de autoconsumo, venda, troca e doação. </w:t>
      </w:r>
    </w:p>
    <w:p w:rsidR="00000000" w:rsidDel="00000000" w:rsidP="00000000" w:rsidRDefault="00000000" w:rsidRPr="00000000" w14:paraId="0000005B">
      <w:pPr>
        <w:widowControl w:val="1"/>
        <w:spacing w:line="360" w:lineRule="auto"/>
        <w:ind w:left="0" w:right="16" w:firstLine="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Tabela 2: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Valor total das anotações das mulheres por comunidade durante um ano.</w:t>
      </w:r>
    </w:p>
    <w:sdt>
      <w:sdtPr>
        <w:lock w:val="contentLocked"/>
        <w:tag w:val="goog_rdk_48"/>
      </w:sdtPr>
      <w:sdtContent>
        <w:tbl>
          <w:tblPr>
            <w:tblStyle w:val="Table2"/>
            <w:tblW w:w="9060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830"/>
            <w:gridCol w:w="1410"/>
            <w:gridCol w:w="1455"/>
            <w:gridCol w:w="1455"/>
            <w:gridCol w:w="1455"/>
            <w:gridCol w:w="1455"/>
            <w:tblGridChange w:id="0">
              <w:tblGrid>
                <w:gridCol w:w="1830"/>
                <w:gridCol w:w="1410"/>
                <w:gridCol w:w="1455"/>
                <w:gridCol w:w="1455"/>
                <w:gridCol w:w="1455"/>
                <w:gridCol w:w="1455"/>
              </w:tblGrid>
            </w:tblGridChange>
          </w:tblGrid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C">
                    <w:pPr>
                      <w:spacing w:line="276" w:lineRule="auto"/>
                      <w:jc w:val="center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Comunidades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D">
                    <w:pPr>
                      <w:spacing w:line="276" w:lineRule="auto"/>
                      <w:jc w:val="center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Consumo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E">
                    <w:pPr>
                      <w:spacing w:line="276" w:lineRule="auto"/>
                      <w:jc w:val="center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Doação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F">
                    <w:pPr>
                      <w:spacing w:line="276" w:lineRule="auto"/>
                      <w:jc w:val="center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Troca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0">
                    <w:pPr>
                      <w:spacing w:line="276" w:lineRule="auto"/>
                      <w:jc w:val="center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Venda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1">
                    <w:pPr>
                      <w:spacing w:line="276" w:lineRule="auto"/>
                      <w:jc w:val="center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Total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2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Ausente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3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R$ 11.463,25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4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R$ 3.442,32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5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R$ 11,00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6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R$ 20.941,46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7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R$ 35.858,03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8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Queimadas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9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R$ 1.061,60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A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R$ 460,00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B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R$ 15,00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C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R$ 1.621,04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D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R$ 3.157,64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E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Gameleira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F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R$ 2.351,60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0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R$ 1.656,50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1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R$ 435,00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2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R$ 3.716,00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3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R$ 8.159,10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4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Passa Sete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5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R$ 4.246,92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6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R$ 3.032,45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7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R$ 0,00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8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R$ 1.411,00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9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R$ 8.690,37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3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A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Cachoeira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B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R$ 12.748,35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C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R$ 2.272,80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D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R$ 244,00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E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R$ 10.152,10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F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R$ 25.417,25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3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0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Ribeirão de Trás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1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R$ 3.262,00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2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R$ 89,00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3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R$ 25,00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4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R$ 408,00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5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R$ 3.784,00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4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6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Total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7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R$ 35.133,72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8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R$ 10.953,07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9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R$ 730,00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A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R$ 38.249,60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B">
                    <w:pPr>
                      <w:spacing w:line="276" w:lineRule="auto"/>
                      <w:rPr>
                        <w:rFonts w:ascii="Calibri" w:cs="Calibri" w:eastAsia="Calibri" w:hAnsi="Calibri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R$ 85.066,39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8C">
      <w:pPr>
        <w:widowControl w:val="1"/>
        <w:spacing w:line="360" w:lineRule="auto"/>
        <w:ind w:left="0" w:right="16" w:firstLine="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Fonte: Elaboração própria. 2023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Notamos que, de modo geral, quando postas na Moeda Real (R$), os valore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 totais d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as relações de consumo e venda não destoam intensamente entre si. Apesar dessa última apontar um maior número (R$ 38.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249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,60), percebemos, em diálogo junto às participantes, que os dados de consumo são subnotificados, como relatado por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uma participante: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venir" w:cs="Avenir" w:eastAsia="Avenir" w:hAnsi="Avenir"/>
          <w:i w:val="1"/>
          <w:color w:val="000000"/>
          <w:sz w:val="24"/>
          <w:szCs w:val="24"/>
          <w:rtl w:val="0"/>
        </w:rPr>
        <w:t xml:space="preserve">Não consegui anotar bem o consumo de casa porque tudo que eu produzo eu consumo. A gente não tem paciência de ficar anotando tudo que pega</w:t>
      </w: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venir" w:cs="Avenir" w:eastAsia="Avenir" w:hAnsi="Avenir"/>
          <w:i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Isso reforça a dificuldade das mulheres, já relatada anteriormente, em anotar rigorosamente, entre os itens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produzidos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Situação que corrobora com o apontado por Cardoso</w:t>
      </w:r>
    </w:p>
    <w:p w:rsidR="00000000" w:rsidDel="00000000" w:rsidP="00000000" w:rsidRDefault="00000000" w:rsidRPr="00000000" w14:paraId="0000008E">
      <w:pPr>
        <w:widowControl w:val="1"/>
        <w:ind w:left="2268" w:right="16" w:firstLine="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As relações de consumo, doação e troca são consideradas como não monetárias, porque não envolvem nenhuma transação financeira e, por este motivo, são invisibilizadas nas análises econômicas ortodoxas. Desse modo, a riqueza não monetária produzida pelas mulheres, a partir de uma enorme quantidade de trabalho realizado, é simplesmente desconsiderada na economia. Apenas o valor relacionado à venda da produção tem maior visibilidade. (CARDOSO,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reflexão conjunta com as mulheres a respeito dos resultados de suas anotações, foi possível perceber que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 maioria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das participantes entenderam que aquilo que produzem e consomem é justamente o que não compram nos grandes mercados, revelando uma economia doméstica gestada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por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seu trabalho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Ainda, de acordo com a reflexão das mulheres,  nos mercados, esses itens costumam ser vendidos a um preço mais alto e com qualidade inferior aos produzidos em seus quintais.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Podemos afirmar ainda que produzir alimentos em diversidade, qualidade e quantidade 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consumi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-los, além de ser um ato político, é também exemplo da prática da autonomia feminina, que reflete o papel da mulher enquanto promotora da segurança alimentar e nutricional e da saúde de toda a família.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Outra constatação fruto das reflexões e relato das mulheres foi a de que os produtos comercializados são os excedentes d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produção destinada 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 consumo da família.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As agriculturas relataram ainda que 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em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 épocas em que há uma redução considerável na produção de alimentos que são justificadas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por estarem sujeitas às intempéries (calor ou chuvas intensas, perda de umidade no solo, entre outros) ou ao próprio período de plantio e colheita.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Outra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participante explicou que a diferença percebida em suas anotações e nos próprios valores durante os primeiros meses do ano se dá pelo fato de não haver muitos produtos para colheita,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uma vez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que foram recém semeados. Somente no mês de maio e nos meses subsequentes é que esses itens começam a ser colhidos e, consequentemente, registrados nas cadernetas. Essa situação pode ter relação também com a falta de acesso a ações de assistência técnica e extensão rural (ATER).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Essas informações podem ser percebidas na Tabela 3, que demonstra as anotações por relação econômica no decorrer dos meses.</w:t>
      </w:r>
    </w:p>
    <w:p w:rsidR="00000000" w:rsidDel="00000000" w:rsidP="00000000" w:rsidRDefault="00000000" w:rsidRPr="00000000" w14:paraId="00000093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Esses fenômenos também podem ser percebidos nas anotações quando se trata do período que antecede a seca ou a própria seca e, num segundo momento, com o início das chuvas, quando ocorre melhor desenvolvimento dos alimentos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cultivados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line="360" w:lineRule="auto"/>
        <w:ind w:left="0" w:right="16" w:firstLine="0"/>
        <w:jc w:val="both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Tabela 3 - Valores Mensais totais de acordo com a relação econômica anotada pelas mulheres</w:t>
      </w:r>
    </w:p>
    <w:sdt>
      <w:sdtPr>
        <w:lock w:val="contentLocked"/>
        <w:tag w:val="goog_rdk_154"/>
      </w:sdtPr>
      <w:sdtContent>
        <w:tbl>
          <w:tblPr>
            <w:tblStyle w:val="Table3"/>
            <w:tblW w:w="9045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155"/>
            <w:gridCol w:w="840"/>
            <w:gridCol w:w="1410"/>
            <w:gridCol w:w="1470"/>
            <w:gridCol w:w="1260"/>
            <w:gridCol w:w="1425"/>
            <w:gridCol w:w="1485"/>
            <w:tblGridChange w:id="0">
              <w:tblGrid>
                <w:gridCol w:w="1155"/>
                <w:gridCol w:w="840"/>
                <w:gridCol w:w="1410"/>
                <w:gridCol w:w="1470"/>
                <w:gridCol w:w="1260"/>
                <w:gridCol w:w="1425"/>
                <w:gridCol w:w="1485"/>
              </w:tblGrid>
            </w:tblGridChange>
          </w:tblGrid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49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5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Mês</w:t>
                    </w:r>
                  </w:p>
                </w:tc>
              </w:sdtContent>
            </w:sdt>
            <w:sdt>
              <w:sdtPr>
                <w:lock w:val="contentLocked"/>
                <w:tag w:val="goog_rdk_50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6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Ano</w:t>
                    </w:r>
                  </w:p>
                </w:tc>
              </w:sdtContent>
            </w:sdt>
            <w:sdt>
              <w:sdtPr>
                <w:lock w:val="contentLocked"/>
                <w:tag w:val="goog_rdk_51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7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Consumo</w:t>
                    </w:r>
                  </w:p>
                </w:tc>
              </w:sdtContent>
            </w:sdt>
            <w:sdt>
              <w:sdtPr>
                <w:lock w:val="contentLocked"/>
                <w:tag w:val="goog_rdk_52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8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Doação</w:t>
                    </w:r>
                  </w:p>
                </w:tc>
              </w:sdtContent>
            </w:sdt>
            <w:sdt>
              <w:sdtPr>
                <w:lock w:val="contentLocked"/>
                <w:tag w:val="goog_rdk_53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9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Troca</w:t>
                    </w:r>
                  </w:p>
                </w:tc>
              </w:sdtContent>
            </w:sdt>
            <w:sdt>
              <w:sdtPr>
                <w:lock w:val="contentLocked"/>
                <w:tag w:val="goog_rdk_54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A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Venda</w:t>
                    </w:r>
                  </w:p>
                </w:tc>
              </w:sdtContent>
            </w:sdt>
            <w:sdt>
              <w:sdtPr>
                <w:lock w:val="contentLocked"/>
                <w:tag w:val="goog_rdk_55"/>
              </w:sdtPr>
              <w:sdtContent>
                <w:tc>
                  <w:tcPr>
                    <w:tcBorders>
                      <w:top w:color="000000" w:space="0" w:sz="5" w:val="single"/>
                      <w:left w:color="000000" w:space="0" w:sz="0" w:val="nil"/>
                      <w:bottom w:color="000000" w:space="0" w:sz="5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B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  <w:b w:val="1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Total geral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5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C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Junho</w:t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D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5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E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R$ 2.774,57</w:t>
                    </w:r>
                  </w:p>
                </w:tc>
              </w:sdtContent>
            </w:sdt>
            <w:sdt>
              <w:sdtPr>
                <w:lock w:val="contentLocked"/>
                <w:tag w:val="goog_rdk_5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F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R$ 1.913,30</w:t>
                    </w:r>
                  </w:p>
                </w:tc>
              </w:sdtContent>
            </w:sdt>
            <w:sdt>
              <w:sdtPr>
                <w:lock w:val="contentLocked"/>
                <w:tag w:val="goog_rdk_6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0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R$ 173,00</w:t>
                    </w:r>
                  </w:p>
                </w:tc>
              </w:sdtContent>
            </w:sdt>
            <w:sdt>
              <w:sdtPr>
                <w:lock w:val="contentLocked"/>
                <w:tag w:val="goog_rdk_6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1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R$ 5.522,96</w:t>
                    </w:r>
                  </w:p>
                </w:tc>
              </w:sdtContent>
            </w:sdt>
            <w:sdt>
              <w:sdtPr>
                <w:lock w:val="contentLocked"/>
                <w:tag w:val="goog_rdk_6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2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R$ 10.383,83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6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3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Julho</w:t>
                    </w:r>
                  </w:p>
                </w:tc>
              </w:sdtContent>
            </w:sdt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4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6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5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R$ 2.875,10</w:t>
                    </w:r>
                  </w:p>
                </w:tc>
              </w:sdtContent>
            </w:sdt>
            <w:sdt>
              <w:sdtPr>
                <w:lock w:val="contentLocked"/>
                <w:tag w:val="goog_rdk_6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6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R$ 869,05</w:t>
                    </w:r>
                  </w:p>
                </w:tc>
              </w:sdtContent>
            </w:sdt>
            <w:sdt>
              <w:sdtPr>
                <w:lock w:val="contentLocked"/>
                <w:tag w:val="goog_rdk_6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7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R$ 227,50</w:t>
                    </w:r>
                  </w:p>
                </w:tc>
              </w:sdtContent>
            </w:sdt>
            <w:sdt>
              <w:sdtPr>
                <w:lock w:val="contentLocked"/>
                <w:tag w:val="goog_rdk_6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8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R$ 2.695,80</w:t>
                    </w:r>
                  </w:p>
                </w:tc>
              </w:sdtContent>
            </w:sdt>
            <w:sdt>
              <w:sdtPr>
                <w:lock w:val="contentLocked"/>
                <w:tag w:val="goog_rdk_6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9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R$ 6.667,45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7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A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Agosto</w:t>
                    </w:r>
                  </w:p>
                </w:tc>
              </w:sdtContent>
            </w:sdt>
            <w:sdt>
              <w:sdtPr>
                <w:lock w:val="contentLocked"/>
                <w:tag w:val="goog_rdk_7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B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7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C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R$ 2.038,65</w:t>
                    </w:r>
                  </w:p>
                </w:tc>
              </w:sdtContent>
            </w:sdt>
            <w:sdt>
              <w:sdtPr>
                <w:lock w:val="contentLocked"/>
                <w:tag w:val="goog_rdk_7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D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R$ 497,37</w:t>
                    </w:r>
                  </w:p>
                </w:tc>
              </w:sdtContent>
            </w:sdt>
            <w:sdt>
              <w:sdtPr>
                <w:lock w:val="contentLocked"/>
                <w:tag w:val="goog_rdk_7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E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R$ 8,00</w:t>
                    </w:r>
                  </w:p>
                </w:tc>
              </w:sdtContent>
            </w:sdt>
            <w:sdt>
              <w:sdtPr>
                <w:lock w:val="contentLocked"/>
                <w:tag w:val="goog_rdk_7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F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R$ 1.948,49</w:t>
                    </w:r>
                  </w:p>
                </w:tc>
              </w:sdtContent>
            </w:sdt>
            <w:sdt>
              <w:sdtPr>
                <w:lock w:val="contentLocked"/>
                <w:tag w:val="goog_rdk_7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0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R$ 4.492,51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7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1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Setembro</w:t>
                    </w:r>
                  </w:p>
                </w:tc>
              </w:sdtContent>
            </w:sdt>
            <w:sdt>
              <w:sdtPr>
                <w:lock w:val="contentLocked"/>
                <w:tag w:val="goog_rdk_7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2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7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3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R$ 1.990,00</w:t>
                    </w:r>
                  </w:p>
                </w:tc>
              </w:sdtContent>
            </w:sdt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4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R$ 374,50</w:t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5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R$ 56,00</w:t>
                    </w:r>
                  </w:p>
                </w:tc>
              </w:sdtContent>
            </w:sdt>
            <w:sdt>
              <w:sdtPr>
                <w:lock w:val="contentLocked"/>
                <w:tag w:val="goog_rdk_8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6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R$ 2.434,97</w:t>
                    </w:r>
                  </w:p>
                </w:tc>
              </w:sdtContent>
            </w:sdt>
            <w:sdt>
              <w:sdtPr>
                <w:lock w:val="contentLocked"/>
                <w:tag w:val="goog_rdk_8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7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R$ 4.855,47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8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8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Outubro</w:t>
                    </w:r>
                  </w:p>
                </w:tc>
              </w:sdtContent>
            </w:sdt>
            <w:sdt>
              <w:sdtPr>
                <w:lock w:val="contentLocked"/>
                <w:tag w:val="goog_rdk_8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9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8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A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R$ 2.075,00</w:t>
                    </w:r>
                  </w:p>
                </w:tc>
              </w:sdtContent>
            </w:sdt>
            <w:sdt>
              <w:sdtPr>
                <w:lock w:val="contentLocked"/>
                <w:tag w:val="goog_rdk_8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B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R$ 368,00</w:t>
                    </w:r>
                  </w:p>
                </w:tc>
              </w:sdtContent>
            </w:sdt>
            <w:sdt>
              <w:sdtPr>
                <w:lock w:val="contentLocked"/>
                <w:tag w:val="goog_rdk_8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C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R$ 32,50</w:t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D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R$ 2.670,26</w:t>
                    </w:r>
                  </w:p>
                </w:tc>
              </w:sdtContent>
            </w:sdt>
            <w:sdt>
              <w:sdtPr>
                <w:lock w:val="contentLocked"/>
                <w:tag w:val="goog_rdk_9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E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R$ 5.145,76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9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BF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Novembro</w:t>
                    </w:r>
                  </w:p>
                </w:tc>
              </w:sdtContent>
            </w:sdt>
            <w:sdt>
              <w:sdtPr>
                <w:lock w:val="contentLocked"/>
                <w:tag w:val="goog_rdk_9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0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9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1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R$ 4.534,70</w:t>
                    </w:r>
                  </w:p>
                </w:tc>
              </w:sdtContent>
            </w:sdt>
            <w:sdt>
              <w:sdtPr>
                <w:lock w:val="contentLocked"/>
                <w:tag w:val="goog_rdk_9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2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R$ 1.001,25</w:t>
                    </w:r>
                  </w:p>
                </w:tc>
              </w:sdtContent>
            </w:sdt>
            <w:sdt>
              <w:sdtPr>
                <w:lock w:val="contentLocked"/>
                <w:tag w:val="goog_rdk_9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3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R$ 15,00</w:t>
                    </w:r>
                  </w:p>
                </w:tc>
              </w:sdtContent>
            </w:sdt>
            <w:sdt>
              <w:sdtPr>
                <w:lock w:val="contentLocked"/>
                <w:tag w:val="goog_rdk_9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4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R$ 2.036,12</w:t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5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R$ 7.587,07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9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6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Dezembro</w:t>
                    </w:r>
                  </w:p>
                </w:tc>
              </w:sdtContent>
            </w:sdt>
            <w:sdt>
              <w:sdtPr>
                <w:lock w:val="contentLocked"/>
                <w:tag w:val="goog_rdk_9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7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2021</w:t>
                    </w:r>
                  </w:p>
                </w:tc>
              </w:sdtContent>
            </w:sdt>
            <w:sdt>
              <w:sdtPr>
                <w:lock w:val="contentLocked"/>
                <w:tag w:val="goog_rdk_10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8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R$ 2.484,30</w:t>
                    </w:r>
                  </w:p>
                </w:tc>
              </w:sdtContent>
            </w:sdt>
            <w:sdt>
              <w:sdtPr>
                <w:lock w:val="contentLocked"/>
                <w:tag w:val="goog_rdk_10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9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R$ 829,30</w:t>
                    </w:r>
                  </w:p>
                </w:tc>
              </w:sdtContent>
            </w:sdt>
            <w:sdt>
              <w:sdtPr>
                <w:lock w:val="contentLocked"/>
                <w:tag w:val="goog_rdk_10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A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R$ 3,00</w:t>
                    </w:r>
                  </w:p>
                </w:tc>
              </w:sdtContent>
            </w:sdt>
            <w:sdt>
              <w:sdtPr>
                <w:lock w:val="contentLocked"/>
                <w:tag w:val="goog_rdk_10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B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R$ 1.868,00</w:t>
                    </w:r>
                  </w:p>
                </w:tc>
              </w:sdtContent>
            </w:sdt>
            <w:sdt>
              <w:sdtPr>
                <w:lock w:val="contentLocked"/>
                <w:tag w:val="goog_rdk_10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C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R$ 5.184,60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0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D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Janeiro</w:t>
                    </w:r>
                  </w:p>
                </w:tc>
              </w:sdtContent>
            </w:sdt>
            <w:sdt>
              <w:sdtPr>
                <w:lock w:val="contentLocked"/>
                <w:tag w:val="goog_rdk_10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E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2022</w:t>
                    </w:r>
                  </w:p>
                </w:tc>
              </w:sdtContent>
            </w:sdt>
            <w:sdt>
              <w:sdtPr>
                <w:lock w:val="contentLocked"/>
                <w:tag w:val="goog_rdk_10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CF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R$ 2.790,00</w:t>
                    </w:r>
                  </w:p>
                </w:tc>
              </w:sdtContent>
            </w:sdt>
            <w:sdt>
              <w:sdtPr>
                <w:lock w:val="contentLocked"/>
                <w:tag w:val="goog_rdk_10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0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R$ 873,75</w:t>
                    </w:r>
                  </w:p>
                </w:tc>
              </w:sdtContent>
            </w:sdt>
            <w:sdt>
              <w:sdtPr>
                <w:lock w:val="contentLocked"/>
                <w:tag w:val="goog_rdk_10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1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R$ 0,00</w:t>
                    </w:r>
                  </w:p>
                </w:tc>
              </w:sdtContent>
            </w:sdt>
            <w:sdt>
              <w:sdtPr>
                <w:lock w:val="contentLocked"/>
                <w:tag w:val="goog_rdk_11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2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R$ 3.518,00</w:t>
                    </w:r>
                  </w:p>
                </w:tc>
              </w:sdtContent>
            </w:sdt>
            <w:sdt>
              <w:sdtPr>
                <w:lock w:val="contentLocked"/>
                <w:tag w:val="goog_rdk_11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3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R$ 7.181,75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1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4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Fevereiro</w:t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5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2022</w:t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6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R$ 2.967,50</w:t>
                    </w:r>
                  </w:p>
                </w:tc>
              </w:sdtContent>
            </w:sdt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7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R$ 1.260,50</w:t>
                    </w:r>
                  </w:p>
                </w:tc>
              </w:sdtContent>
            </w:sdt>
            <w:sdt>
              <w:sdtPr>
                <w:lock w:val="contentLocked"/>
                <w:tag w:val="goog_rdk_11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8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R$ 40,00</w:t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9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R$ 2.018,50</w:t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A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R$ 6.286,50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1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B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Março</w:t>
                    </w:r>
                  </w:p>
                </w:tc>
              </w:sdtContent>
            </w:sdt>
            <w:sdt>
              <w:sdtPr>
                <w:lock w:val="contentLocked"/>
                <w:tag w:val="goog_rdk_12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C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2022</w:t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D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R$ 2.628,75</w:t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E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R$ 666,00</w:t>
                    </w:r>
                  </w:p>
                </w:tc>
              </w:sdtContent>
            </w:sdt>
            <w:sdt>
              <w:sdtPr>
                <w:lock w:val="contentLocked"/>
                <w:tag w:val="goog_rdk_12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DF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R$ 58,00</w:t>
                    </w:r>
                  </w:p>
                </w:tc>
              </w:sdtContent>
            </w:sdt>
            <w:sdt>
              <w:sdtPr>
                <w:lock w:val="contentLocked"/>
                <w:tag w:val="goog_rdk_12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0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R$ 4.671,30</w:t>
                    </w:r>
                  </w:p>
                </w:tc>
              </w:sdtContent>
            </w:sdt>
            <w:sdt>
              <w:sdtPr>
                <w:lock w:val="contentLocked"/>
                <w:tag w:val="goog_rdk_12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1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R$ 8.024,05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2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2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Abril</w:t>
                    </w:r>
                  </w:p>
                </w:tc>
              </w:sdtContent>
            </w:sdt>
            <w:sdt>
              <w:sdtPr>
                <w:lock w:val="contentLocked"/>
                <w:tag w:val="goog_rdk_12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3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2022</w:t>
                    </w:r>
                  </w:p>
                </w:tc>
              </w:sdtContent>
            </w:sdt>
            <w:sdt>
              <w:sdtPr>
                <w:lock w:val="contentLocked"/>
                <w:tag w:val="goog_rdk_12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4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R$ 2.461,50</w:t>
                    </w:r>
                  </w:p>
                </w:tc>
              </w:sdtContent>
            </w:sdt>
            <w:sdt>
              <w:sdtPr>
                <w:lock w:val="contentLocked"/>
                <w:tag w:val="goog_rdk_12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5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R$ 966,30</w:t>
                    </w:r>
                  </w:p>
                </w:tc>
              </w:sdtContent>
            </w:sdt>
            <w:sdt>
              <w:sdtPr>
                <w:lock w:val="contentLocked"/>
                <w:tag w:val="goog_rdk_13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6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R$ 25,00</w:t>
                    </w:r>
                  </w:p>
                </w:tc>
              </w:sdtContent>
            </w:sdt>
            <w:sdt>
              <w:sdtPr>
                <w:lock w:val="contentLocked"/>
                <w:tag w:val="goog_rdk_13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7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R$ 2.566,20</w:t>
                    </w:r>
                  </w:p>
                </w:tc>
              </w:sdtContent>
            </w:sdt>
            <w:sdt>
              <w:sdtPr>
                <w:lock w:val="contentLocked"/>
                <w:tag w:val="goog_rdk_13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8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R$ 6.019,00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3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9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Maio</w:t>
                    </w:r>
                  </w:p>
                </w:tc>
              </w:sdtContent>
            </w:sdt>
            <w:sdt>
              <w:sdtPr>
                <w:lock w:val="contentLocked"/>
                <w:tag w:val="goog_rdk_13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A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2022</w:t>
                    </w:r>
                  </w:p>
                </w:tc>
              </w:sdtContent>
            </w:sdt>
            <w:sdt>
              <w:sdtPr>
                <w:lock w:val="contentLocked"/>
                <w:tag w:val="goog_rdk_13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B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R$ 2.240,65</w:t>
                    </w:r>
                  </w:p>
                </w:tc>
              </w:sdtContent>
            </w:sdt>
            <w:sdt>
              <w:sdtPr>
                <w:lock w:val="contentLocked"/>
                <w:tag w:val="goog_rdk_13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C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R$ 696,25</w:t>
                    </w:r>
                  </w:p>
                </w:tc>
              </w:sdtContent>
            </w:sdt>
            <w:sdt>
              <w:sdtPr>
                <w:lock w:val="contentLocked"/>
                <w:tag w:val="goog_rdk_137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D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R$ 92,00</w:t>
                    </w:r>
                  </w:p>
                </w:tc>
              </w:sdtContent>
            </w:sdt>
            <w:sdt>
              <w:sdtPr>
                <w:lock w:val="contentLocked"/>
                <w:tag w:val="goog_rdk_138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E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R$ 3.737,75</w:t>
                    </w:r>
                  </w:p>
                </w:tc>
              </w:sdtContent>
            </w:sdt>
            <w:sdt>
              <w:sdtPr>
                <w:lock w:val="contentLocked"/>
                <w:tag w:val="goog_rdk_139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EF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R$ 6.766,65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40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0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Junho</w:t>
                    </w:r>
                  </w:p>
                </w:tc>
              </w:sdtContent>
            </w:sdt>
            <w:sdt>
              <w:sdtPr>
                <w:lock w:val="contentLocked"/>
                <w:tag w:val="goog_rdk_141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1">
                    <w:pPr>
                      <w:spacing w:line="276" w:lineRule="auto"/>
                      <w:jc w:val="center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2022</w:t>
                    </w:r>
                  </w:p>
                </w:tc>
              </w:sdtContent>
            </w:sdt>
            <w:sdt>
              <w:sdtPr>
                <w:lock w:val="contentLocked"/>
                <w:tag w:val="goog_rdk_142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2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R$ 3.273,00</w:t>
                    </w:r>
                  </w:p>
                </w:tc>
              </w:sdtContent>
            </w:sdt>
            <w:sdt>
              <w:sdtPr>
                <w:lock w:val="contentLocked"/>
                <w:tag w:val="goog_rdk_143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3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R$ 637,50</w:t>
                    </w:r>
                  </w:p>
                </w:tc>
              </w:sdtContent>
            </w:sdt>
            <w:sdt>
              <w:sdtPr>
                <w:lock w:val="contentLocked"/>
                <w:tag w:val="goog_rdk_144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4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R$ 0,00</w:t>
                    </w:r>
                  </w:p>
                </w:tc>
              </w:sdtContent>
            </w:sdt>
            <w:sdt>
              <w:sdtPr>
                <w:lock w:val="contentLocked"/>
                <w:tag w:val="goog_rdk_145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5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R$ 2.561,25</w:t>
                    </w:r>
                  </w:p>
                </w:tc>
              </w:sdtContent>
            </w:sdt>
            <w:sdt>
              <w:sdtPr>
                <w:lock w:val="contentLocked"/>
                <w:tag w:val="goog_rdk_146"/>
              </w:sdtPr>
              <w:sdtContent>
                <w:tc>
                  <w:tcPr>
                    <w:tcBorders>
                      <w:top w:color="000000" w:space="0" w:sz="0" w:val="nil"/>
                      <w:left w:color="000000" w:space="0" w:sz="0" w:val="nil"/>
                      <w:bottom w:color="000000" w:space="0" w:sz="8" w:val="single"/>
                      <w:right w:color="000000" w:space="0" w:sz="0" w:val="nil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6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rtl w:val="0"/>
                      </w:rPr>
                      <w:t xml:space="preserve">R$ 6.471,75</w:t>
                    </w:r>
                  </w:p>
                </w:tc>
              </w:sdtContent>
            </w:sdt>
          </w:tr>
          <w:tr>
            <w:trPr>
              <w:cantSplit w:val="0"/>
              <w:trHeight w:val="300" w:hRule="atLeast"/>
              <w:tblHeader w:val="0"/>
            </w:trPr>
            <w:sdt>
              <w:sdtPr>
                <w:lock w:val="contentLocked"/>
                <w:tag w:val="goog_rdk_147"/>
              </w:sdtPr>
              <w:sdtContent>
                <w:tc>
                  <w:tcPr>
                    <w:gridSpan w:val="2"/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7">
                    <w:pPr>
                      <w:spacing w:line="276" w:lineRule="auto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Valores totais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9"/>
              </w:sdtPr>
              <w:sdtContent>
                <w:tc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9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R$ 35.133,72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0"/>
              </w:sdtPr>
              <w:sdtContent>
                <w:tc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A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R$ 10.953,07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1"/>
              </w:sdtPr>
              <w:sdtContent>
                <w:tc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B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R$ 730,00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2"/>
              </w:sdtPr>
              <w:sdtContent>
                <w:tc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C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R$ 38.249,60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3"/>
              </w:sdtPr>
              <w:sdtContent>
                <w:tc>
                  <w:tcPr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auto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FD">
                    <w:pPr>
                      <w:spacing w:line="276" w:lineRule="auto"/>
                      <w:jc w:val="right"/>
                      <w:rPr>
                        <w:rFonts w:ascii="Avenir" w:cs="Avenir" w:eastAsia="Avenir" w:hAnsi="Avenir"/>
                      </w:rPr>
                    </w:pPr>
                    <w:r w:rsidDel="00000000" w:rsidR="00000000" w:rsidRPr="00000000">
                      <w:rPr>
                        <w:rFonts w:ascii="Avenir" w:cs="Avenir" w:eastAsia="Avenir" w:hAnsi="Avenir"/>
                        <w:b w:val="1"/>
                        <w:rtl w:val="0"/>
                      </w:rPr>
                      <w:t xml:space="preserve">R$ 85.066,39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FE">
      <w:pPr>
        <w:widowControl w:val="1"/>
        <w:spacing w:line="360" w:lineRule="auto"/>
        <w:ind w:right="16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Fonte: Elaboração própria.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Os dados revelam ainda uma diferença entre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as mulheres que acessam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 as que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não acessam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os programas e serviços governamentais (em diferentes escala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), como a Assistência Técnica de Extensão Rural (ATER), Programa Nacional de Fortalecimento da Agricultura Familiar (PRONAF), PNAE, PA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A,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entre outros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u ainda para aquelas que não estão organizadas em associações, cooperativas, coletivos ou em grupos produtivos, de maneira geral. </w:t>
      </w:r>
    </w:p>
    <w:p w:rsidR="00000000" w:rsidDel="00000000" w:rsidP="00000000" w:rsidRDefault="00000000" w:rsidRPr="00000000" w14:paraId="00000100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color w:val="00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No Gráfico 2 é possível verificar essas diferenças nos valores por relação econômica e por comunidade, em que valores mais expressivos se destacam para as comunidades de Ausente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Cachoeira e Ribeirão de Trás, que são as que possuem melhor auto organização e acessam os serviços de ATER. </w:t>
      </w:r>
    </w:p>
    <w:p w:rsidR="00000000" w:rsidDel="00000000" w:rsidP="00000000" w:rsidRDefault="00000000" w:rsidRPr="00000000" w14:paraId="00000101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4"/>
          <w:szCs w:val="24"/>
          <w:rtl w:val="0"/>
        </w:rPr>
        <w:t xml:space="preserve">Gráfico 2: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 Valor total por relação econômica expresso por Comunidade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ind w:right="16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</w:rPr>
        <w:drawing>
          <wp:inline distB="0" distT="0" distL="0" distR="0">
            <wp:extent cx="5217094" cy="3060204"/>
            <wp:effectExtent b="0" l="0" r="0" t="0"/>
            <wp:docPr descr="https://lh4.googleusercontent.com/n9o_HQIN8QglkihEBgq_BtqhUKfJZFYIHkEzkeUjmMOANKFyUlvbmi7UpfN6E3dnM-8iTLEq7XIjfZgE9nG3scRn8XbancXn6aa_DqDzT3JIysSRUQPt1bcZ4KNvljoYekgtLpfjI3en" id="11" name="image3.png"/>
            <a:graphic>
              <a:graphicData uri="http://schemas.openxmlformats.org/drawingml/2006/picture">
                <pic:pic>
                  <pic:nvPicPr>
                    <pic:cNvPr descr="https://lh4.googleusercontent.com/n9o_HQIN8QglkihEBgq_BtqhUKfJZFYIHkEzkeUjmMOANKFyUlvbmi7UpfN6E3dnM-8iTLEq7XIjfZgE9nG3scRn8XbancXn6aa_DqDzT3JIysSRUQPt1bcZ4KNvljoYekgtLpfjI3en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7094" cy="3060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Fonte: Elaboração própria.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highlight w:val="white"/>
          <w:rtl w:val="0"/>
        </w:rPr>
        <w:t xml:space="preserve">Mesmo diante de diferenças em relação ao número de mulheres e a frequência de anotação em cada comunidade, os dados são um demonstrativo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das comunidades melhor organizadas, inclusive politicamente, o que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permite 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o acesso periódico à ATER, por exemp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lo, n</w:t>
      </w:r>
      <w:r w:rsidDel="00000000" w:rsidR="00000000" w:rsidRPr="00000000">
        <w:rPr>
          <w:rFonts w:ascii="Avenir" w:cs="Avenir" w:eastAsia="Avenir" w:hAnsi="Avenir"/>
          <w:color w:val="000000"/>
          <w:sz w:val="24"/>
          <w:szCs w:val="24"/>
          <w:rtl w:val="0"/>
        </w:rPr>
        <w:t xml:space="preserve">essas comunidades os itens vendidos costumam ser alinhados previamente entre o governo local e as agricultoras, de forma que elas conseguem se organizar melhor quanto ao plantio e colheita dos alimentos.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spacing w:line="360" w:lineRule="auto"/>
        <w:ind w:right="16" w:firstLine="720"/>
        <w:jc w:val="both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 resultado da visibilidade do trabalho das mulheres na rotina familiar, proporcionado pela Caderneta Agroecológica, gera impacto na formação das mulheres, incluindo a tomada de consciência sobre suas realidades, com reflexos na auto estima delas, como revela uma fala de uma participante: “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Antes a gente não sabia o que era o pingar do nosso suor, o valor da gota de suor. A gente trabalhava no escuro”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1"/>
        <w:spacing w:line="360" w:lineRule="auto"/>
        <w:ind w:right="16" w:firstLine="720"/>
        <w:jc w:val="both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109">
      <w:pPr>
        <w:spacing w:line="360" w:lineRule="auto"/>
        <w:ind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Destaca-se que a pesquisa aqui relatada é a primeira experiência de aplicação das Cadernetas Agroecológicas no contexto da Bacia do Rio Jequitinhonha e os resultados alcançados corroboram com os de outras experiências com a aplicação dessa ferramenta, pois possibilitou evidenciar a contribuição das mulheres a partir do reconhecimento do seu trabalho e de sua contribuição na economia familiar. Também demonstram o reflexo do trabalho das mulheres na promoção da Soberania e Segurança Alimentar e Nutricional de suas famílias e comunidades, situação que se revela como de extrema importância diante do quadro de agravamento da fome e da insegurança alimentar que assola o país.</w:t>
      </w:r>
    </w:p>
    <w:p w:rsidR="00000000" w:rsidDel="00000000" w:rsidP="00000000" w:rsidRDefault="00000000" w:rsidRPr="00000000" w14:paraId="0000010A">
      <w:pPr>
        <w:spacing w:line="360" w:lineRule="auto"/>
        <w:ind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É importante reforçar a importância política pedagógica desse instrumento, que contribui em processos de organização das mulheres, dando visibilidade do trabalho e da renda gerada pelas agricultoras, possibilitado a construção de espaços de trocas de experiências e articulação entre elas, pois possibilita o diagnóstico das realidades enfrentadas pelas agricultoras para a construção de ações que garantam a melhoria das condições de vida, de acesso à renda e a políticas públicas.</w:t>
      </w:r>
    </w:p>
    <w:p w:rsidR="00000000" w:rsidDel="00000000" w:rsidP="00000000" w:rsidRDefault="00000000" w:rsidRPr="00000000" w14:paraId="0000010B">
      <w:pPr>
        <w:spacing w:line="360" w:lineRule="auto"/>
        <w:ind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Esperamos em próximas publicações trazer informações e análise sobre a 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agrosociobiodiversidade</w:t>
      </w:r>
      <w:r w:rsidDel="00000000" w:rsidR="00000000" w:rsidRPr="00000000">
        <w:rPr>
          <w:rFonts w:ascii="Avenir" w:cs="Avenir" w:eastAsia="Avenir" w:hAnsi="Avenir"/>
          <w:color w:val="000009"/>
          <w:sz w:val="24"/>
          <w:szCs w:val="24"/>
          <w:rtl w:val="0"/>
        </w:rPr>
        <w:t xml:space="preserve"> e os agroecossistemas em que vivem as participantes da pesquisa, contribuindo para reflexões sobre a realidade das mulheres do campo e, assim, apoiar a construção de estratégias que vão ao encontro da promoção da autonomia, da auto organização e do reconhecimento e valorização do trabalho das dessas mulheres camponesas e quilombolas.</w:t>
      </w:r>
    </w:p>
    <w:p w:rsidR="00000000" w:rsidDel="00000000" w:rsidP="00000000" w:rsidRDefault="00000000" w:rsidRPr="00000000" w14:paraId="0000010C">
      <w:pPr>
        <w:spacing w:line="360" w:lineRule="auto"/>
        <w:ind w:firstLine="720"/>
        <w:jc w:val="both"/>
        <w:rPr>
          <w:rFonts w:ascii="Avenir" w:cs="Avenir" w:eastAsia="Avenir" w:hAnsi="Avenir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hanging="2"/>
        <w:jc w:val="both"/>
        <w:rPr>
          <w:rFonts w:ascii="Avenir" w:cs="Avenir" w:eastAsia="Avenir" w:hAnsi="Aveni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hanging="2"/>
        <w:jc w:val="both"/>
        <w:rPr>
          <w:rFonts w:ascii="Avenir" w:cs="Avenir" w:eastAsia="Avenir" w:hAnsi="Avenir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4"/>
          <w:szCs w:val="24"/>
          <w:highlight w:val="white"/>
          <w:rtl w:val="0"/>
        </w:rPr>
        <w:t xml:space="preserve">REFERÊNCIAS</w:t>
      </w:r>
    </w:p>
    <w:p w:rsidR="00000000" w:rsidDel="00000000" w:rsidP="00000000" w:rsidRDefault="00000000" w:rsidRPr="00000000" w14:paraId="0000010F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ARROYO, Miguel G. Os movimentos sociais e a construção de outros currículos.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Educar em Revista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 Curitiba, Brasil. n.55, p. 47-68. jan./mar. 2015. Editora UFRR.</w:t>
      </w:r>
    </w:p>
    <w:p w:rsidR="00000000" w:rsidDel="00000000" w:rsidP="00000000" w:rsidRDefault="00000000" w:rsidRPr="00000000" w14:paraId="00000110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BRASIL. Ministério da Educação; Conselho Nacional de Educação; Câmara de Educação Superior. RESOLUÇÃO Nº 7, de 18 de Dezembro de 2018. Estabelece as Diretrizes para a Extensão na Educação Superior Brasileira e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regimenta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o disposto na Meta 12.7 da Lei nº 13.005/2014, que aprova o Plano Nacional de Educação - PNE 2014-2024 e dá outras providências. </w:t>
      </w:r>
    </w:p>
    <w:p w:rsidR="00000000" w:rsidDel="00000000" w:rsidP="00000000" w:rsidRDefault="00000000" w:rsidRPr="00000000" w14:paraId="00000112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CARDOSO, Elisabeth et al. Guia metodológico da caderneta agroecológica. Recife: FIDA, 2019.</w:t>
      </w:r>
    </w:p>
    <w:p w:rsidR="00000000" w:rsidDel="00000000" w:rsidP="00000000" w:rsidRDefault="00000000" w:rsidRPr="00000000" w14:paraId="00000114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COELHO, Paula Sassaki. Mulheres e mineração: protagonismos e narrativas de mulheres acerca dos impactos e das mudanças vividas em Conceição do Mato Dentro a partir do empreendimento Minas-Rio. Dissertação (Mestrado em Psicologia Social). Instituto de Psicologia, Universidade de São Paulo. São Paulo, 2019.</w:t>
      </w:r>
    </w:p>
    <w:p w:rsidR="00000000" w:rsidDel="00000000" w:rsidP="00000000" w:rsidRDefault="00000000" w:rsidRPr="00000000" w14:paraId="00000116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Fundo Internacional de Desenvolvimento Agrícola (FIDA).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Cadernetas agroecológicas e as mulheres do semiárido de mãos dadas fortalecendo a agroecologia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: resultados do uso das cadernetas nos projetos apoiados pelo FIDA no Brasil de agosto de 2019 a fevereiro de 2020. Salvador, BA. Fundo Internacional de Desenvolvimento Agrícola (FIDA), 2020.</w:t>
      </w:r>
    </w:p>
    <w:p w:rsidR="00000000" w:rsidDel="00000000" w:rsidP="00000000" w:rsidRDefault="00000000" w:rsidRPr="00000000" w14:paraId="00000118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FREITAS, Ana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Luisa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Queiroz. Gênero, Território e Mineração: um estudo sobre o protagonismo feminino em conflitos socioambientais no Morro D’água, Catas Altas – MG. Dissertação (Mestrado em Sociologia e Antropologia). Instituto de Filosofia e Ciências Sociais, Universidade Federal do Rio de Janeiro. Rio de Janeiro, 2016.</w:t>
      </w:r>
    </w:p>
    <w:p w:rsidR="00000000" w:rsidDel="00000000" w:rsidP="00000000" w:rsidRDefault="00000000" w:rsidRPr="00000000" w14:paraId="0000011A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FREIRE, Paulo.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Extensão ou comunicação?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Tradução de Rosisca Darcy de Oliveira. 7ª ed. Rio de Janeiro. Paz e Terra. 1983.</w:t>
      </w:r>
    </w:p>
    <w:p w:rsidR="00000000" w:rsidDel="00000000" w:rsidP="00000000" w:rsidRDefault="00000000" w:rsidRPr="00000000" w14:paraId="0000011C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MILANEZ, B. et al. Transformações Socioambientais e Violações de Direitos Humanos no Contexto do Empreendimento Minas-Rio em Conceição do Mato Dentro, Alvorada de Minas e Dom Joaquim, Minas Gerais. Belo Horizonte, 2018.</w:t>
      </w:r>
    </w:p>
    <w:p w:rsidR="00000000" w:rsidDel="00000000" w:rsidP="00000000" w:rsidRDefault="00000000" w:rsidRPr="00000000" w14:paraId="0000011E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MONTEIRO, Bernadete Esperança. Contribuições da auto-organização das mulheres trabalhadoras rurais do Norte de Minas Gerais na resistência à mineração. Dissertação (Mestrado em Saúde Pública). Escola Nacional de Saúde Pública Sergio Arouca, Fundação Oswaldo Cruz. Rio de Janeiro, 2016.</w:t>
      </w:r>
    </w:p>
    <w:p w:rsidR="00000000" w:rsidDel="00000000" w:rsidP="00000000" w:rsidRDefault="00000000" w:rsidRPr="00000000" w14:paraId="00000120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RODY, Thalita; TELLES,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Liliam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(Organizadoras).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Caderneta agroecológica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: o saber e o fazer das mulheres do campo, das florestas e das águas. Viçosa, MG. Editora Asa Pequena,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22">
      <w:pPr>
        <w:widowControl w:val="1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1"/>
        <w:jc w:val="both"/>
        <w:rPr>
          <w:rFonts w:ascii="Avenir" w:cs="Avenir" w:eastAsia="Avenir" w:hAnsi="Avenir"/>
          <w:color w:val="ff0000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TRIPP, David. Pesquisa-ação: uma introdução metodológica. Educação e Pesquisa, v. 31, n. 3, p. 443-466, set./dez. 2005.</w:t>
      </w:r>
      <w:r w:rsidDel="00000000" w:rsidR="00000000" w:rsidRPr="00000000">
        <w:rPr>
          <w:rtl w:val="0"/>
        </w:rPr>
      </w:r>
    </w:p>
    <w:sectPr>
      <w:headerReference r:id="rId14" w:type="default"/>
      <w:pgSz w:h="16840" w:w="1191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venir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Graduanda de Licenciatura em Geografia - Faculdade Interdisciplinar em Humanidades/UFVJM, bolsista Iniciação Científica FAPEMIG-Brasil Edital CICT 004-2021 PIBIC-UFVJM. </w:t>
      </w:r>
      <w:hyperlink r:id="rId1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highlight w:val="white"/>
            <w:u w:val="single"/>
            <w:rtl w:val="0"/>
          </w:rPr>
          <w:t xml:space="preserve">ana.franca@ufvjm.edu.br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Professora da Licenciatura em Educação do Campo e do Mestrado em Estudos Rurais - Faculdade Interdisciplinar em Humanidades/UFVJM, Doutora em Ciências Humanas, membro do Observatório dos Vales e do Semiárido Mineiro. </w:t>
      </w:r>
      <w:hyperlink r:id="rId2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u w:val="single"/>
            <w:rtl w:val="0"/>
          </w:rPr>
          <w:t xml:space="preserve">Ivana.lovo@ufvjm.edu.br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e </w:t>
      </w:r>
      <w:hyperlink r:id="rId3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u w:val="single"/>
            <w:rtl w:val="0"/>
          </w:rPr>
          <w:t xml:space="preserve">observatorio@ufvjm.edu.br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127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O presente trabalho foi realizado com apoio da FAPEMIG, Fundação de Amparo à Pesquisa do Estado de Minas Gerais – Brasil, do Programa Institucional de Bolsas de Extensão da Universidade Federal dos Vales do Jequitinhonha e Mucuri (PIBEX-UFVJM) e do Movimento pela Soberania Popular na Mineração (MAM).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</w:footnote>
  <w:footnote w:id="3">
    <w:p w:rsidR="00000000" w:rsidDel="00000000" w:rsidP="00000000" w:rsidRDefault="00000000" w:rsidRPr="00000000" w14:paraId="00000128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color w:val="2f2f2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Professora do Departamento de Nutrição e dos Mestrados em Estudos Rurais e em Saúde Sociedade e Ambiente - UFVJM. </w:t>
      </w:r>
      <w:hyperlink r:id="rId4">
        <w:r w:rsidDel="00000000" w:rsidR="00000000" w:rsidRPr="00000000">
          <w:rPr>
            <w:rFonts w:ascii="Avenir" w:cs="Avenir" w:eastAsia="Avenir" w:hAnsi="Avenir"/>
            <w:color w:val="1155cc"/>
            <w:sz w:val="20"/>
            <w:szCs w:val="20"/>
            <w:u w:val="single"/>
            <w:rtl w:val="0"/>
          </w:rPr>
          <w:t xml:space="preserve">nadja.murta@ufvjm.edu.br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9">
      <w:pPr>
        <w:rPr>
          <w:rFonts w:ascii="Avenir" w:cs="Avenir" w:eastAsia="Avenir" w:hAnsi="Avenir"/>
          <w:color w:val="2f2f2f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right"/>
      <w:rPr/>
    </w:pPr>
    <w:r w:rsidDel="00000000" w:rsidR="00000000" w:rsidRPr="00000000">
      <w:rPr>
        <w:rFonts w:ascii="Avenir" w:cs="Avenir" w:eastAsia="Avenir" w:hAnsi="Avenir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hanging="2"/>
      <w:jc w:val="both"/>
    </w:pPr>
    <w:rPr>
      <w:rFonts w:ascii="Avenir" w:cs="Avenir" w:eastAsia="Avenir" w:hAnsi="Avenir"/>
      <w:color w:val="2f2f2f"/>
      <w:sz w:val="24"/>
      <w:szCs w:val="24"/>
    </w:rPr>
  </w:style>
  <w:style w:type="paragraph" w:styleId="Normal" w:default="1">
    <w:name w:val="Normal"/>
    <w:qFormat w:val="1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6C5DA7"/>
    <w:pPr>
      <w:spacing w:after="120" w:before="240"/>
      <w:outlineLvl w:val="0"/>
    </w:pPr>
    <w:rPr>
      <w:b w:val="1"/>
      <w:lang w:val="pt-BR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Ttulo1Char" w:customStyle="1">
    <w:name w:val="Título 1 Char"/>
    <w:basedOn w:val="Fontepargpadro"/>
    <w:link w:val="Ttulo1"/>
    <w:uiPriority w:val="9"/>
    <w:rsid w:val="006C5DA7"/>
    <w:rPr>
      <w:rFonts w:ascii="Times New Roman" w:cs="Times New Roman" w:eastAsia="Times New Roman" w:hAnsi="Times New Roman"/>
      <w:b w:val="1"/>
      <w:lang w:val="pt-BR"/>
    </w:rPr>
  </w:style>
  <w:style w:type="paragraph" w:styleId="ABNT-Corpodetextoartigo" w:customStyle="1">
    <w:name w:val="ABNT - Corpo de texto artigo"/>
    <w:basedOn w:val="Normal"/>
    <w:qFormat w:val="1"/>
    <w:rsid w:val="006C5DA7"/>
    <w:pPr>
      <w:widowControl w:val="1"/>
      <w:ind w:firstLine="709"/>
      <w:jc w:val="both"/>
    </w:pPr>
    <w:rPr>
      <w:rFonts w:eastAsia="Calibri"/>
      <w:sz w:val="24"/>
      <w:lang w:val="pt-BR"/>
    </w:rPr>
  </w:style>
  <w:style w:type="paragraph" w:styleId="ABNT-Ttulodoartigo" w:customStyle="1">
    <w:name w:val="ABNT - Título do artigo"/>
    <w:basedOn w:val="Normal"/>
    <w:qFormat w:val="1"/>
    <w:rsid w:val="006C5DA7"/>
    <w:pPr>
      <w:widowControl w:val="1"/>
      <w:jc w:val="center"/>
    </w:pPr>
    <w:rPr>
      <w:rFonts w:eastAsia="Calibri"/>
      <w:b w:val="1"/>
      <w:caps w:val="1"/>
      <w:sz w:val="24"/>
      <w:lang w:val="pt-BR"/>
    </w:rPr>
  </w:style>
  <w:style w:type="paragraph" w:styleId="ABNT-Autores" w:customStyle="1">
    <w:name w:val="ABNT - Autores"/>
    <w:basedOn w:val="Normal"/>
    <w:qFormat w:val="1"/>
    <w:rsid w:val="006C5DA7"/>
    <w:pPr>
      <w:widowControl w:val="1"/>
      <w:jc w:val="right"/>
    </w:pPr>
    <w:rPr>
      <w:rFonts w:eastAsia="Calibri"/>
      <w:sz w:val="24"/>
      <w:lang w:val="pt-BR"/>
    </w:rPr>
  </w:style>
  <w:style w:type="paragraph" w:styleId="ABNT-Citaodiretalonga" w:customStyle="1">
    <w:name w:val="ABNT - Citação direta longa"/>
    <w:basedOn w:val="Normal"/>
    <w:qFormat w:val="1"/>
    <w:rsid w:val="006C5DA7"/>
    <w:pPr>
      <w:widowControl w:val="1"/>
      <w:spacing w:after="340" w:before="340"/>
      <w:ind w:left="2268"/>
      <w:jc w:val="both"/>
    </w:pPr>
    <w:rPr>
      <w:rFonts w:eastAsia="Calibri"/>
      <w:sz w:val="20"/>
      <w:lang w:val="pt-BR"/>
    </w:rPr>
  </w:style>
  <w:style w:type="paragraph" w:styleId="ABNT-Resumoartigo" w:customStyle="1">
    <w:name w:val="ABNT - Resumo artigo"/>
    <w:basedOn w:val="ABNT-Corpodetextoartigo"/>
    <w:qFormat w:val="1"/>
    <w:rsid w:val="006C5DA7"/>
    <w:pPr>
      <w:ind w:firstLine="0"/>
    </w:pPr>
  </w:style>
  <w:style w:type="paragraph" w:styleId="ABNT-Ttulononumerado" w:customStyle="1">
    <w:name w:val="ABNT - Título não numerado"/>
    <w:basedOn w:val="ABNT-Ttulodoartigo"/>
    <w:qFormat w:val="1"/>
    <w:rsid w:val="006C5DA7"/>
    <w:pPr>
      <w:spacing w:after="397" w:before="397"/>
      <w:jc w:val="left"/>
    </w:pPr>
    <w:rPr>
      <w:caps w:val="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435DF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435DF"/>
    <w:rPr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435DF"/>
    <w:rPr>
      <w:vertAlign w:val="superscript"/>
    </w:rPr>
  </w:style>
  <w:style w:type="paragraph" w:styleId="msonormal0" w:customStyle="1">
    <w:name w:val="msonormal"/>
    <w:basedOn w:val="Normal"/>
    <w:rsid w:val="00154441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semiHidden w:val="1"/>
    <w:unhideWhenUsed w:val="1"/>
    <w:rsid w:val="00154441"/>
    <w:pPr>
      <w:widowControl w:val="1"/>
      <w:spacing w:after="100" w:afterAutospacing="1" w:before="100" w:beforeAutospacing="1"/>
    </w:pPr>
    <w:rPr>
      <w:sz w:val="24"/>
      <w:szCs w:val="24"/>
      <w:lang w:val="pt-BR"/>
    </w:rPr>
  </w:style>
  <w:style w:type="character" w:styleId="apple-tab-span" w:customStyle="1">
    <w:name w:val="apple-tab-span"/>
    <w:basedOn w:val="Fontepargpadro"/>
    <w:rsid w:val="0015444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jpg"/><Relationship Id="rId1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ana.franca@ufvjm.edu.br" TargetMode="External"/><Relationship Id="rId2" Type="http://schemas.openxmlformats.org/officeDocument/2006/relationships/hyperlink" Target="mailto:Ivana.lovo@ufvjm.edu.br" TargetMode="External"/><Relationship Id="rId3" Type="http://schemas.openxmlformats.org/officeDocument/2006/relationships/hyperlink" Target="mailto:observatorio@ufvjm.edu.br" TargetMode="External"/><Relationship Id="rId4" Type="http://schemas.openxmlformats.org/officeDocument/2006/relationships/hyperlink" Target="mailto:nadja.murta@ufvjm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7i30kWBjq/KnS6O1ZNJb4/sSMw==">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2023-06-26T00:51:00Z</dcterms:created>
  <dc:creator>Camila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2022-11-04T00:00:00Z</vt:filetime>
  </property>
</Properties>
</file>