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FFCD" w14:textId="53FFF2D8" w:rsidR="00245179" w:rsidRDefault="00651A28" w:rsidP="00BF2E60">
      <w:pPr>
        <w:widowControl/>
        <w:jc w:val="center"/>
        <w:rPr>
          <w:b/>
          <w:sz w:val="24"/>
          <w:szCs w:val="24"/>
        </w:rPr>
      </w:pPr>
      <w:r w:rsidRPr="00651A28">
        <w:rPr>
          <w:b/>
          <w:sz w:val="24"/>
          <w:szCs w:val="24"/>
        </w:rPr>
        <w:t xml:space="preserve">RELAÇÃO ENTRE SUBSTRATO E DESENVOLVIMENTO INICIAL </w:t>
      </w:r>
      <w:r>
        <w:rPr>
          <w:b/>
          <w:sz w:val="24"/>
          <w:szCs w:val="24"/>
        </w:rPr>
        <w:t xml:space="preserve">EM PLÂNTULAS DE </w:t>
      </w:r>
      <w:r w:rsidRPr="00651A28">
        <w:rPr>
          <w:b/>
          <w:sz w:val="24"/>
          <w:szCs w:val="24"/>
        </w:rPr>
        <w:t>CASSIA GRANDIS</w:t>
      </w:r>
    </w:p>
    <w:p w14:paraId="025F76C3" w14:textId="77777777" w:rsidR="00651A28" w:rsidRPr="004224E2" w:rsidRDefault="00651A28" w:rsidP="00BF2E60">
      <w:pPr>
        <w:widowControl/>
        <w:jc w:val="center"/>
        <w:rPr>
          <w:b/>
          <w:sz w:val="24"/>
          <w:szCs w:val="24"/>
        </w:rPr>
      </w:pPr>
    </w:p>
    <w:p w14:paraId="5B19B131" w14:textId="0E024648" w:rsidR="004E70CB" w:rsidRPr="004224E2" w:rsidRDefault="00000000">
      <w:pPr>
        <w:spacing w:line="276" w:lineRule="auto"/>
        <w:ind w:left="221" w:right="214"/>
        <w:jc w:val="center"/>
        <w:rPr>
          <w:b/>
          <w:sz w:val="20"/>
          <w:szCs w:val="20"/>
        </w:rPr>
      </w:pPr>
      <w:r w:rsidRPr="004224E2">
        <w:rPr>
          <w:b/>
          <w:sz w:val="20"/>
          <w:szCs w:val="20"/>
        </w:rPr>
        <w:t>Au</w:t>
      </w:r>
      <w:r w:rsidR="00BF2E60" w:rsidRPr="004224E2">
        <w:rPr>
          <w:b/>
          <w:sz w:val="20"/>
          <w:szCs w:val="20"/>
        </w:rPr>
        <w:t xml:space="preserve">gusto de </w:t>
      </w:r>
      <w:r w:rsidR="00245179" w:rsidRPr="004224E2">
        <w:rPr>
          <w:b/>
          <w:sz w:val="20"/>
          <w:szCs w:val="20"/>
        </w:rPr>
        <w:t>Lima Barbosa</w:t>
      </w:r>
      <w:r w:rsidR="00651A28" w:rsidRPr="00651A28">
        <w:rPr>
          <w:b/>
          <w:sz w:val="20"/>
          <w:szCs w:val="20"/>
          <w:vertAlign w:val="superscript"/>
        </w:rPr>
        <w:t>1</w:t>
      </w:r>
      <w:r w:rsidRPr="004224E2">
        <w:rPr>
          <w:b/>
          <w:sz w:val="20"/>
          <w:szCs w:val="20"/>
        </w:rPr>
        <w:t xml:space="preserve">, </w:t>
      </w:r>
      <w:r w:rsidR="00BF2E60" w:rsidRPr="004224E2">
        <w:rPr>
          <w:b/>
          <w:sz w:val="20"/>
          <w:szCs w:val="20"/>
        </w:rPr>
        <w:t>Barbara gomes de Moura</w:t>
      </w:r>
      <w:r w:rsidR="00651A28" w:rsidRPr="00651A28">
        <w:rPr>
          <w:b/>
          <w:sz w:val="20"/>
          <w:szCs w:val="20"/>
          <w:vertAlign w:val="superscript"/>
        </w:rPr>
        <w:t>2</w:t>
      </w:r>
      <w:r w:rsidRPr="004224E2">
        <w:rPr>
          <w:b/>
          <w:sz w:val="20"/>
          <w:szCs w:val="20"/>
        </w:rPr>
        <w:t xml:space="preserve">, </w:t>
      </w:r>
      <w:r w:rsidR="00BF2E60" w:rsidRPr="004224E2">
        <w:rPr>
          <w:b/>
          <w:sz w:val="20"/>
          <w:szCs w:val="20"/>
        </w:rPr>
        <w:t xml:space="preserve">Maria </w:t>
      </w:r>
      <w:proofErr w:type="spellStart"/>
      <w:r w:rsidR="00651A28" w:rsidRPr="004224E2">
        <w:rPr>
          <w:b/>
          <w:sz w:val="20"/>
          <w:szCs w:val="20"/>
        </w:rPr>
        <w:t>Katielly</w:t>
      </w:r>
      <w:proofErr w:type="spellEnd"/>
      <w:r w:rsidR="00651A28" w:rsidRPr="004224E2">
        <w:rPr>
          <w:b/>
          <w:sz w:val="20"/>
          <w:szCs w:val="20"/>
        </w:rPr>
        <w:t xml:space="preserve"> </w:t>
      </w:r>
      <w:r w:rsidR="00BF2E60" w:rsidRPr="004224E2">
        <w:rPr>
          <w:b/>
          <w:sz w:val="20"/>
          <w:szCs w:val="20"/>
        </w:rPr>
        <w:t>Menezes Batista</w:t>
      </w:r>
      <w:r w:rsidR="00651A28" w:rsidRPr="00651A28">
        <w:rPr>
          <w:b/>
          <w:sz w:val="20"/>
          <w:szCs w:val="20"/>
          <w:vertAlign w:val="superscript"/>
        </w:rPr>
        <w:t>3</w:t>
      </w:r>
      <w:r w:rsidR="00BF2E60" w:rsidRPr="004224E2">
        <w:rPr>
          <w:b/>
          <w:sz w:val="20"/>
          <w:szCs w:val="20"/>
        </w:rPr>
        <w:t xml:space="preserve">, </w:t>
      </w:r>
      <w:proofErr w:type="spellStart"/>
      <w:r w:rsidR="00BF2E60" w:rsidRPr="004224E2">
        <w:rPr>
          <w:b/>
          <w:sz w:val="20"/>
          <w:szCs w:val="20"/>
        </w:rPr>
        <w:t>Gizeli</w:t>
      </w:r>
      <w:proofErr w:type="spellEnd"/>
      <w:r w:rsidR="00BF2E60" w:rsidRPr="004224E2">
        <w:rPr>
          <w:b/>
          <w:sz w:val="20"/>
          <w:szCs w:val="20"/>
        </w:rPr>
        <w:t xml:space="preserve"> Vasconcelos dos Santos</w:t>
      </w:r>
      <w:r w:rsidR="00651A28" w:rsidRPr="00651A28">
        <w:rPr>
          <w:b/>
          <w:sz w:val="20"/>
          <w:szCs w:val="20"/>
          <w:vertAlign w:val="superscript"/>
        </w:rPr>
        <w:t>4</w:t>
      </w:r>
      <w:r w:rsidR="00BF2E60" w:rsidRPr="004224E2">
        <w:rPr>
          <w:b/>
          <w:sz w:val="20"/>
          <w:szCs w:val="20"/>
        </w:rPr>
        <w:t>,</w:t>
      </w:r>
      <w:r w:rsidR="00651A28">
        <w:rPr>
          <w:b/>
          <w:sz w:val="20"/>
          <w:szCs w:val="20"/>
        </w:rPr>
        <w:t xml:space="preserve"> </w:t>
      </w:r>
      <w:r w:rsidR="00651A28" w:rsidRPr="00753D45">
        <w:rPr>
          <w:b/>
          <w:sz w:val="20"/>
          <w:szCs w:val="20"/>
        </w:rPr>
        <w:t>Marcio Vinicius da Silva Santos</w:t>
      </w:r>
      <w:r w:rsidR="00651A28">
        <w:rPr>
          <w:b/>
          <w:sz w:val="20"/>
          <w:szCs w:val="20"/>
          <w:vertAlign w:val="superscript"/>
        </w:rPr>
        <w:t>5</w:t>
      </w:r>
      <w:r w:rsidR="00651A28" w:rsidRPr="00651A28">
        <w:rPr>
          <w:b/>
          <w:sz w:val="20"/>
          <w:szCs w:val="20"/>
        </w:rPr>
        <w:t>;</w:t>
      </w:r>
      <w:r w:rsidR="00651A28">
        <w:rPr>
          <w:b/>
          <w:sz w:val="20"/>
          <w:szCs w:val="20"/>
        </w:rPr>
        <w:t xml:space="preserve"> Vitória da Silva</w:t>
      </w:r>
      <w:r w:rsidR="00651A28" w:rsidRPr="00651A28">
        <w:rPr>
          <w:b/>
          <w:sz w:val="20"/>
          <w:szCs w:val="20"/>
          <w:vertAlign w:val="superscript"/>
        </w:rPr>
        <w:t>6</w:t>
      </w:r>
      <w:r w:rsidR="00651A28">
        <w:rPr>
          <w:b/>
          <w:sz w:val="20"/>
          <w:szCs w:val="20"/>
        </w:rPr>
        <w:t>,</w:t>
      </w:r>
      <w:r w:rsidR="000E4F98" w:rsidRPr="000E4F98">
        <w:rPr>
          <w:b/>
          <w:sz w:val="20"/>
          <w:szCs w:val="20"/>
        </w:rPr>
        <w:t xml:space="preserve"> </w:t>
      </w:r>
      <w:r w:rsidR="000E4F98">
        <w:rPr>
          <w:b/>
          <w:sz w:val="20"/>
          <w:szCs w:val="20"/>
        </w:rPr>
        <w:t>Mariana de Souza Santos</w:t>
      </w:r>
      <w:r w:rsidR="000E4F98" w:rsidRPr="000E4F98">
        <w:rPr>
          <w:b/>
          <w:sz w:val="20"/>
          <w:szCs w:val="20"/>
          <w:vertAlign w:val="superscript"/>
        </w:rPr>
        <w:t xml:space="preserve"> </w:t>
      </w:r>
      <w:r w:rsidR="000E4F98">
        <w:rPr>
          <w:b/>
          <w:sz w:val="20"/>
          <w:szCs w:val="20"/>
          <w:vertAlign w:val="superscript"/>
        </w:rPr>
        <w:t>7</w:t>
      </w:r>
      <w:r w:rsidR="000E4F98">
        <w:rPr>
          <w:b/>
          <w:sz w:val="20"/>
          <w:szCs w:val="20"/>
        </w:rPr>
        <w:t>,</w:t>
      </w:r>
      <w:r w:rsidR="00651A28">
        <w:rPr>
          <w:b/>
          <w:sz w:val="20"/>
          <w:szCs w:val="20"/>
        </w:rPr>
        <w:t xml:space="preserve"> </w:t>
      </w:r>
      <w:proofErr w:type="spellStart"/>
      <w:r w:rsidR="00651A28" w:rsidRPr="00753D45">
        <w:rPr>
          <w:b/>
          <w:bCs/>
          <w:sz w:val="20"/>
          <w:szCs w:val="20"/>
        </w:rPr>
        <w:t>Emilly</w:t>
      </w:r>
      <w:proofErr w:type="spellEnd"/>
      <w:r w:rsidR="00651A28" w:rsidRPr="00753D45">
        <w:rPr>
          <w:b/>
          <w:bCs/>
          <w:sz w:val="20"/>
          <w:szCs w:val="20"/>
        </w:rPr>
        <w:t xml:space="preserve"> Luize Guedes da Silva</w:t>
      </w:r>
      <w:r w:rsidR="000E4F98">
        <w:rPr>
          <w:b/>
          <w:bCs/>
          <w:sz w:val="20"/>
          <w:szCs w:val="20"/>
          <w:vertAlign w:val="superscript"/>
        </w:rPr>
        <w:t>8</w:t>
      </w:r>
      <w:r w:rsidR="00651A28" w:rsidRPr="00753D45">
        <w:rPr>
          <w:b/>
          <w:bCs/>
          <w:sz w:val="20"/>
          <w:szCs w:val="20"/>
        </w:rPr>
        <w:t xml:space="preserve">, </w:t>
      </w:r>
      <w:r w:rsidR="00A37F93" w:rsidRPr="00A37F93">
        <w:rPr>
          <w:b/>
          <w:bCs/>
          <w:sz w:val="20"/>
          <w:szCs w:val="20"/>
        </w:rPr>
        <w:t>Gustavo Henrique do Nascimento Silva</w:t>
      </w:r>
      <w:r w:rsidR="00651A28" w:rsidRPr="00753D45">
        <w:rPr>
          <w:b/>
          <w:sz w:val="20"/>
          <w:szCs w:val="20"/>
          <w:vertAlign w:val="superscript"/>
        </w:rPr>
        <w:t>9</w:t>
      </w:r>
      <w:r w:rsidR="00BF2E60" w:rsidRPr="004224E2">
        <w:rPr>
          <w:b/>
          <w:sz w:val="20"/>
          <w:szCs w:val="20"/>
        </w:rPr>
        <w:t xml:space="preserve"> Hugo Henrique Costa do Nascimento</w:t>
      </w:r>
      <w:r w:rsidR="00651A28" w:rsidRPr="00651A28">
        <w:rPr>
          <w:b/>
          <w:sz w:val="20"/>
          <w:szCs w:val="20"/>
          <w:vertAlign w:val="superscript"/>
        </w:rPr>
        <w:t>10</w:t>
      </w:r>
      <w:r w:rsidR="00BF2E60" w:rsidRPr="004224E2">
        <w:rPr>
          <w:b/>
          <w:sz w:val="20"/>
          <w:szCs w:val="20"/>
        </w:rPr>
        <w:t>.</w:t>
      </w:r>
    </w:p>
    <w:p w14:paraId="2FC336B8" w14:textId="77777777" w:rsidR="00245179" w:rsidRPr="004224E2" w:rsidRDefault="00245179" w:rsidP="00245179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0" w:name="_heading=h.yp96iwu2o7wg" w:colFirst="0" w:colLast="0"/>
      <w:bookmarkEnd w:id="0"/>
      <w:r w:rsidRPr="004224E2">
        <w:rPr>
          <w:sz w:val="20"/>
          <w:szCs w:val="20"/>
        </w:rPr>
        <w:t>Universidade Federal de Alagoas</w:t>
      </w:r>
      <w:r w:rsidRPr="004224E2">
        <w:rPr>
          <w:sz w:val="20"/>
          <w:szCs w:val="20"/>
          <w:vertAlign w:val="superscript"/>
        </w:rPr>
        <w:t>1,2,3,4,5,6,7,8,9,10</w:t>
      </w:r>
      <w:r w:rsidRPr="004224E2">
        <w:rPr>
          <w:sz w:val="20"/>
          <w:szCs w:val="20"/>
        </w:rPr>
        <w:t>.</w:t>
      </w:r>
    </w:p>
    <w:p w14:paraId="021DE31B" w14:textId="77777777" w:rsidR="00B659E2" w:rsidRDefault="00B659E2" w:rsidP="00B659E2">
      <w:pPr>
        <w:jc w:val="center"/>
        <w:rPr>
          <w:sz w:val="20"/>
          <w:szCs w:val="20"/>
        </w:rPr>
      </w:pPr>
      <w:hyperlink r:id="rId8"/>
      <w:r>
        <w:t xml:space="preserve"> </w:t>
      </w:r>
      <w:hyperlink r:id="rId9">
        <w:r>
          <w:rPr>
            <w:color w:val="0000FF"/>
            <w:sz w:val="20"/>
            <w:szCs w:val="20"/>
            <w:u w:val="single"/>
          </w:rPr>
          <w:t>augusto.barbosa@ceca.ufal.br</w:t>
        </w:r>
      </w:hyperlink>
    </w:p>
    <w:p w14:paraId="277C73B4" w14:textId="4F9E2487" w:rsidR="00B659E2" w:rsidRDefault="00B659E2" w:rsidP="00B659E2">
      <w:pPr>
        <w:jc w:val="center"/>
        <w:rPr>
          <w:sz w:val="20"/>
          <w:szCs w:val="20"/>
        </w:rPr>
      </w:pPr>
    </w:p>
    <w:p w14:paraId="16C2B531" w14:textId="77777777" w:rsidR="004E70CB" w:rsidRPr="004224E2" w:rsidRDefault="004E70CB">
      <w:pPr>
        <w:jc w:val="both"/>
        <w:rPr>
          <w:sz w:val="20"/>
          <w:szCs w:val="20"/>
        </w:rPr>
      </w:pPr>
    </w:p>
    <w:p w14:paraId="0D056AD9" w14:textId="77777777" w:rsidR="00BF2E60" w:rsidRPr="004224E2" w:rsidRDefault="00000000">
      <w:pPr>
        <w:jc w:val="both"/>
        <w:rPr>
          <w:sz w:val="20"/>
          <w:szCs w:val="20"/>
        </w:rPr>
      </w:pPr>
      <w:r w:rsidRPr="004224E2">
        <w:rPr>
          <w:b/>
          <w:sz w:val="20"/>
          <w:szCs w:val="20"/>
        </w:rPr>
        <w:t>RESUMO</w:t>
      </w:r>
      <w:r w:rsidRPr="004224E2">
        <w:rPr>
          <w:sz w:val="20"/>
          <w:szCs w:val="20"/>
        </w:rPr>
        <w:t xml:space="preserve"> </w:t>
      </w:r>
    </w:p>
    <w:p w14:paraId="1D338DAB" w14:textId="26FB26C2" w:rsidR="00EC3A47" w:rsidRPr="00BE4B4D" w:rsidRDefault="00EC3A47" w:rsidP="00EC3A47">
      <w:pPr>
        <w:widowControl/>
        <w:jc w:val="both"/>
        <w:rPr>
          <w:sz w:val="20"/>
          <w:szCs w:val="20"/>
        </w:rPr>
      </w:pP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O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presente trabalho tem como objetivo efeitos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de diferentes formulações de substratos no crescimento de plântulas de </w:t>
      </w:r>
      <w:r w:rsidRPr="004224E2">
        <w:rPr>
          <w:i/>
          <w:sz w:val="20"/>
          <w:szCs w:val="20"/>
        </w:rPr>
        <w:t xml:space="preserve">Cassia </w:t>
      </w:r>
      <w:proofErr w:type="spellStart"/>
      <w:r w:rsidRPr="004224E2">
        <w:rPr>
          <w:i/>
          <w:sz w:val="20"/>
          <w:szCs w:val="20"/>
        </w:rPr>
        <w:t>grandis</w:t>
      </w:r>
      <w:proofErr w:type="spellEnd"/>
      <w:r w:rsidRPr="004224E2">
        <w:rPr>
          <w:sz w:val="20"/>
          <w:szCs w:val="20"/>
        </w:rPr>
        <w:t xml:space="preserve"> </w:t>
      </w:r>
      <w:proofErr w:type="spellStart"/>
      <w:r w:rsidRPr="004224E2">
        <w:rPr>
          <w:sz w:val="20"/>
          <w:szCs w:val="20"/>
        </w:rPr>
        <w:t>L.f</w:t>
      </w:r>
      <w:proofErr w:type="spellEnd"/>
      <w:r w:rsidRPr="004224E2">
        <w:rPr>
          <w:sz w:val="20"/>
          <w:szCs w:val="20"/>
        </w:rPr>
        <w:t>. O experimento foi realizado no Laboratório de Tecnologia da Produção localizado no Campus de Engenharias e Ciências Agrárias da Universidade Federal de Alagoas. Para isto foram montados 13 tratamentos baseados em formulações com Areia lavada, Pó de serra e Cavaco, com 5 repetições (cada), contendo em cada repetição 10 sementes. Totalizando 520 sementes.</w:t>
      </w:r>
      <w:r w:rsidR="004224E2" w:rsidRPr="004224E2">
        <w:rPr>
          <w:sz w:val="20"/>
          <w:szCs w:val="20"/>
        </w:rPr>
        <w:t xml:space="preserve"> </w:t>
      </w:r>
      <w:r w:rsidR="004224E2" w:rsidRPr="004224E2">
        <w:rPr>
          <w:color w:val="000000"/>
          <w:sz w:val="20"/>
          <w:szCs w:val="20"/>
        </w:rPr>
        <w:t xml:space="preserve">Foram avaliadas a altura das plântulas, diâmetro do caule, número de folhas e folíolo, e no fim do período experimental, foi possível avaliar a produção de matéria seca dos seguintes órgãos: folha, caule, sistema radicular, total e relação raiz parte aérea, e por fim realização de alocação dentro dos tratamentos e entre os tratamentos. </w:t>
      </w:r>
      <w:r w:rsidRPr="00BE4B4D">
        <w:rPr>
          <w:sz w:val="20"/>
          <w:szCs w:val="20"/>
        </w:rPr>
        <w:t>A</w:t>
      </w:r>
      <w:r w:rsidRPr="004224E2">
        <w:rPr>
          <w:sz w:val="20"/>
          <w:szCs w:val="20"/>
        </w:rPr>
        <w:t xml:space="preserve">s formulações de substratos aplicados influenciaram significativamente </w:t>
      </w:r>
      <w:r w:rsidRPr="00BE4B4D">
        <w:rPr>
          <w:sz w:val="20"/>
          <w:szCs w:val="20"/>
        </w:rPr>
        <w:t xml:space="preserve">o crescimento </w:t>
      </w:r>
      <w:r w:rsidRPr="004224E2">
        <w:rPr>
          <w:sz w:val="20"/>
          <w:szCs w:val="20"/>
        </w:rPr>
        <w:t xml:space="preserve">das </w:t>
      </w:r>
      <w:r w:rsidRPr="00BE4B4D">
        <w:rPr>
          <w:sz w:val="20"/>
          <w:szCs w:val="20"/>
        </w:rPr>
        <w:t>plântulas</w:t>
      </w:r>
      <w:r w:rsidRPr="004224E2">
        <w:rPr>
          <w:sz w:val="20"/>
          <w:szCs w:val="20"/>
        </w:rPr>
        <w:t xml:space="preserve"> e dentro os </w:t>
      </w:r>
      <w:r w:rsidRPr="00BE4B4D">
        <w:rPr>
          <w:sz w:val="20"/>
          <w:szCs w:val="20"/>
        </w:rPr>
        <w:t>substrato</w:t>
      </w:r>
      <w:r w:rsidRPr="004224E2">
        <w:rPr>
          <w:sz w:val="20"/>
          <w:szCs w:val="20"/>
        </w:rPr>
        <w:t xml:space="preserve">s, a formulação </w:t>
      </w:r>
      <w:r w:rsidRPr="009B2AE7">
        <w:rPr>
          <w:sz w:val="20"/>
          <w:szCs w:val="20"/>
          <w:lang w:bidi="ar-SA"/>
        </w:rPr>
        <w:t xml:space="preserve">40% </w:t>
      </w:r>
      <w:proofErr w:type="spellStart"/>
      <w:r w:rsidRPr="004224E2">
        <w:rPr>
          <w:sz w:val="20"/>
          <w:szCs w:val="20"/>
          <w:lang w:bidi="ar-SA"/>
        </w:rPr>
        <w:t>cavavo</w:t>
      </w:r>
      <w:proofErr w:type="spellEnd"/>
      <w:r w:rsidRPr="004224E2">
        <w:rPr>
          <w:sz w:val="20"/>
          <w:szCs w:val="20"/>
          <w:lang w:bidi="ar-SA"/>
        </w:rPr>
        <w:t xml:space="preserve"> e </w:t>
      </w:r>
      <w:r w:rsidRPr="009B2AE7">
        <w:rPr>
          <w:sz w:val="20"/>
          <w:szCs w:val="20"/>
          <w:lang w:bidi="ar-SA"/>
        </w:rPr>
        <w:t>60% A</w:t>
      </w:r>
      <w:r w:rsidRPr="004224E2">
        <w:rPr>
          <w:sz w:val="20"/>
          <w:szCs w:val="20"/>
          <w:lang w:bidi="ar-SA"/>
        </w:rPr>
        <w:t>reia lavada</w:t>
      </w:r>
      <w:r w:rsidRPr="00BE4B4D">
        <w:rPr>
          <w:sz w:val="20"/>
          <w:szCs w:val="20"/>
        </w:rPr>
        <w:t xml:space="preserve"> mostrou-se o mais adequado para a formação inicial de mudas de </w:t>
      </w:r>
      <w:r w:rsidRPr="004224E2">
        <w:rPr>
          <w:i/>
          <w:sz w:val="20"/>
          <w:szCs w:val="20"/>
        </w:rPr>
        <w:t xml:space="preserve">Cassia </w:t>
      </w:r>
      <w:proofErr w:type="spellStart"/>
      <w:r w:rsidRPr="004224E2">
        <w:rPr>
          <w:i/>
          <w:sz w:val="20"/>
          <w:szCs w:val="20"/>
        </w:rPr>
        <w:t>grandis</w:t>
      </w:r>
      <w:proofErr w:type="spellEnd"/>
      <w:r w:rsidRPr="004224E2">
        <w:rPr>
          <w:sz w:val="20"/>
          <w:szCs w:val="20"/>
        </w:rPr>
        <w:t xml:space="preserve"> </w:t>
      </w:r>
      <w:proofErr w:type="spellStart"/>
      <w:r w:rsidRPr="004224E2">
        <w:rPr>
          <w:sz w:val="20"/>
          <w:szCs w:val="20"/>
        </w:rPr>
        <w:t>L.f</w:t>
      </w:r>
      <w:proofErr w:type="spellEnd"/>
      <w:r w:rsidRPr="004224E2">
        <w:rPr>
          <w:sz w:val="20"/>
          <w:szCs w:val="20"/>
        </w:rPr>
        <w:t>.</w:t>
      </w:r>
      <w:r w:rsidRPr="00BE4B4D">
        <w:rPr>
          <w:sz w:val="20"/>
          <w:szCs w:val="20"/>
        </w:rPr>
        <w:t>, promovendo crescimento equilibrado e maior acúmulo de biomassa, mesmo com menor estatura das plântulas.</w:t>
      </w:r>
    </w:p>
    <w:p w14:paraId="23726B1B" w14:textId="77777777" w:rsidR="00EC3A47" w:rsidRPr="004224E2" w:rsidRDefault="00EC3A47" w:rsidP="00863417">
      <w:pPr>
        <w:jc w:val="both"/>
        <w:rPr>
          <w:bCs/>
          <w:sz w:val="20"/>
          <w:szCs w:val="20"/>
        </w:rPr>
      </w:pPr>
    </w:p>
    <w:p w14:paraId="5F561F1D" w14:textId="2CA49497" w:rsidR="00863417" w:rsidRPr="004224E2" w:rsidRDefault="00863417" w:rsidP="00863417">
      <w:pPr>
        <w:jc w:val="both"/>
        <w:rPr>
          <w:b/>
          <w:sz w:val="20"/>
          <w:szCs w:val="20"/>
        </w:rPr>
      </w:pPr>
      <w:r w:rsidRPr="004224E2">
        <w:rPr>
          <w:b/>
          <w:sz w:val="20"/>
          <w:szCs w:val="20"/>
        </w:rPr>
        <w:t xml:space="preserve">Palavras-chave: </w:t>
      </w:r>
      <w:r w:rsidR="00BB2A8B" w:rsidRPr="004224E2">
        <w:rPr>
          <w:i/>
          <w:sz w:val="20"/>
          <w:szCs w:val="20"/>
        </w:rPr>
        <w:t>Cassia</w:t>
      </w:r>
      <w:r w:rsidR="00EC3A47" w:rsidRPr="004224E2">
        <w:rPr>
          <w:i/>
          <w:sz w:val="20"/>
          <w:szCs w:val="20"/>
        </w:rPr>
        <w:t>-rosa,</w:t>
      </w:r>
      <w:r w:rsidR="00BB2A8B" w:rsidRPr="004224E2">
        <w:rPr>
          <w:sz w:val="20"/>
          <w:szCs w:val="20"/>
        </w:rPr>
        <w:t xml:space="preserve"> </w:t>
      </w:r>
      <w:r w:rsidR="00651A28">
        <w:rPr>
          <w:sz w:val="20"/>
          <w:szCs w:val="20"/>
        </w:rPr>
        <w:t>crescimento veg</w:t>
      </w:r>
      <w:r w:rsidR="00651A28" w:rsidRPr="00651A28">
        <w:rPr>
          <w:sz w:val="20"/>
          <w:szCs w:val="20"/>
        </w:rPr>
        <w:t>etal</w:t>
      </w:r>
      <w:r w:rsidRPr="00651A28">
        <w:rPr>
          <w:sz w:val="20"/>
          <w:szCs w:val="20"/>
        </w:rPr>
        <w:t xml:space="preserve">, </w:t>
      </w:r>
      <w:r w:rsidR="00651A28" w:rsidRPr="00651A28">
        <w:rPr>
          <w:sz w:val="20"/>
          <w:szCs w:val="20"/>
        </w:rPr>
        <w:t>P</w:t>
      </w:r>
      <w:r w:rsidRPr="00651A28">
        <w:rPr>
          <w:sz w:val="20"/>
          <w:szCs w:val="20"/>
        </w:rPr>
        <w:t>ó de serra, Cavaco, Produção</w:t>
      </w:r>
      <w:r w:rsidR="00651A28" w:rsidRPr="00651A28">
        <w:rPr>
          <w:sz w:val="20"/>
          <w:szCs w:val="20"/>
        </w:rPr>
        <w:t xml:space="preserve"> de mudas</w:t>
      </w:r>
      <w:r w:rsidRPr="00651A28">
        <w:rPr>
          <w:sz w:val="20"/>
          <w:szCs w:val="20"/>
        </w:rPr>
        <w:t>.</w:t>
      </w:r>
    </w:p>
    <w:p w14:paraId="06AC7918" w14:textId="77777777" w:rsidR="00863417" w:rsidRPr="004224E2" w:rsidRDefault="00863417" w:rsidP="00863417">
      <w:pPr>
        <w:jc w:val="both"/>
        <w:rPr>
          <w:b/>
          <w:sz w:val="20"/>
          <w:szCs w:val="20"/>
        </w:rPr>
      </w:pPr>
    </w:p>
    <w:p w14:paraId="276040C0" w14:textId="77777777" w:rsidR="00863417" w:rsidRPr="004224E2" w:rsidRDefault="00000000" w:rsidP="00863417">
      <w:pPr>
        <w:widowControl/>
        <w:jc w:val="both"/>
        <w:rPr>
          <w:b/>
          <w:sz w:val="20"/>
          <w:szCs w:val="20"/>
        </w:rPr>
      </w:pPr>
      <w:r w:rsidRPr="004224E2">
        <w:rPr>
          <w:b/>
          <w:sz w:val="20"/>
          <w:szCs w:val="20"/>
        </w:rPr>
        <w:t xml:space="preserve">INTRODUÇÃO </w:t>
      </w:r>
    </w:p>
    <w:p w14:paraId="02AA1556" w14:textId="155BC51D" w:rsidR="00245179" w:rsidRPr="00245179" w:rsidRDefault="00245179" w:rsidP="00245179">
      <w:pPr>
        <w:widowControl/>
        <w:ind w:firstLine="708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A 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Cassia </w:t>
      </w:r>
      <w:proofErr w:type="spellStart"/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grandis</w:t>
      </w:r>
      <w:proofErr w:type="spellEnd"/>
      <w:r w:rsidRPr="004224E2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  <w:proofErr w:type="spellStart"/>
      <w:r w:rsidRPr="004224E2">
        <w:rPr>
          <w:sz w:val="20"/>
          <w:szCs w:val="20"/>
        </w:rPr>
        <w:t>L.</w:t>
      </w:r>
      <w:r w:rsidR="00BB2A8B" w:rsidRPr="004224E2">
        <w:rPr>
          <w:sz w:val="20"/>
          <w:szCs w:val="20"/>
        </w:rPr>
        <w:t>f</w:t>
      </w:r>
      <w:proofErr w:type="spellEnd"/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>,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popularmente conhecida como </w:t>
      </w:r>
      <w:proofErr w:type="spellStart"/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cassia</w:t>
      </w:r>
      <w:proofErr w:type="spellEnd"/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ou </w:t>
      </w:r>
      <w:r w:rsidRPr="004224E2">
        <w:rPr>
          <w:sz w:val="20"/>
          <w:szCs w:val="20"/>
        </w:rPr>
        <w:t>cássia-r</w:t>
      </w:r>
      <w:r w:rsidR="00CB7D41">
        <w:rPr>
          <w:sz w:val="20"/>
          <w:szCs w:val="20"/>
        </w:rPr>
        <w:t>os</w:t>
      </w:r>
      <w:r w:rsidRPr="004224E2">
        <w:rPr>
          <w:sz w:val="20"/>
          <w:szCs w:val="20"/>
        </w:rPr>
        <w:t>a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espécie nativa do Brasil, pertence à família 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Fabaceae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e está representada no território nacional por mais de 500 espécies, manifestando-se na forma de árvores, arbustos e ervas. Essa espécie pode atingir alturas superiores a 30 metros, apresenta frutos lenhosos e, embora amplamente distribuída no Brasil, não é endêmica do país. Segundo Lorenzi (199</w:t>
      </w:r>
      <w:r w:rsidR="004224E2">
        <w:rPr>
          <w:color w:val="000000"/>
          <w:kern w:val="2"/>
          <w:sz w:val="20"/>
          <w:szCs w:val="20"/>
          <w:lang w:bidi="ar-SA"/>
          <w14:ligatures w14:val="standardContextual"/>
        </w:rPr>
        <w:t>2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), a 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C</w:t>
      </w:r>
      <w:r w:rsidRPr="004224E2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.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  <w:proofErr w:type="spellStart"/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grandis</w:t>
      </w:r>
      <w:proofErr w:type="spellEnd"/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ocorre em matas primárias abertas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e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em formações secundárias, sendo mais abundante na região Amazônica. Devido às suas características ornamentais e paisagísticas, tem sido amplamente utilizada em áreas urbanas e projetos de arborização.</w:t>
      </w:r>
    </w:p>
    <w:p w14:paraId="52013133" w14:textId="2925A9F9" w:rsidR="00245179" w:rsidRPr="00245179" w:rsidRDefault="00245179" w:rsidP="00245179">
      <w:pPr>
        <w:widowControl/>
        <w:ind w:firstLine="708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Diante dessas qualidades, a 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C</w:t>
      </w:r>
      <w:r w:rsidRPr="004224E2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.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  <w:proofErr w:type="spellStart"/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grandis</w:t>
      </w:r>
      <w:proofErr w:type="spellEnd"/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é considerada relevante em projetos de paisagismo e reflorestamento, mas sua principal aplicação se dá na indústria madeireira. Conforme Silva e Lemos (2002), sua madeira é altamente recomendada para uso na construção civil, especialmente em acabamentos internos, devido à sua durabilidade e qualidade. Contudo, a propagação dessa espécie encontra desafios, principalmente pela dormência presente nas sementes, uma característica comum entre as 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Fabaceae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>. De acordo com Lopes, Dias e Macedo (2006), essa dormência é do tipo tegumentar e atua como uma barreira física, limitando a entrada de água nas sementes e, consequentemente, dificultando o processo de germinação.</w:t>
      </w:r>
    </w:p>
    <w:p w14:paraId="12C94AC6" w14:textId="492DA3BE" w:rsidR="00245179" w:rsidRPr="00245179" w:rsidRDefault="00245179" w:rsidP="00245179">
      <w:pPr>
        <w:widowControl/>
        <w:ind w:firstLine="708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>Essa dormência tegumentar é apontada como um dos principais entraves à propagação de espécies florestais (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FLORIANO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, 2004). Segundo Fowler e </w:t>
      </w:r>
      <w:proofErr w:type="spellStart"/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>Binchetti</w:t>
      </w:r>
      <w:proofErr w:type="spellEnd"/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(2000), qualquer ruptura no tegumento, sem atingir o hilo, pode facilitar a entrada de água e gases, desencadeando o processo germinativo e o subsequente brotamento das plântulas. Para contornar essa limitação, sementes de 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C</w:t>
      </w:r>
      <w:r w:rsidRPr="004224E2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.</w:t>
      </w:r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  <w:proofErr w:type="spellStart"/>
      <w:r w:rsidRPr="00245179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grandis</w:t>
      </w:r>
      <w:proofErr w:type="spellEnd"/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foram submetidas a tratamentos de escarificação mecânica e </w:t>
      </w:r>
      <w:proofErr w:type="spellStart"/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>embebição</w:t>
      </w:r>
      <w:proofErr w:type="spellEnd"/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em água, organizadas em nove tratamentos com cinco repetições. As sementes foram dispostas em bandejas contendo oito unidades cada, totalizando 520 sementes coletadas aleatoriamente.</w:t>
      </w:r>
    </w:p>
    <w:p w14:paraId="0435DEAE" w14:textId="6A159BEB" w:rsidR="00EC3A47" w:rsidRPr="00245179" w:rsidRDefault="00245179" w:rsidP="00EC3A47">
      <w:pPr>
        <w:widowControl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>A propagação de espécies nativas é frequentemente comprometida pela dormência das sementes, o que retarda a germinação (</w:t>
      </w:r>
      <w:r w:rsidR="004224E2"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>SANTOS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et al., 2003). Enquanto cerca de um terço das espécies florestais germinam facilmente sob condições ideais, outras requerem tratamentos específicos para superação da dormência (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KRAMER 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&amp;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lastRenderedPageBreak/>
        <w:t>KOZLOWSKI</w:t>
      </w:r>
      <w:r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, 1972). Nesse contexto, 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O</w:t>
      </w:r>
      <w:r w:rsidR="00EC3A47" w:rsidRPr="00245179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presente trabalho tem como objetivo efeitos 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de diferentes formulações de substratos no crescimento de plântulas de </w:t>
      </w:r>
      <w:r w:rsidR="00EC3A47" w:rsidRPr="004224E2">
        <w:rPr>
          <w:i/>
          <w:sz w:val="20"/>
          <w:szCs w:val="20"/>
        </w:rPr>
        <w:t xml:space="preserve">Cassia </w:t>
      </w:r>
      <w:proofErr w:type="spellStart"/>
      <w:r w:rsidR="00EC3A47" w:rsidRPr="004224E2">
        <w:rPr>
          <w:i/>
          <w:sz w:val="20"/>
          <w:szCs w:val="20"/>
        </w:rPr>
        <w:t>grandis</w:t>
      </w:r>
      <w:proofErr w:type="spellEnd"/>
      <w:r w:rsidR="00EC3A47" w:rsidRPr="004224E2">
        <w:rPr>
          <w:sz w:val="20"/>
          <w:szCs w:val="20"/>
        </w:rPr>
        <w:t xml:space="preserve"> </w:t>
      </w:r>
      <w:proofErr w:type="spellStart"/>
      <w:r w:rsidR="00EC3A47" w:rsidRPr="004224E2">
        <w:rPr>
          <w:sz w:val="20"/>
          <w:szCs w:val="20"/>
        </w:rPr>
        <w:t>L.f</w:t>
      </w:r>
      <w:proofErr w:type="spellEnd"/>
      <w:r w:rsidR="00EC3A47" w:rsidRPr="004224E2">
        <w:rPr>
          <w:sz w:val="20"/>
          <w:szCs w:val="20"/>
        </w:rPr>
        <w:t>.</w:t>
      </w:r>
    </w:p>
    <w:p w14:paraId="4F463EDB" w14:textId="21AC66EB" w:rsidR="00245179" w:rsidRPr="00245179" w:rsidRDefault="00245179" w:rsidP="00245179">
      <w:pPr>
        <w:widowControl/>
        <w:ind w:firstLine="708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</w:p>
    <w:p w14:paraId="711CC491" w14:textId="77777777" w:rsidR="00863417" w:rsidRPr="004224E2" w:rsidRDefault="00000000">
      <w:pPr>
        <w:widowControl/>
        <w:jc w:val="both"/>
        <w:rPr>
          <w:b/>
          <w:sz w:val="20"/>
          <w:szCs w:val="20"/>
        </w:rPr>
      </w:pPr>
      <w:r w:rsidRPr="004224E2">
        <w:rPr>
          <w:b/>
          <w:sz w:val="20"/>
          <w:szCs w:val="20"/>
        </w:rPr>
        <w:t>MATERIAL E MÉTODOS</w:t>
      </w:r>
    </w:p>
    <w:p w14:paraId="3C03D4C9" w14:textId="77777777" w:rsidR="00BB2A8B" w:rsidRPr="00BB2A8B" w:rsidRDefault="00BB2A8B" w:rsidP="004B50DE">
      <w:pPr>
        <w:widowControl/>
        <w:spacing w:after="5" w:line="250" w:lineRule="auto"/>
        <w:ind w:left="-1" w:right="3" w:firstLine="850"/>
        <w:jc w:val="both"/>
        <w:rPr>
          <w:sz w:val="20"/>
          <w:szCs w:val="20"/>
        </w:rPr>
      </w:pPr>
      <w:r w:rsidRPr="00BB2A8B">
        <w:rPr>
          <w:sz w:val="20"/>
          <w:szCs w:val="20"/>
        </w:rPr>
        <w:t xml:space="preserve">O experimento foi conduzido no ano de 2024, no Laboratório de Tecnologia da Produção (LATEP), vinculado ao setor de Silvicultura e Viveiros Florestais, localizado no </w:t>
      </w:r>
      <w:r w:rsidRPr="00BB2A8B">
        <w:rPr>
          <w:i/>
          <w:iCs/>
          <w:sz w:val="20"/>
          <w:szCs w:val="20"/>
        </w:rPr>
        <w:t>Campus</w:t>
      </w:r>
      <w:r w:rsidRPr="00BB2A8B">
        <w:rPr>
          <w:sz w:val="20"/>
          <w:szCs w:val="20"/>
        </w:rPr>
        <w:t xml:space="preserve"> de Engenharias e Ciências Agrárias (CECA) da Universidade Federal de Alagoas (UFAL), em Rio Largo – Alagoas (09°28’02” S; 35°49’43” W; 127 m de altitude).</w:t>
      </w:r>
    </w:p>
    <w:p w14:paraId="7A06F450" w14:textId="77777777" w:rsidR="00BB2A8B" w:rsidRPr="00BB2A8B" w:rsidRDefault="00BB2A8B" w:rsidP="004B50DE">
      <w:pPr>
        <w:widowControl/>
        <w:spacing w:after="5" w:line="250" w:lineRule="auto"/>
        <w:ind w:left="-1" w:right="3" w:firstLine="850"/>
        <w:jc w:val="both"/>
        <w:rPr>
          <w:sz w:val="20"/>
          <w:szCs w:val="20"/>
        </w:rPr>
      </w:pPr>
      <w:r w:rsidRPr="00BB2A8B">
        <w:rPr>
          <w:sz w:val="20"/>
          <w:szCs w:val="20"/>
        </w:rPr>
        <w:t xml:space="preserve">As sementes de </w:t>
      </w:r>
      <w:r w:rsidRPr="00BB2A8B">
        <w:rPr>
          <w:i/>
          <w:iCs/>
          <w:sz w:val="20"/>
          <w:szCs w:val="20"/>
        </w:rPr>
        <w:t xml:space="preserve">Cassia </w:t>
      </w:r>
      <w:proofErr w:type="spellStart"/>
      <w:r w:rsidRPr="00BB2A8B">
        <w:rPr>
          <w:i/>
          <w:iCs/>
          <w:sz w:val="20"/>
          <w:szCs w:val="20"/>
        </w:rPr>
        <w:t>grandis</w:t>
      </w:r>
      <w:proofErr w:type="spellEnd"/>
      <w:r w:rsidRPr="00BB2A8B">
        <w:rPr>
          <w:sz w:val="20"/>
          <w:szCs w:val="20"/>
        </w:rPr>
        <w:t xml:space="preserve"> </w:t>
      </w:r>
      <w:proofErr w:type="spellStart"/>
      <w:r w:rsidRPr="00BB2A8B">
        <w:rPr>
          <w:sz w:val="20"/>
          <w:szCs w:val="20"/>
        </w:rPr>
        <w:t>L.f</w:t>
      </w:r>
      <w:proofErr w:type="spellEnd"/>
      <w:r w:rsidRPr="00BB2A8B">
        <w:rPr>
          <w:sz w:val="20"/>
          <w:szCs w:val="20"/>
        </w:rPr>
        <w:t xml:space="preserve"> foram inicialmente coletadas no próprio CECA. Em seguida, realizou-se a lavagem da areia utilizada como substrato, o beneficiamento das sementes e a escarificação mecânica na região oposta ao hilo. Conforme recomendado por Lobato (1969), esse método é eficaz para a superação da dormência tegumentar, característica marcante das sementes dessa espécie.</w:t>
      </w:r>
    </w:p>
    <w:p w14:paraId="77D7A455" w14:textId="3D3FAF9B" w:rsidR="00BB2A8B" w:rsidRPr="004224E2" w:rsidRDefault="00BB2A8B" w:rsidP="004B50DE">
      <w:pPr>
        <w:widowControl/>
        <w:spacing w:after="5" w:line="250" w:lineRule="auto"/>
        <w:ind w:left="-1" w:right="3" w:firstLine="850"/>
        <w:jc w:val="both"/>
        <w:rPr>
          <w:sz w:val="20"/>
          <w:szCs w:val="20"/>
        </w:rPr>
      </w:pPr>
      <w:r w:rsidRPr="00BB2A8B">
        <w:rPr>
          <w:sz w:val="20"/>
          <w:szCs w:val="20"/>
        </w:rPr>
        <w:t xml:space="preserve">Após a escarificação, as sementes foram submetidas à </w:t>
      </w:r>
      <w:proofErr w:type="spellStart"/>
      <w:r w:rsidRPr="00BB2A8B">
        <w:rPr>
          <w:sz w:val="20"/>
          <w:szCs w:val="20"/>
        </w:rPr>
        <w:t>embebição</w:t>
      </w:r>
      <w:proofErr w:type="spellEnd"/>
      <w:r w:rsidRPr="00BB2A8B">
        <w:rPr>
          <w:sz w:val="20"/>
          <w:szCs w:val="20"/>
        </w:rPr>
        <w:t xml:space="preserve"> em água por três horas. Posteriormente, foram semeadas em recipientes plásticos quadrados preenchidos com</w:t>
      </w:r>
      <w:r w:rsidRPr="004224E2">
        <w:rPr>
          <w:sz w:val="20"/>
          <w:szCs w:val="20"/>
        </w:rPr>
        <w:t xml:space="preserve"> substratos específicos que caracterizaram os tratamentos.</w:t>
      </w:r>
    </w:p>
    <w:p w14:paraId="7A8E941F" w14:textId="2A592805" w:rsidR="00BB2A8B" w:rsidRPr="00BB2A8B" w:rsidRDefault="00BB2A8B" w:rsidP="004B50DE">
      <w:pPr>
        <w:widowControl/>
        <w:spacing w:after="5" w:line="250" w:lineRule="auto"/>
        <w:ind w:left="-1" w:right="3" w:firstLine="850"/>
        <w:jc w:val="both"/>
        <w:rPr>
          <w:sz w:val="20"/>
          <w:szCs w:val="20"/>
        </w:rPr>
      </w:pPr>
      <w:r w:rsidRPr="00BB2A8B">
        <w:rPr>
          <w:sz w:val="20"/>
          <w:szCs w:val="20"/>
        </w:rPr>
        <w:t>Após a submissão aos tratamentos, as sementes foram semeadas em bandejas plásticas com dimensões de 20 cm de comprimento, 10 cm de largura e 5 cm de profundidade. As bandejas foram preenchidas com diferentes proporções de substratos, compostos por pó de serra (</w:t>
      </w:r>
      <w:proofErr w:type="spellStart"/>
      <w:r w:rsidRPr="00BB2A8B">
        <w:rPr>
          <w:sz w:val="20"/>
          <w:szCs w:val="20"/>
        </w:rPr>
        <w:t>ps</w:t>
      </w:r>
      <w:proofErr w:type="spellEnd"/>
      <w:r w:rsidRPr="00BB2A8B">
        <w:rPr>
          <w:sz w:val="20"/>
          <w:szCs w:val="20"/>
        </w:rPr>
        <w:t>), cavaco (c) e areia lavada (al), conforme os tratamentos definidos.</w:t>
      </w:r>
      <w:r w:rsidR="004B50DE" w:rsidRPr="004224E2">
        <w:rPr>
          <w:sz w:val="20"/>
          <w:szCs w:val="20"/>
        </w:rPr>
        <w:t xml:space="preserve"> Foram utilizadas 520 sementes sendo distribuídas em 13 tratamentos e cinco repetições contendo 10 sementes cada. </w:t>
      </w:r>
    </w:p>
    <w:p w14:paraId="4AD57561" w14:textId="77777777" w:rsidR="00BB2A8B" w:rsidRPr="00BB2A8B" w:rsidRDefault="00BB2A8B" w:rsidP="004B50DE">
      <w:pPr>
        <w:widowControl/>
        <w:spacing w:after="5" w:line="250" w:lineRule="auto"/>
        <w:ind w:left="-1" w:right="3" w:firstLine="850"/>
        <w:jc w:val="both"/>
        <w:rPr>
          <w:sz w:val="20"/>
          <w:szCs w:val="20"/>
        </w:rPr>
      </w:pPr>
      <w:r w:rsidRPr="00BB2A8B">
        <w:rPr>
          <w:sz w:val="20"/>
          <w:szCs w:val="20"/>
        </w:rPr>
        <w:t xml:space="preserve">Os tratamentos consistiram nas seguintes combinações: 100% </w:t>
      </w:r>
      <w:proofErr w:type="spellStart"/>
      <w:r w:rsidRPr="00BB2A8B">
        <w:rPr>
          <w:sz w:val="20"/>
          <w:szCs w:val="20"/>
        </w:rPr>
        <w:t>ps</w:t>
      </w:r>
      <w:proofErr w:type="spellEnd"/>
      <w:r w:rsidRPr="00BB2A8B">
        <w:rPr>
          <w:sz w:val="20"/>
          <w:szCs w:val="20"/>
        </w:rPr>
        <w:t xml:space="preserve">; 100% c; 100% al; </w:t>
      </w:r>
      <w:proofErr w:type="spellStart"/>
      <w:r w:rsidRPr="00BB2A8B">
        <w:rPr>
          <w:sz w:val="20"/>
          <w:szCs w:val="20"/>
        </w:rPr>
        <w:t>ps</w:t>
      </w:r>
      <w:proofErr w:type="spellEnd"/>
      <w:r w:rsidRPr="00BB2A8B">
        <w:rPr>
          <w:sz w:val="20"/>
          <w:szCs w:val="20"/>
        </w:rPr>
        <w:t xml:space="preserve"> 80% + al 20%; </w:t>
      </w:r>
      <w:proofErr w:type="spellStart"/>
      <w:r w:rsidRPr="00BB2A8B">
        <w:rPr>
          <w:sz w:val="20"/>
          <w:szCs w:val="20"/>
        </w:rPr>
        <w:t>ps</w:t>
      </w:r>
      <w:proofErr w:type="spellEnd"/>
      <w:r w:rsidRPr="00BB2A8B">
        <w:rPr>
          <w:sz w:val="20"/>
          <w:szCs w:val="20"/>
        </w:rPr>
        <w:t xml:space="preserve"> 60% + al 40%; </w:t>
      </w:r>
      <w:proofErr w:type="spellStart"/>
      <w:r w:rsidRPr="00BB2A8B">
        <w:rPr>
          <w:sz w:val="20"/>
          <w:szCs w:val="20"/>
        </w:rPr>
        <w:t>ps</w:t>
      </w:r>
      <w:proofErr w:type="spellEnd"/>
      <w:r w:rsidRPr="00BB2A8B">
        <w:rPr>
          <w:sz w:val="20"/>
          <w:szCs w:val="20"/>
        </w:rPr>
        <w:t xml:space="preserve"> 40% + al 60%; </w:t>
      </w:r>
      <w:proofErr w:type="spellStart"/>
      <w:r w:rsidRPr="00BB2A8B">
        <w:rPr>
          <w:sz w:val="20"/>
          <w:szCs w:val="20"/>
        </w:rPr>
        <w:t>ps</w:t>
      </w:r>
      <w:proofErr w:type="spellEnd"/>
      <w:r w:rsidRPr="00BB2A8B">
        <w:rPr>
          <w:sz w:val="20"/>
          <w:szCs w:val="20"/>
        </w:rPr>
        <w:t xml:space="preserve"> 20% + al 80%; c 80% + al 20%; c 60% + al 40%; c 40% + al 60%; c 20% + al 80%; c 50% + </w:t>
      </w:r>
      <w:proofErr w:type="spellStart"/>
      <w:r w:rsidRPr="00BB2A8B">
        <w:rPr>
          <w:sz w:val="20"/>
          <w:szCs w:val="20"/>
        </w:rPr>
        <w:t>ps</w:t>
      </w:r>
      <w:proofErr w:type="spellEnd"/>
      <w:r w:rsidRPr="00BB2A8B">
        <w:rPr>
          <w:sz w:val="20"/>
          <w:szCs w:val="20"/>
        </w:rPr>
        <w:t xml:space="preserve"> 50%; e a mistura tripla com c 33% + </w:t>
      </w:r>
      <w:proofErr w:type="spellStart"/>
      <w:r w:rsidRPr="00BB2A8B">
        <w:rPr>
          <w:sz w:val="20"/>
          <w:szCs w:val="20"/>
        </w:rPr>
        <w:t>ps</w:t>
      </w:r>
      <w:proofErr w:type="spellEnd"/>
      <w:r w:rsidRPr="00BB2A8B">
        <w:rPr>
          <w:sz w:val="20"/>
          <w:szCs w:val="20"/>
        </w:rPr>
        <w:t xml:space="preserve"> 33% + al 33%. Cada combinação foi identificada e disposta de forma organizada nas bandejas, permitindo o acompanhamento individualizado dos tratamentos.</w:t>
      </w:r>
    </w:p>
    <w:p w14:paraId="29242876" w14:textId="38E7D6BB" w:rsidR="005C133B" w:rsidRPr="004224E2" w:rsidRDefault="00BB2A8B" w:rsidP="004B50DE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BB2A8B">
        <w:rPr>
          <w:sz w:val="20"/>
          <w:szCs w:val="20"/>
        </w:rPr>
        <w:t>As sementes foram observadas e irrigadas diariamente, sendo que a partir do terceiro dia após a semeadura já foram registradas as primeiras ocorrências de germinação.</w:t>
      </w:r>
      <w:r w:rsidRPr="004224E2">
        <w:rPr>
          <w:sz w:val="20"/>
          <w:szCs w:val="20"/>
        </w:rPr>
        <w:t xml:space="preserve"> </w:t>
      </w:r>
      <w:r w:rsidR="003F73FF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Assim que foram su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bmetidos </w:t>
      </w:r>
      <w:r w:rsidR="003F73FF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aos tratamentos,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as sementes</w:t>
      </w:r>
      <w:r w:rsidR="003F73FF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foram semead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a</w:t>
      </w:r>
      <w:r w:rsidR="003F73FF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s em bandejas plásticas com dimensões 20cm x 10cm x 5cm respectivamente de comprimento, largura e profundidade, as quais foram divididas em níveis de porcentagem (%) por tratamento, preenchidas por </w:t>
      </w:r>
      <w:r w:rsidR="005C133B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Areia lavada (AL), P</w:t>
      </w:r>
      <w:r w:rsidR="003F73FF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ó de serra</w:t>
      </w:r>
      <w:r w:rsidR="005C133B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(PS)</w:t>
      </w:r>
      <w:r w:rsidR="003F73FF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, </w:t>
      </w:r>
      <w:r w:rsidR="005C133B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Cavaco (C)</w:t>
      </w:r>
      <w:r w:rsidR="003F73FF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. As bandejas foram divididas em diferentes porções de substratos, sendo</w:t>
      </w:r>
      <w:r w:rsidR="005C133B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:</w:t>
      </w:r>
    </w:p>
    <w:p w14:paraId="4D9AB2B2" w14:textId="4E1116D2" w:rsidR="005C133B" w:rsidRPr="004224E2" w:rsidRDefault="005C133B" w:rsidP="00EC3A47">
      <w:pPr>
        <w:widowControl/>
        <w:spacing w:after="5" w:line="250" w:lineRule="auto"/>
        <w:ind w:left="-1" w:right="3" w:firstLine="1702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T1 – 100% AL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T2 – 100% PS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T3 – 100% C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T4 - PS 20% / 80% AL</w:t>
      </w:r>
    </w:p>
    <w:p w14:paraId="13A972FC" w14:textId="34452F3D" w:rsidR="005C133B" w:rsidRPr="004224E2" w:rsidRDefault="005C133B" w:rsidP="00EC3A47">
      <w:pPr>
        <w:widowControl/>
        <w:spacing w:after="5" w:line="250" w:lineRule="auto"/>
        <w:ind w:left="-1" w:right="3" w:firstLine="1702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T5 - PS 40% / 60% AL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T6 - PS 60% / 40% AL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T7 - PS 80% / 20% AL</w:t>
      </w:r>
    </w:p>
    <w:p w14:paraId="5A06FEAE" w14:textId="4C6051EB" w:rsidR="005C133B" w:rsidRPr="004224E2" w:rsidRDefault="005C133B" w:rsidP="00EC3A47">
      <w:pPr>
        <w:widowControl/>
        <w:spacing w:after="5" w:line="250" w:lineRule="auto"/>
        <w:ind w:left="-1" w:right="3" w:firstLine="1702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T8 - C 20% / 80% AL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T9 - C 40% / 60% AL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T10 - C 60% / 20% AL</w:t>
      </w:r>
    </w:p>
    <w:p w14:paraId="563E1A20" w14:textId="4DDE2720" w:rsidR="005C133B" w:rsidRPr="004224E2" w:rsidRDefault="005C133B" w:rsidP="00EC3A47">
      <w:pPr>
        <w:widowControl/>
        <w:spacing w:after="5" w:line="250" w:lineRule="auto"/>
        <w:ind w:left="-1" w:right="3" w:firstLine="1702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T11 - C 80% / 20% AL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T12 - C 50% / 50% </w:t>
      </w:r>
      <w:r w:rsidR="00EC3A47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OS;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T13 - C 33% / 33% AL / 33% PS</w:t>
      </w:r>
    </w:p>
    <w:p w14:paraId="3A791E33" w14:textId="77777777" w:rsidR="005C133B" w:rsidRPr="004224E2" w:rsidRDefault="005C133B" w:rsidP="004B50DE">
      <w:pPr>
        <w:widowControl/>
        <w:ind w:right="3" w:firstLine="709"/>
        <w:jc w:val="both"/>
        <w:rPr>
          <w:sz w:val="20"/>
          <w:szCs w:val="20"/>
        </w:rPr>
      </w:pPr>
    </w:p>
    <w:p w14:paraId="519EEE81" w14:textId="728E965D" w:rsidR="00BB2A8B" w:rsidRPr="004224E2" w:rsidRDefault="00BB2A8B" w:rsidP="004B50DE">
      <w:pPr>
        <w:widowControl/>
        <w:spacing w:after="5" w:line="250" w:lineRule="auto"/>
        <w:ind w:left="-1" w:right="3" w:firstLine="850"/>
        <w:jc w:val="both"/>
        <w:rPr>
          <w:sz w:val="20"/>
          <w:szCs w:val="20"/>
        </w:rPr>
      </w:pPr>
      <w:r w:rsidRPr="004224E2">
        <w:rPr>
          <w:sz w:val="20"/>
          <w:szCs w:val="20"/>
        </w:rPr>
        <w:t>Ao total de 2</w:t>
      </w:r>
      <w:r w:rsidR="00386B12" w:rsidRPr="004224E2">
        <w:rPr>
          <w:sz w:val="20"/>
          <w:szCs w:val="20"/>
        </w:rPr>
        <w:t>1</w:t>
      </w:r>
      <w:r w:rsidRPr="004224E2">
        <w:rPr>
          <w:sz w:val="20"/>
          <w:szCs w:val="20"/>
        </w:rPr>
        <w:t xml:space="preserve"> dias foi realizada a última contagem e o desmonte do experimento da seguinte maneira: Foram retiradas toda a areia presente nos recipientes e deixados apenas as plântulas germinadas. Após isso, foi realizada uma biometria da raiz, caule e folhas de cada um dos tratamentos. Os parâmetros como comprimento da raiz e altura foram medidos com auxílio de uma régua (cm), diâmetro (cm) do caule com auxílio de um paquímetro digital (0,001mm) e na contagem de número de folhas</w:t>
      </w:r>
      <w:r w:rsidR="009016FF" w:rsidRPr="004224E2">
        <w:rPr>
          <w:sz w:val="20"/>
          <w:szCs w:val="20"/>
        </w:rPr>
        <w:t xml:space="preserve"> e número de folíolos</w:t>
      </w:r>
      <w:r w:rsidRPr="004224E2">
        <w:rPr>
          <w:sz w:val="20"/>
          <w:szCs w:val="20"/>
        </w:rPr>
        <w:t xml:space="preserve"> fo</w:t>
      </w:r>
      <w:r w:rsidR="009016FF" w:rsidRPr="004224E2">
        <w:rPr>
          <w:sz w:val="20"/>
          <w:szCs w:val="20"/>
        </w:rPr>
        <w:t>ram</w:t>
      </w:r>
      <w:r w:rsidRPr="004224E2">
        <w:rPr>
          <w:sz w:val="20"/>
          <w:szCs w:val="20"/>
        </w:rPr>
        <w:t xml:space="preserve"> </w:t>
      </w:r>
      <w:r w:rsidR="009016FF" w:rsidRPr="004224E2">
        <w:rPr>
          <w:sz w:val="20"/>
          <w:szCs w:val="20"/>
        </w:rPr>
        <w:t>consideradas</w:t>
      </w:r>
      <w:r w:rsidRPr="004224E2">
        <w:rPr>
          <w:sz w:val="20"/>
          <w:szCs w:val="20"/>
        </w:rPr>
        <w:t xml:space="preserve"> aquelas que estavam completamente expandidas, e por fim, a contagem do número de folíolos. Logo depois, com o auxílio de uma tesoura foi separada a planta em raiz, caule, folhas, e em seguida inserindo-as em saquinhos de papel, cada um deles devidamente sinalizado quanto ao tratamento e repetição, logo após sendo postos então em uma estufa para a secagem do material. Ademais, após 5 dias na estufa, a matéria seca da raiz (MSR), matéria seca do caule (MSC), e matéria seca foliar (MSF) de cada tratamento e repetição foi pesada em uma balança de precisão.</w:t>
      </w:r>
      <w:r w:rsidR="00BE4B4D" w:rsidRPr="004224E2">
        <w:rPr>
          <w:sz w:val="20"/>
          <w:szCs w:val="20"/>
        </w:rPr>
        <w:t xml:space="preserve"> De posse desses dados foram calculadas as grandezas de alocação de biomassa do da folha (ABF), caule (ABC), raiz (ABR), além da relação raiz parte aérea.</w:t>
      </w:r>
    </w:p>
    <w:p w14:paraId="58E92E26" w14:textId="4EBE9AE2" w:rsidR="00BB2A8B" w:rsidRPr="004224E2" w:rsidRDefault="00BB2A8B" w:rsidP="004B50DE">
      <w:pPr>
        <w:widowControl/>
        <w:spacing w:after="5" w:line="250" w:lineRule="auto"/>
        <w:ind w:left="-1" w:right="3" w:firstLine="850"/>
        <w:jc w:val="both"/>
        <w:rPr>
          <w:sz w:val="20"/>
          <w:szCs w:val="20"/>
        </w:rPr>
      </w:pPr>
      <w:r w:rsidRPr="004224E2">
        <w:rPr>
          <w:sz w:val="20"/>
          <w:szCs w:val="20"/>
        </w:rPr>
        <w:t xml:space="preserve">Os dados obtidos foram submetidos à análise de variância (ANAVA), e as médias dos tratamentos foram comparadas pelo teste de </w:t>
      </w:r>
      <w:proofErr w:type="spellStart"/>
      <w:r w:rsidRPr="004224E2">
        <w:rPr>
          <w:sz w:val="20"/>
          <w:szCs w:val="20"/>
        </w:rPr>
        <w:t>Tukey</w:t>
      </w:r>
      <w:proofErr w:type="spellEnd"/>
      <w:r w:rsidRPr="004224E2">
        <w:rPr>
          <w:sz w:val="20"/>
          <w:szCs w:val="20"/>
        </w:rPr>
        <w:t xml:space="preserve">, ao nível de 5% de probabilidade, utilizando-se o software SISVAR (versão 5.3 – Build 75). A elaboração dos gráficos foi realizada com o auxílio do software </w:t>
      </w:r>
      <w:proofErr w:type="spellStart"/>
      <w:r w:rsidRPr="004224E2">
        <w:rPr>
          <w:sz w:val="20"/>
          <w:szCs w:val="20"/>
        </w:rPr>
        <w:t>SigmaPlot</w:t>
      </w:r>
      <w:proofErr w:type="spellEnd"/>
      <w:r w:rsidRPr="004224E2">
        <w:rPr>
          <w:sz w:val="20"/>
          <w:szCs w:val="20"/>
        </w:rPr>
        <w:t>.</w:t>
      </w:r>
    </w:p>
    <w:p w14:paraId="6464BA12" w14:textId="77777777" w:rsidR="00863417" w:rsidRPr="004224E2" w:rsidRDefault="00863417">
      <w:pPr>
        <w:widowControl/>
        <w:jc w:val="both"/>
        <w:rPr>
          <w:b/>
          <w:sz w:val="20"/>
          <w:szCs w:val="20"/>
        </w:rPr>
      </w:pPr>
    </w:p>
    <w:p w14:paraId="4ED0B6A7" w14:textId="5EE98D58" w:rsidR="004E70CB" w:rsidRPr="004224E2" w:rsidRDefault="00000000" w:rsidP="00863417">
      <w:pPr>
        <w:widowControl/>
        <w:jc w:val="both"/>
        <w:rPr>
          <w:b/>
          <w:sz w:val="20"/>
          <w:szCs w:val="20"/>
        </w:rPr>
      </w:pPr>
      <w:r w:rsidRPr="004224E2">
        <w:rPr>
          <w:b/>
          <w:sz w:val="20"/>
          <w:szCs w:val="20"/>
        </w:rPr>
        <w:t xml:space="preserve">RESULTADOS E DISCUSSÃO </w:t>
      </w:r>
    </w:p>
    <w:p w14:paraId="62A8C57A" w14:textId="77777777" w:rsidR="005C133B" w:rsidRPr="004224E2" w:rsidRDefault="005C133B" w:rsidP="00863417">
      <w:pPr>
        <w:widowControl/>
        <w:jc w:val="both"/>
        <w:rPr>
          <w:b/>
          <w:sz w:val="20"/>
          <w:szCs w:val="20"/>
        </w:rPr>
      </w:pPr>
    </w:p>
    <w:p w14:paraId="547B589D" w14:textId="5B7A9286" w:rsidR="009016FF" w:rsidRPr="009016FF" w:rsidRDefault="009016FF" w:rsidP="004B50DE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A germinação iniciou no 3º dia após a semeadura e a </w:t>
      </w:r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avaliação do crescimento de plântulas de </w:t>
      </w:r>
      <w:r w:rsidRPr="009016FF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Cassia </w:t>
      </w:r>
      <w:proofErr w:type="spellStart"/>
      <w:r w:rsidRPr="009016FF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grandis</w:t>
      </w:r>
      <w:proofErr w:type="spellEnd"/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em diferentes substratos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(Tabela 1) </w:t>
      </w:r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revelou variações significativas entre os tratamentos quanto aos </w:t>
      </w:r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lastRenderedPageBreak/>
        <w:t>parâmetros analisados. A altura da plântula (AP) foi maior nos tratamentos T6 (PS 60%/40% AL) e T12 (C 50%/50% PS), com médias de 15,16 cm e 15,77 cm, respectivamente, sendo estatisticamente superiores aos demais. Em contrapartida, o tratamento T9 (C 40%/60% AL) apresentou a menor altura (9,47 cm), sendo significativamente inferior, o que indica que proporções elevadas de composto nesse substrato podem limitar o crescimento em altura das plântulas.</w:t>
      </w:r>
    </w:p>
    <w:p w14:paraId="1B036B76" w14:textId="03922715" w:rsidR="009016FF" w:rsidRPr="009016FF" w:rsidRDefault="009016FF" w:rsidP="004B50DE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>Com relação ao diâmetro do caule (DC), o tratamento T5 (PS 40%/60% AL) apresentou o maior valor (3,54 mm), destacando-se estatisticamente em relação aos demais. Esse resultado sugere que a combinação desse substrato promove maior vigor do caule. Já os menores diâmetros foram observados em T12 (C 50%/50% PS) e T13 (C 33%/33% AL/33% PS), com 1,79 mm e 1,69 mm, respectivamente, demonstrando menor robustez das plântulas nesses tratamentos.</w:t>
      </w:r>
    </w:p>
    <w:p w14:paraId="6D3E51F9" w14:textId="642FE42E" w:rsidR="009016FF" w:rsidRPr="009016FF" w:rsidRDefault="009016FF" w:rsidP="004B50DE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>No parâmetro comprimento da raiz (CR), os tratamentos T5 e T13 destacaram-se positivamente, com médias de 11,72 cm e 11,33 cm, sendo estatisticamente superiores. Esses dados indicam que tais combinações de substrato favoreceram o desenvolvimento radicular. Em contraste, os tratamentos T7 (PS 80%/20%AL) e T9 apresentaram os menores comprimentos radiculares, sendo o T9 o mais limitado, com apenas 0,96 cm.</w:t>
      </w:r>
    </w:p>
    <w:p w14:paraId="0ADBC1EF" w14:textId="52CE2A1F" w:rsidR="009016FF" w:rsidRPr="009016FF" w:rsidRDefault="009016FF" w:rsidP="004B50DE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>Quanto ao número de folhas (NF) e número de folíolos (</w:t>
      </w:r>
      <w:proofErr w:type="spellStart"/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>Nfo</w:t>
      </w:r>
      <w:proofErr w:type="spellEnd"/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>), os maiores valores foram observados nos tratamentos T2 (PS 100%), T5 (PS 40%/60% AL) e T13, com destaque para T2, que apresentou a maior média de folhas (1,44) e folíolos (15,31), ambos com diferença estatística significativa. O tratamento T5 também obteve resultados expressivos nesses parâmetros, sugerindo que o equilíbrio entre PS e AL é benéfico ao desenvolvimento foliar. Por outro lado, os tratamentos T7 e T9 apresentaram os menores valores de folíolos, sendo novamente o T9 o de pior desempenho geral, o que pode estar relacionado à baixa disponibilidade de nutrientes ou à má estrutura física do substrato utilizado.</w:t>
      </w:r>
    </w:p>
    <w:p w14:paraId="55259EAB" w14:textId="77777777" w:rsidR="009016FF" w:rsidRPr="004224E2" w:rsidRDefault="009016FF" w:rsidP="004B50DE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</w:p>
    <w:p w14:paraId="50C1148C" w14:textId="2EFAC770" w:rsidR="004B50DE" w:rsidRPr="004224E2" w:rsidRDefault="009016FF" w:rsidP="004B50DE">
      <w:pPr>
        <w:widowControl/>
        <w:ind w:left="720" w:right="3" w:hanging="720"/>
        <w:jc w:val="both"/>
        <w:rPr>
          <w:sz w:val="20"/>
          <w:szCs w:val="20"/>
        </w:rPr>
      </w:pP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Tabela 1. Valores médios do crescimento biométrico de altura da planta, diâmetro do caule, comprimento radicular, número de folhas e número de folíolos de plântulas de </w:t>
      </w:r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plântulas de </w:t>
      </w:r>
      <w:r w:rsidRPr="009016FF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Cassia </w:t>
      </w:r>
      <w:proofErr w:type="spellStart"/>
      <w:r w:rsidRPr="009016FF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grandis</w:t>
      </w:r>
      <w:proofErr w:type="spellEnd"/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submetidas a </w:t>
      </w:r>
      <w:r w:rsidRPr="009016FF">
        <w:rPr>
          <w:color w:val="000000"/>
          <w:kern w:val="2"/>
          <w:sz w:val="20"/>
          <w:szCs w:val="20"/>
          <w:lang w:bidi="ar-SA"/>
          <w14:ligatures w14:val="standardContextual"/>
        </w:rPr>
        <w:t>diferentes substratos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>.</w:t>
      </w:r>
      <w:r w:rsidR="004B50DE"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</w:p>
    <w:p w14:paraId="3048126E" w14:textId="1A3E2D4F" w:rsidR="009016FF" w:rsidRPr="004224E2" w:rsidRDefault="009016FF" w:rsidP="005C133B">
      <w:pPr>
        <w:widowControl/>
        <w:spacing w:after="5" w:line="250" w:lineRule="auto"/>
        <w:ind w:left="-1" w:right="570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</w:p>
    <w:tbl>
      <w:tblPr>
        <w:tblW w:w="76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029"/>
        <w:gridCol w:w="1013"/>
        <w:gridCol w:w="935"/>
        <w:gridCol w:w="829"/>
        <w:gridCol w:w="930"/>
      </w:tblGrid>
      <w:tr w:rsidR="009016FF" w:rsidRPr="004224E2" w14:paraId="5DE4D276" w14:textId="77777777" w:rsidTr="004B50DE">
        <w:trPr>
          <w:trHeight w:val="288"/>
          <w:jc w:val="center"/>
        </w:trPr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E2A3" w14:textId="77777777" w:rsidR="009016FF" w:rsidRPr="009B2AE7" w:rsidRDefault="009016FF" w:rsidP="007F776E">
            <w:pPr>
              <w:widowControl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9B2AE7">
              <w:rPr>
                <w:b/>
                <w:bCs/>
                <w:sz w:val="20"/>
                <w:szCs w:val="20"/>
                <w:lang w:bidi="ar-SA"/>
              </w:rPr>
              <w:t>Tratamento</w:t>
            </w:r>
            <w:r w:rsidRPr="004224E2">
              <w:rPr>
                <w:b/>
                <w:bCs/>
                <w:sz w:val="20"/>
                <w:szCs w:val="20"/>
                <w:lang w:bidi="ar-SA"/>
              </w:rPr>
              <w:t>s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7A01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>AP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 xml:space="preserve"> (cm)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5CB0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9B2AE7">
              <w:rPr>
                <w:b/>
                <w:bCs/>
                <w:sz w:val="20"/>
                <w:szCs w:val="20"/>
                <w:lang w:bidi="ar-SA"/>
              </w:rPr>
              <w:t>D</w:t>
            </w:r>
            <w:r w:rsidRPr="004224E2">
              <w:rPr>
                <w:b/>
                <w:bCs/>
                <w:sz w:val="20"/>
                <w:szCs w:val="20"/>
                <w:lang w:bidi="ar-SA"/>
              </w:rPr>
              <w:t>C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 xml:space="preserve"> (mm)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D474" w14:textId="77777777" w:rsidR="009016FF" w:rsidRPr="009B2AE7" w:rsidRDefault="009016FF" w:rsidP="007F776E">
            <w:pPr>
              <w:widowControl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9B2AE7">
              <w:rPr>
                <w:b/>
                <w:bCs/>
                <w:sz w:val="20"/>
                <w:szCs w:val="20"/>
                <w:lang w:bidi="ar-SA"/>
              </w:rPr>
              <w:t>C</w:t>
            </w:r>
            <w:r w:rsidRPr="004224E2">
              <w:rPr>
                <w:b/>
                <w:bCs/>
                <w:sz w:val="20"/>
                <w:szCs w:val="20"/>
                <w:lang w:bidi="ar-SA"/>
              </w:rPr>
              <w:t>R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 xml:space="preserve"> (cm)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648C" w14:textId="77777777" w:rsidR="009016FF" w:rsidRPr="009B2AE7" w:rsidRDefault="009016FF" w:rsidP="007F776E">
            <w:pPr>
              <w:widowControl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9B2AE7">
              <w:rPr>
                <w:b/>
                <w:bCs/>
                <w:sz w:val="20"/>
                <w:szCs w:val="20"/>
                <w:lang w:bidi="ar-SA"/>
              </w:rPr>
              <w:t>N</w:t>
            </w:r>
            <w:r w:rsidRPr="004224E2">
              <w:rPr>
                <w:b/>
                <w:bCs/>
                <w:sz w:val="20"/>
                <w:szCs w:val="20"/>
                <w:lang w:bidi="ar-SA"/>
              </w:rPr>
              <w:t>F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2D1" w14:textId="77777777" w:rsidR="009016FF" w:rsidRPr="009B2AE7" w:rsidRDefault="009016FF" w:rsidP="007F776E">
            <w:pPr>
              <w:widowControl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proofErr w:type="spellStart"/>
            <w:r w:rsidRPr="009B2AE7">
              <w:rPr>
                <w:b/>
                <w:bCs/>
                <w:sz w:val="20"/>
                <w:szCs w:val="20"/>
                <w:lang w:bidi="ar-SA"/>
              </w:rPr>
              <w:t>Nfo</w:t>
            </w:r>
            <w:proofErr w:type="spellEnd"/>
          </w:p>
        </w:tc>
      </w:tr>
      <w:tr w:rsidR="009016FF" w:rsidRPr="004224E2" w14:paraId="2A67C87E" w14:textId="77777777" w:rsidTr="004B50DE">
        <w:trPr>
          <w:trHeight w:val="288"/>
          <w:jc w:val="center"/>
        </w:trPr>
        <w:tc>
          <w:tcPr>
            <w:tcW w:w="29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E07F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T1 -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AL 100%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23A1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11,40</w:t>
            </w:r>
            <w:r w:rsidRPr="004224E2">
              <w:rPr>
                <w:sz w:val="20"/>
                <w:szCs w:val="20"/>
                <w:lang w:bidi="ar-SA"/>
              </w:rPr>
              <w:t xml:space="preserve">   b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B9DF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2,36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672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5,</w:t>
            </w:r>
            <w:proofErr w:type="gramStart"/>
            <w:r w:rsidRPr="009B2AE7">
              <w:rPr>
                <w:sz w:val="20"/>
                <w:szCs w:val="20"/>
                <w:lang w:bidi="ar-SA"/>
              </w:rPr>
              <w:t>41</w:t>
            </w:r>
            <w:r w:rsidRPr="004224E2">
              <w:rPr>
                <w:sz w:val="20"/>
                <w:szCs w:val="20"/>
                <w:lang w:bidi="ar-SA"/>
              </w:rPr>
              <w:t xml:space="preserve">  b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F35C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0,80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95A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9,</w:t>
            </w:r>
            <w:proofErr w:type="gramStart"/>
            <w:r w:rsidRPr="009B2AE7">
              <w:rPr>
                <w:sz w:val="20"/>
                <w:szCs w:val="20"/>
                <w:lang w:bidi="ar-SA"/>
              </w:rPr>
              <w:t>86</w:t>
            </w:r>
            <w:r w:rsidRPr="004224E2">
              <w:rPr>
                <w:sz w:val="20"/>
                <w:szCs w:val="20"/>
                <w:lang w:bidi="ar-SA"/>
              </w:rPr>
              <w:t xml:space="preserve">  b</w:t>
            </w:r>
            <w:proofErr w:type="gramEnd"/>
          </w:p>
        </w:tc>
      </w:tr>
      <w:tr w:rsidR="009016FF" w:rsidRPr="004224E2" w14:paraId="6AC140CF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6A835AEB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T2 -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PS 100%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C43DEB5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14,89</w:t>
            </w:r>
            <w:r w:rsidRPr="004224E2">
              <w:rPr>
                <w:sz w:val="20"/>
                <w:szCs w:val="20"/>
                <w:lang w:bidi="ar-SA"/>
              </w:rPr>
              <w:t xml:space="preserve"> a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2C3B0D3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2,3</w:t>
            </w:r>
            <w:r w:rsidRPr="004224E2">
              <w:rPr>
                <w:sz w:val="20"/>
                <w:szCs w:val="20"/>
                <w:lang w:bidi="ar-SA"/>
              </w:rPr>
              <w:t xml:space="preserve">1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8637E26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8,8</w:t>
            </w:r>
            <w:r w:rsidRPr="004224E2">
              <w:rPr>
                <w:sz w:val="20"/>
                <w:szCs w:val="20"/>
                <w:lang w:bidi="ar-SA"/>
              </w:rPr>
              <w:t>1 a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BEB3611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1,44</w:t>
            </w:r>
            <w:r w:rsidRPr="004224E2">
              <w:rPr>
                <w:sz w:val="20"/>
                <w:szCs w:val="20"/>
                <w:lang w:bidi="ar-SA"/>
              </w:rPr>
              <w:t xml:space="preserve"> a*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9862835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15,3</w:t>
            </w:r>
            <w:r w:rsidRPr="004224E2">
              <w:rPr>
                <w:sz w:val="20"/>
                <w:szCs w:val="20"/>
                <w:lang w:bidi="ar-SA"/>
              </w:rPr>
              <w:t>1 a*</w:t>
            </w:r>
          </w:p>
        </w:tc>
      </w:tr>
      <w:tr w:rsidR="009016FF" w:rsidRPr="004224E2" w14:paraId="0BC8DEE7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12E030F3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T3 -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C 100%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DC29565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10,6</w:t>
            </w:r>
            <w:r w:rsidRPr="004224E2">
              <w:rPr>
                <w:sz w:val="20"/>
                <w:szCs w:val="20"/>
                <w:lang w:bidi="ar-SA"/>
              </w:rPr>
              <w:t>7   b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CEA2997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1,98</w:t>
            </w:r>
            <w:r w:rsidRPr="004224E2">
              <w:rPr>
                <w:sz w:val="20"/>
                <w:szCs w:val="20"/>
                <w:lang w:bidi="ar-SA"/>
              </w:rPr>
              <w:t xml:space="preserve">   b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E4A8741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10,</w:t>
            </w:r>
            <w:r w:rsidRPr="004224E2">
              <w:rPr>
                <w:sz w:val="20"/>
                <w:szCs w:val="20"/>
                <w:lang w:bidi="ar-SA"/>
              </w:rPr>
              <w:t>10 a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C33BD21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0,83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7EB5FD9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7,</w:t>
            </w:r>
            <w:proofErr w:type="gramStart"/>
            <w:r w:rsidRPr="009B2AE7">
              <w:rPr>
                <w:sz w:val="20"/>
                <w:szCs w:val="20"/>
                <w:lang w:bidi="ar-SA"/>
              </w:rPr>
              <w:t>41</w:t>
            </w:r>
            <w:r w:rsidRPr="004224E2">
              <w:rPr>
                <w:sz w:val="20"/>
                <w:szCs w:val="20"/>
                <w:lang w:bidi="ar-SA"/>
              </w:rPr>
              <w:t xml:space="preserve">  b</w:t>
            </w:r>
            <w:proofErr w:type="gramEnd"/>
          </w:p>
        </w:tc>
      </w:tr>
      <w:tr w:rsidR="009016FF" w:rsidRPr="004224E2" w14:paraId="57CAC65C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341BF9F1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T4 -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PS 20% / 80% AL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0506AF8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11,99</w:t>
            </w:r>
            <w:r w:rsidRPr="004224E2">
              <w:rPr>
                <w:sz w:val="20"/>
                <w:szCs w:val="20"/>
                <w:lang w:bidi="ar-SA"/>
              </w:rPr>
              <w:t xml:space="preserve">   b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8246C76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2,2</w:t>
            </w:r>
            <w:r w:rsidRPr="004224E2">
              <w:rPr>
                <w:sz w:val="20"/>
                <w:szCs w:val="20"/>
                <w:lang w:bidi="ar-SA"/>
              </w:rPr>
              <w:t>4   b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8619F77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5,</w:t>
            </w:r>
            <w:proofErr w:type="gramStart"/>
            <w:r w:rsidRPr="009B2AE7">
              <w:rPr>
                <w:sz w:val="20"/>
                <w:szCs w:val="20"/>
                <w:lang w:bidi="ar-SA"/>
              </w:rPr>
              <w:t>3</w:t>
            </w:r>
            <w:r w:rsidRPr="004224E2">
              <w:rPr>
                <w:sz w:val="20"/>
                <w:szCs w:val="20"/>
                <w:lang w:bidi="ar-SA"/>
              </w:rPr>
              <w:t>5  b</w:t>
            </w:r>
            <w:proofErr w:type="gramEnd"/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42F85B3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1,1</w:t>
            </w:r>
            <w:r w:rsidRPr="004224E2">
              <w:rPr>
                <w:sz w:val="20"/>
                <w:szCs w:val="20"/>
                <w:lang w:bidi="ar-SA"/>
              </w:rPr>
              <w:t>3 a*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E290C55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11,81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</w:tr>
      <w:tr w:rsidR="009016FF" w:rsidRPr="004224E2" w14:paraId="6E3CFC18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19289B14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T5 -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PS 40% / 60% AL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5D21812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12,3</w:t>
            </w:r>
            <w:r w:rsidRPr="004224E2">
              <w:rPr>
                <w:sz w:val="20"/>
                <w:szCs w:val="20"/>
                <w:lang w:bidi="ar-SA"/>
              </w:rPr>
              <w:t>8   b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7F24128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3,54</w:t>
            </w:r>
            <w:r w:rsidRPr="004224E2">
              <w:rPr>
                <w:sz w:val="20"/>
                <w:szCs w:val="20"/>
                <w:lang w:bidi="ar-SA"/>
              </w:rPr>
              <w:t xml:space="preserve"> a*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3BA7479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11,7</w:t>
            </w:r>
            <w:r w:rsidRPr="004224E2">
              <w:rPr>
                <w:sz w:val="20"/>
                <w:szCs w:val="20"/>
                <w:lang w:bidi="ar-SA"/>
              </w:rPr>
              <w:t>2 a*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31310BC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1,3</w:t>
            </w:r>
            <w:r w:rsidRPr="004224E2">
              <w:rPr>
                <w:sz w:val="20"/>
                <w:szCs w:val="20"/>
                <w:lang w:bidi="ar-SA"/>
              </w:rPr>
              <w:t>3 a*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D75E0C7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15,6</w:t>
            </w:r>
            <w:r w:rsidRPr="004224E2">
              <w:rPr>
                <w:sz w:val="20"/>
                <w:szCs w:val="20"/>
                <w:lang w:bidi="ar-SA"/>
              </w:rPr>
              <w:t>2 a*</w:t>
            </w:r>
          </w:p>
        </w:tc>
      </w:tr>
      <w:tr w:rsidR="009016FF" w:rsidRPr="004224E2" w14:paraId="06347CCD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34A021B3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T6 -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PS 60% / 40% AL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7E39A8F7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15,16</w:t>
            </w:r>
            <w:r w:rsidRPr="004224E2">
              <w:rPr>
                <w:sz w:val="20"/>
                <w:szCs w:val="20"/>
                <w:lang w:bidi="ar-SA"/>
              </w:rPr>
              <w:t xml:space="preserve"> a*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513FCE0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2,33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AD8DBA3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9,10</w:t>
            </w:r>
            <w:r w:rsidRPr="004224E2">
              <w:rPr>
                <w:sz w:val="20"/>
                <w:szCs w:val="20"/>
                <w:lang w:bidi="ar-SA"/>
              </w:rPr>
              <w:t xml:space="preserve"> a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1C6EFA3F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1,0</w:t>
            </w:r>
            <w:r w:rsidRPr="004224E2">
              <w:rPr>
                <w:sz w:val="20"/>
                <w:szCs w:val="20"/>
                <w:lang w:bidi="ar-SA"/>
              </w:rPr>
              <w:t>3 a*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8830A71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10,7</w:t>
            </w:r>
            <w:r w:rsidRPr="004224E2">
              <w:rPr>
                <w:sz w:val="20"/>
                <w:szCs w:val="20"/>
                <w:lang w:bidi="ar-SA"/>
              </w:rPr>
              <w:t xml:space="preserve">2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</w:tr>
      <w:tr w:rsidR="009016FF" w:rsidRPr="004224E2" w14:paraId="12DBBEBC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26A47F98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T7 -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PS 80% / 20% AL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0FBFA9C3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12,72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6E05284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2,91</w:t>
            </w:r>
            <w:r w:rsidRPr="004224E2">
              <w:rPr>
                <w:sz w:val="20"/>
                <w:szCs w:val="20"/>
                <w:lang w:bidi="ar-SA"/>
              </w:rPr>
              <w:t xml:space="preserve"> a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6CA6008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2,</w:t>
            </w:r>
            <w:r w:rsidRPr="004224E2">
              <w:rPr>
                <w:sz w:val="20"/>
                <w:szCs w:val="20"/>
                <w:lang w:bidi="ar-SA"/>
              </w:rPr>
              <w:t>40   c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CD2D0B9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0,66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E9E1D6C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3,25</w:t>
            </w:r>
            <w:r w:rsidRPr="004224E2">
              <w:rPr>
                <w:sz w:val="20"/>
                <w:szCs w:val="20"/>
                <w:lang w:bidi="ar-SA"/>
              </w:rPr>
              <w:t xml:space="preserve">    c</w:t>
            </w:r>
          </w:p>
        </w:tc>
      </w:tr>
      <w:tr w:rsidR="009016FF" w:rsidRPr="004224E2" w14:paraId="781A5C49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1330E793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T8 -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C 20% / 80% AL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630AB7F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12,6</w:t>
            </w:r>
            <w:r w:rsidRPr="004224E2">
              <w:rPr>
                <w:sz w:val="20"/>
                <w:szCs w:val="20"/>
                <w:lang w:bidi="ar-SA"/>
              </w:rPr>
              <w:t xml:space="preserve">6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43010B6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2,13</w:t>
            </w:r>
            <w:r w:rsidRPr="004224E2">
              <w:rPr>
                <w:sz w:val="20"/>
                <w:szCs w:val="20"/>
                <w:lang w:bidi="ar-SA"/>
              </w:rPr>
              <w:t xml:space="preserve">   b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2FDED55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8,73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4286C034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0,60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46885B10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6,17</w:t>
            </w:r>
            <w:r w:rsidRPr="004224E2">
              <w:rPr>
                <w:sz w:val="20"/>
                <w:szCs w:val="20"/>
                <w:lang w:bidi="ar-SA"/>
              </w:rPr>
              <w:t xml:space="preserve">   b</w:t>
            </w:r>
          </w:p>
        </w:tc>
      </w:tr>
      <w:tr w:rsidR="009016FF" w:rsidRPr="004224E2" w14:paraId="42031A1C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265356CE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T9 -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C 40% / 60% AL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635E118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9,47</w:t>
            </w:r>
            <w:r w:rsidRPr="004224E2">
              <w:rPr>
                <w:sz w:val="20"/>
                <w:szCs w:val="20"/>
                <w:lang w:bidi="ar-SA"/>
              </w:rPr>
              <w:t xml:space="preserve">      c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C0941C4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2,00</w:t>
            </w:r>
            <w:r w:rsidRPr="004224E2">
              <w:rPr>
                <w:sz w:val="20"/>
                <w:szCs w:val="20"/>
                <w:lang w:bidi="ar-SA"/>
              </w:rPr>
              <w:t xml:space="preserve">   b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A2CD332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0,96</w:t>
            </w:r>
            <w:r w:rsidRPr="004224E2">
              <w:rPr>
                <w:sz w:val="20"/>
                <w:szCs w:val="20"/>
                <w:lang w:bidi="ar-SA"/>
              </w:rPr>
              <w:t xml:space="preserve">   c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4AEFA95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0,</w:t>
            </w:r>
            <w:proofErr w:type="gramStart"/>
            <w:r w:rsidRPr="009B2AE7">
              <w:rPr>
                <w:sz w:val="20"/>
                <w:szCs w:val="20"/>
                <w:lang w:bidi="ar-SA"/>
              </w:rPr>
              <w:t>3</w:t>
            </w:r>
            <w:r w:rsidRPr="004224E2">
              <w:rPr>
                <w:sz w:val="20"/>
                <w:szCs w:val="20"/>
                <w:lang w:bidi="ar-SA"/>
              </w:rPr>
              <w:t>5  b</w:t>
            </w:r>
            <w:proofErr w:type="gramEnd"/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7D002AB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2,73</w:t>
            </w:r>
            <w:r w:rsidRPr="004224E2">
              <w:rPr>
                <w:sz w:val="20"/>
                <w:szCs w:val="20"/>
                <w:lang w:bidi="ar-SA"/>
              </w:rPr>
              <w:t xml:space="preserve">    c</w:t>
            </w:r>
          </w:p>
        </w:tc>
      </w:tr>
      <w:tr w:rsidR="009016FF" w:rsidRPr="004224E2" w14:paraId="7D68A050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0C0D82A9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T10 -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C 60% / 20% AL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7D5A42BD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12,8</w:t>
            </w:r>
            <w:r w:rsidRPr="004224E2">
              <w:rPr>
                <w:sz w:val="20"/>
                <w:szCs w:val="20"/>
                <w:lang w:bidi="ar-SA"/>
              </w:rPr>
              <w:t xml:space="preserve">7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ABF5974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1,8</w:t>
            </w:r>
            <w:r w:rsidRPr="004224E2">
              <w:rPr>
                <w:sz w:val="20"/>
                <w:szCs w:val="20"/>
                <w:lang w:bidi="ar-SA"/>
              </w:rPr>
              <w:t xml:space="preserve">5  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bc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9D7764E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6,</w:t>
            </w:r>
            <w:proofErr w:type="gramStart"/>
            <w:r w:rsidRPr="009B2AE7">
              <w:rPr>
                <w:sz w:val="20"/>
                <w:szCs w:val="20"/>
                <w:lang w:bidi="ar-SA"/>
              </w:rPr>
              <w:t>30</w:t>
            </w:r>
            <w:r w:rsidRPr="004224E2">
              <w:rPr>
                <w:sz w:val="20"/>
                <w:szCs w:val="20"/>
                <w:lang w:bidi="ar-SA"/>
              </w:rPr>
              <w:t xml:space="preserve">  b</w:t>
            </w:r>
            <w:proofErr w:type="gramEnd"/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09E26CE6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1,0</w:t>
            </w:r>
            <w:r w:rsidRPr="004224E2">
              <w:rPr>
                <w:sz w:val="20"/>
                <w:szCs w:val="20"/>
                <w:lang w:bidi="ar-SA"/>
              </w:rPr>
              <w:t>3 a*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4E786FDF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9,95</w:t>
            </w:r>
            <w:r w:rsidRPr="004224E2">
              <w:rPr>
                <w:sz w:val="20"/>
                <w:szCs w:val="20"/>
                <w:lang w:bidi="ar-SA"/>
              </w:rPr>
              <w:t xml:space="preserve">   b</w:t>
            </w:r>
          </w:p>
        </w:tc>
      </w:tr>
      <w:tr w:rsidR="009016FF" w:rsidRPr="004224E2" w14:paraId="2BB27F82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31DB2941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T11 -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C 80% / 20% AL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FCA76C2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11,31</w:t>
            </w:r>
            <w:r w:rsidRPr="004224E2">
              <w:rPr>
                <w:sz w:val="20"/>
                <w:szCs w:val="20"/>
                <w:lang w:bidi="ar-SA"/>
              </w:rPr>
              <w:t xml:space="preserve"> b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53AC9A4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2,0</w:t>
            </w:r>
            <w:r w:rsidRPr="004224E2">
              <w:rPr>
                <w:sz w:val="20"/>
                <w:szCs w:val="20"/>
                <w:lang w:bidi="ar-SA"/>
              </w:rPr>
              <w:t>3   b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B567843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7,</w:t>
            </w:r>
            <w:proofErr w:type="gramStart"/>
            <w:r w:rsidRPr="004224E2">
              <w:rPr>
                <w:sz w:val="20"/>
                <w:szCs w:val="20"/>
                <w:lang w:bidi="ar-SA"/>
              </w:rPr>
              <w:t>60  b</w:t>
            </w:r>
            <w:proofErr w:type="gramEnd"/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4F507A74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0,86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5D76A55B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9,6</w:t>
            </w:r>
            <w:r w:rsidRPr="004224E2">
              <w:rPr>
                <w:sz w:val="20"/>
                <w:szCs w:val="20"/>
                <w:lang w:bidi="ar-SA"/>
              </w:rPr>
              <w:t>5   b</w:t>
            </w:r>
          </w:p>
        </w:tc>
      </w:tr>
      <w:tr w:rsidR="009016FF" w:rsidRPr="004224E2" w14:paraId="0C709BDC" w14:textId="77777777" w:rsidTr="004B50DE">
        <w:trPr>
          <w:trHeight w:val="288"/>
          <w:jc w:val="center"/>
        </w:trPr>
        <w:tc>
          <w:tcPr>
            <w:tcW w:w="2963" w:type="dxa"/>
            <w:shd w:val="clear" w:color="auto" w:fill="auto"/>
            <w:noWrap/>
            <w:vAlign w:val="bottom"/>
            <w:hideMark/>
          </w:tcPr>
          <w:p w14:paraId="79D263D5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T12 -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C 50% / 50% PS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174CD8C5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15,7</w:t>
            </w:r>
            <w:r w:rsidRPr="004224E2">
              <w:rPr>
                <w:sz w:val="20"/>
                <w:szCs w:val="20"/>
                <w:lang w:bidi="ar-SA"/>
              </w:rPr>
              <w:t>7 a*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A24B0BD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1,7</w:t>
            </w:r>
            <w:r w:rsidRPr="004224E2">
              <w:rPr>
                <w:sz w:val="20"/>
                <w:szCs w:val="20"/>
                <w:lang w:bidi="ar-SA"/>
              </w:rPr>
              <w:t xml:space="preserve">9  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bc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C9D452F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7,</w:t>
            </w:r>
            <w:proofErr w:type="gramStart"/>
            <w:r w:rsidRPr="009B2AE7">
              <w:rPr>
                <w:sz w:val="20"/>
                <w:szCs w:val="20"/>
                <w:lang w:bidi="ar-SA"/>
              </w:rPr>
              <w:t>70</w:t>
            </w:r>
            <w:r w:rsidRPr="004224E2">
              <w:rPr>
                <w:sz w:val="20"/>
                <w:szCs w:val="20"/>
                <w:lang w:bidi="ar-SA"/>
              </w:rPr>
              <w:t xml:space="preserve">  b</w:t>
            </w:r>
            <w:proofErr w:type="gramEnd"/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8740618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0,76</w:t>
            </w:r>
            <w:r w:rsidRPr="004224E2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461AC7D2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4224E2">
              <w:rPr>
                <w:sz w:val="20"/>
                <w:szCs w:val="20"/>
                <w:lang w:bidi="ar-SA"/>
              </w:rPr>
              <w:t xml:space="preserve">  </w:t>
            </w:r>
            <w:r w:rsidRPr="009B2AE7">
              <w:rPr>
                <w:sz w:val="20"/>
                <w:szCs w:val="20"/>
                <w:lang w:bidi="ar-SA"/>
              </w:rPr>
              <w:t>7,9</w:t>
            </w:r>
            <w:r w:rsidRPr="004224E2">
              <w:rPr>
                <w:sz w:val="20"/>
                <w:szCs w:val="20"/>
                <w:lang w:bidi="ar-SA"/>
              </w:rPr>
              <w:t>7   b</w:t>
            </w:r>
          </w:p>
        </w:tc>
      </w:tr>
      <w:tr w:rsidR="009016FF" w:rsidRPr="004224E2" w14:paraId="7D22A45D" w14:textId="77777777" w:rsidTr="004B50DE">
        <w:trPr>
          <w:trHeight w:val="288"/>
          <w:jc w:val="center"/>
        </w:trPr>
        <w:tc>
          <w:tcPr>
            <w:tcW w:w="2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EEDC" w14:textId="77777777" w:rsidR="009016FF" w:rsidRPr="009B2AE7" w:rsidRDefault="009016FF" w:rsidP="007F776E">
            <w:pPr>
              <w:widowControl/>
              <w:rPr>
                <w:b/>
                <w:bCs/>
                <w:sz w:val="20"/>
                <w:szCs w:val="20"/>
                <w:lang w:bidi="ar-SA"/>
              </w:rPr>
            </w:pPr>
            <w:r w:rsidRPr="004224E2">
              <w:rPr>
                <w:b/>
                <w:bCs/>
                <w:sz w:val="20"/>
                <w:szCs w:val="20"/>
                <w:lang w:bidi="ar-SA"/>
              </w:rPr>
              <w:t xml:space="preserve">T13 - </w:t>
            </w:r>
            <w:r w:rsidRPr="009B2AE7">
              <w:rPr>
                <w:b/>
                <w:bCs/>
                <w:sz w:val="20"/>
                <w:szCs w:val="20"/>
                <w:lang w:bidi="ar-SA"/>
              </w:rPr>
              <w:t>C 33% / 33% AL / 33% PS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0A4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12,5</w:t>
            </w:r>
            <w:r w:rsidRPr="004224E2">
              <w:rPr>
                <w:sz w:val="20"/>
                <w:szCs w:val="20"/>
                <w:lang w:bidi="ar-SA"/>
              </w:rPr>
              <w:t>1 b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C1CC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1,69</w:t>
            </w:r>
            <w:r w:rsidRPr="004224E2">
              <w:rPr>
                <w:sz w:val="20"/>
                <w:szCs w:val="20"/>
                <w:lang w:bidi="ar-SA"/>
              </w:rPr>
              <w:t xml:space="preserve">     c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905D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11,33</w:t>
            </w:r>
            <w:r w:rsidRPr="004224E2">
              <w:rPr>
                <w:sz w:val="20"/>
                <w:szCs w:val="20"/>
                <w:lang w:bidi="ar-SA"/>
              </w:rPr>
              <w:t xml:space="preserve"> a*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3725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1,1</w:t>
            </w:r>
            <w:r w:rsidRPr="004224E2">
              <w:rPr>
                <w:sz w:val="20"/>
                <w:szCs w:val="20"/>
                <w:lang w:bidi="ar-SA"/>
              </w:rPr>
              <w:t>9 a*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6DEB" w14:textId="77777777" w:rsidR="009016FF" w:rsidRPr="009B2AE7" w:rsidRDefault="009016FF" w:rsidP="007F776E">
            <w:pPr>
              <w:widowControl/>
              <w:jc w:val="both"/>
              <w:rPr>
                <w:sz w:val="20"/>
                <w:szCs w:val="20"/>
                <w:lang w:bidi="ar-SA"/>
              </w:rPr>
            </w:pPr>
            <w:r w:rsidRPr="009B2AE7">
              <w:rPr>
                <w:sz w:val="20"/>
                <w:szCs w:val="20"/>
                <w:lang w:bidi="ar-SA"/>
              </w:rPr>
              <w:t>12,</w:t>
            </w:r>
            <w:r w:rsidRPr="004224E2">
              <w:rPr>
                <w:sz w:val="20"/>
                <w:szCs w:val="20"/>
                <w:lang w:bidi="ar-SA"/>
              </w:rPr>
              <w:t xml:space="preserve">50 </w:t>
            </w:r>
            <w:proofErr w:type="spellStart"/>
            <w:r w:rsidRPr="004224E2">
              <w:rPr>
                <w:sz w:val="20"/>
                <w:szCs w:val="20"/>
                <w:lang w:bidi="ar-SA"/>
              </w:rPr>
              <w:t>ab</w:t>
            </w:r>
            <w:proofErr w:type="spellEnd"/>
            <w:r w:rsidRPr="004224E2">
              <w:rPr>
                <w:sz w:val="20"/>
                <w:szCs w:val="20"/>
                <w:lang w:bidi="ar-SA"/>
              </w:rPr>
              <w:t>*</w:t>
            </w:r>
          </w:p>
        </w:tc>
      </w:tr>
    </w:tbl>
    <w:p w14:paraId="65C1CFB4" w14:textId="77777777" w:rsidR="004B50DE" w:rsidRPr="004224E2" w:rsidRDefault="004B50DE" w:rsidP="004B50DE">
      <w:pPr>
        <w:widowControl/>
        <w:ind w:right="3"/>
        <w:jc w:val="both"/>
        <w:rPr>
          <w:sz w:val="20"/>
          <w:szCs w:val="20"/>
        </w:rPr>
      </w:pPr>
      <w:r w:rsidRPr="004224E2">
        <w:rPr>
          <w:sz w:val="20"/>
          <w:szCs w:val="20"/>
        </w:rPr>
        <w:t xml:space="preserve">Médias seguidas de mesma letra não diferem entre si pelo teste de </w:t>
      </w:r>
      <w:proofErr w:type="spellStart"/>
      <w:r w:rsidRPr="004224E2">
        <w:rPr>
          <w:sz w:val="20"/>
          <w:szCs w:val="20"/>
        </w:rPr>
        <w:t>Tukey</w:t>
      </w:r>
      <w:proofErr w:type="spellEnd"/>
      <w:r w:rsidRPr="004224E2">
        <w:rPr>
          <w:sz w:val="20"/>
          <w:szCs w:val="20"/>
        </w:rPr>
        <w:t xml:space="preserve"> a 5% de probabilidade. O asterisco (*) indica os tratamentos em diferença estatística.</w:t>
      </w:r>
    </w:p>
    <w:p w14:paraId="575ADACC" w14:textId="77777777" w:rsidR="009016FF" w:rsidRPr="004224E2" w:rsidRDefault="009016FF" w:rsidP="005C133B">
      <w:pPr>
        <w:widowControl/>
        <w:spacing w:after="5" w:line="250" w:lineRule="auto"/>
        <w:ind w:left="-1" w:right="570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</w:p>
    <w:p w14:paraId="2F02D000" w14:textId="6AC57411" w:rsidR="00BE4B4D" w:rsidRPr="00BE4B4D" w:rsidRDefault="00BE4B4D" w:rsidP="00BE4B4D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A avaliação dos diferentes substratos utilizados no desenvolvimento de plântulas de </w:t>
      </w:r>
      <w:r w:rsidRPr="00BE4B4D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C</w:t>
      </w:r>
      <w:r w:rsidRPr="004224E2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.</w:t>
      </w:r>
      <w:r w:rsidRPr="00BE4B4D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  <w:proofErr w:type="spellStart"/>
      <w:r w:rsidRPr="00BE4B4D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grandis</w:t>
      </w:r>
      <w:proofErr w:type="spellEnd"/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revelou variações significativas nos parâmetros de matéria seca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(Figura 1)</w:t>
      </w:r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da raiz (MSR), caule (MSC), folha (MSF), matéria seca total (MST), relação raiz/parte aérea (R/PA) e alocação de biomassa. De modo geral, os substratos influenciaram de forma distinta cada órgão da planta, sendo observada maior sensibilidade nas raízes e folhas em comparação ao caule, que apresentou menor variação entre os tratamentos. O tratamento T9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(</w:t>
      </w:r>
      <w:r w:rsidRPr="009B2AE7">
        <w:rPr>
          <w:b/>
          <w:bCs/>
          <w:sz w:val="20"/>
          <w:szCs w:val="20"/>
          <w:lang w:bidi="ar-SA"/>
        </w:rPr>
        <w:t>C 40%/60% AL</w:t>
      </w:r>
      <w:r w:rsidRPr="004224E2">
        <w:rPr>
          <w:b/>
          <w:bCs/>
          <w:sz w:val="20"/>
          <w:szCs w:val="20"/>
          <w:lang w:bidi="ar-SA"/>
        </w:rPr>
        <w:t>)</w:t>
      </w:r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destacou-se positivamente, apresentando os maiores valores de MSR, MSF, MST e R/PA, sugerindo um ambiente mais favorável ao crescimento equilibrado das plântulas.</w:t>
      </w:r>
    </w:p>
    <w:p w14:paraId="19F25935" w14:textId="389B7D7C" w:rsidR="00BE4B4D" w:rsidRPr="00BE4B4D" w:rsidRDefault="00BE4B4D" w:rsidP="00BE4B4D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>A matéria seca da raiz foi particularmente influenciada pela composição dos substratos, com destaque para T9, que superou significativamente os demais tratamentos. Em contrapartida, substratos como T4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(</w:t>
      </w:r>
      <w:r w:rsidRPr="009B2AE7">
        <w:rPr>
          <w:b/>
          <w:bCs/>
          <w:sz w:val="20"/>
          <w:szCs w:val="20"/>
          <w:lang w:bidi="ar-SA"/>
        </w:rPr>
        <w:t xml:space="preserve">PS </w:t>
      </w:r>
      <w:r w:rsidRPr="009B2AE7">
        <w:rPr>
          <w:b/>
          <w:bCs/>
          <w:sz w:val="20"/>
          <w:szCs w:val="20"/>
          <w:lang w:bidi="ar-SA"/>
        </w:rPr>
        <w:lastRenderedPageBreak/>
        <w:t>20%/80% AL</w:t>
      </w:r>
      <w:r w:rsidRPr="004224E2">
        <w:rPr>
          <w:b/>
          <w:bCs/>
          <w:sz w:val="20"/>
          <w:szCs w:val="20"/>
          <w:lang w:bidi="ar-SA"/>
        </w:rPr>
        <w:t>)</w:t>
      </w:r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>, T10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(</w:t>
      </w:r>
      <w:r w:rsidRPr="009B2AE7">
        <w:rPr>
          <w:b/>
          <w:bCs/>
          <w:sz w:val="20"/>
          <w:szCs w:val="20"/>
          <w:lang w:bidi="ar-SA"/>
        </w:rPr>
        <w:t>C 60%/20% AL</w:t>
      </w:r>
      <w:r w:rsidRPr="004224E2">
        <w:rPr>
          <w:b/>
          <w:bCs/>
          <w:sz w:val="20"/>
          <w:szCs w:val="20"/>
          <w:lang w:bidi="ar-SA"/>
        </w:rPr>
        <w:t>)</w:t>
      </w:r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e T11</w:t>
      </w:r>
      <w:r w:rsidRPr="004224E2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(</w:t>
      </w:r>
      <w:r w:rsidRPr="009B2AE7">
        <w:rPr>
          <w:b/>
          <w:bCs/>
          <w:sz w:val="20"/>
          <w:szCs w:val="20"/>
          <w:lang w:bidi="ar-SA"/>
        </w:rPr>
        <w:t>C 80%/20% AL</w:t>
      </w:r>
      <w:r w:rsidRPr="004224E2">
        <w:rPr>
          <w:b/>
          <w:bCs/>
          <w:sz w:val="20"/>
          <w:szCs w:val="20"/>
          <w:lang w:bidi="ar-SA"/>
        </w:rPr>
        <w:t>)</w:t>
      </w:r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 resultaram em valores mais baixos de MSR, MST e R/PA, indicando possíveis limitações nutricionais ou físicas que comprometeram o desenvolvimento radicular. A alocação de biomassa reforça esses achados, evidenciando que T9 promoveu uma distribuição mais equilibrada entre raiz, caule e folha, enquanto os piores tratamentos concentraram a biomassa majoritariamente no caule, com baixa alocação para as raízes.</w:t>
      </w:r>
    </w:p>
    <w:p w14:paraId="01550B7E" w14:textId="7AC68663" w:rsidR="00BE4B4D" w:rsidRPr="004224E2" w:rsidRDefault="00BE4B4D" w:rsidP="00BE4B4D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 xml:space="preserve">Esses resultados demonstram que a escolha do substrato tem papel fundamental na formação inicial de </w:t>
      </w:r>
      <w:r w:rsidRPr="00BE4B4D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C</w:t>
      </w:r>
      <w:r w:rsidRPr="004224E2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.</w:t>
      </w:r>
      <w:r w:rsidRPr="00BE4B4D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 xml:space="preserve"> </w:t>
      </w:r>
      <w:proofErr w:type="spellStart"/>
      <w:r w:rsidRPr="00BE4B4D">
        <w:rPr>
          <w:i/>
          <w:iCs/>
          <w:color w:val="000000"/>
          <w:kern w:val="2"/>
          <w:sz w:val="20"/>
          <w:szCs w:val="20"/>
          <w:lang w:bidi="ar-SA"/>
          <w14:ligatures w14:val="standardContextual"/>
        </w:rPr>
        <w:t>grandis</w:t>
      </w:r>
      <w:proofErr w:type="spellEnd"/>
      <w:r w:rsidRPr="00BE4B4D">
        <w:rPr>
          <w:color w:val="000000"/>
          <w:kern w:val="2"/>
          <w:sz w:val="20"/>
          <w:szCs w:val="20"/>
          <w:lang w:bidi="ar-SA"/>
          <w14:ligatures w14:val="standardContextual"/>
        </w:rPr>
        <w:t>, afetando diretamente o acúmulo de biomassa e a alocação dos recursos. A maior relação raiz/parte aérea observada em T9 indica uma adaptação eficiente ao substrato, favorecendo a absorção de água e nutrientes. Em contraste, a baixa razão observada nos tratamentos T4 e T11 pode indicar estresse ou desenvolvimento desbalanceado, comprometendo o vigor das plântulas. Portanto, T9 se mostra o substrato mais promissor para a produção de mudas dessa espécie, contribuindo para um crescimento mais homogêneo e robusto.</w:t>
      </w:r>
    </w:p>
    <w:p w14:paraId="061A7EDF" w14:textId="77777777" w:rsidR="00BE4B4D" w:rsidRPr="004224E2" w:rsidRDefault="00BE4B4D" w:rsidP="00BE4B4D">
      <w:pPr>
        <w:widowControl/>
        <w:spacing w:after="5" w:line="250" w:lineRule="auto"/>
        <w:ind w:left="-1" w:right="3" w:firstLine="850"/>
        <w:jc w:val="both"/>
        <w:rPr>
          <w:color w:val="000000"/>
          <w:kern w:val="2"/>
          <w:sz w:val="20"/>
          <w:szCs w:val="20"/>
          <w:lang w:bidi="ar-SA"/>
          <w14:ligatures w14:val="standardContextual"/>
        </w:rPr>
      </w:pPr>
    </w:p>
    <w:p w14:paraId="7352BD1B" w14:textId="461F2F78" w:rsidR="00863417" w:rsidRPr="004224E2" w:rsidRDefault="003F73FF" w:rsidP="00245179">
      <w:pPr>
        <w:spacing w:line="259" w:lineRule="auto"/>
        <w:jc w:val="center"/>
      </w:pPr>
      <w:r w:rsidRPr="004224E2">
        <w:rPr>
          <w:noProof/>
        </w:rPr>
        <w:drawing>
          <wp:inline distT="0" distB="0" distL="0" distR="0" wp14:anchorId="75F7EEC8" wp14:editId="1AA91680">
            <wp:extent cx="4074160" cy="3246120"/>
            <wp:effectExtent l="0" t="0" r="2540" b="0"/>
            <wp:docPr id="681" name="Picture 681" descr="Gráfic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Picture 681" descr="Gráfico&#10;&#10;O conteúdo gerado por IA pode estar incorreto."/>
                    <pic:cNvPicPr/>
                  </pic:nvPicPr>
                  <pic:blipFill rotWithShape="1">
                    <a:blip r:embed="rId10"/>
                    <a:srcRect t="6149" b="4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618" cy="324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975045" w14:textId="4155084B" w:rsidR="00BE4B4D" w:rsidRDefault="00BE4B4D" w:rsidP="00BE4B4D">
      <w:pPr>
        <w:widowControl/>
        <w:ind w:left="720" w:hanging="720"/>
        <w:jc w:val="both"/>
        <w:rPr>
          <w:sz w:val="20"/>
          <w:szCs w:val="20"/>
        </w:rPr>
      </w:pPr>
      <w:r w:rsidRPr="004224E2">
        <w:rPr>
          <w:sz w:val="20"/>
          <w:szCs w:val="20"/>
        </w:rPr>
        <w:t xml:space="preserve">Figura 1. Valores médios da Matéria Seca da Folha (A), do caule (B), da raiz (C), total (D), relação raiz parte aérea (E) e alocação de biomassa (F) de plântulas de </w:t>
      </w:r>
      <w:r w:rsidRPr="004224E2">
        <w:rPr>
          <w:i/>
          <w:sz w:val="20"/>
          <w:szCs w:val="20"/>
        </w:rPr>
        <w:t xml:space="preserve">Cassia </w:t>
      </w:r>
      <w:proofErr w:type="spellStart"/>
      <w:r w:rsidRPr="004224E2">
        <w:rPr>
          <w:i/>
          <w:sz w:val="20"/>
          <w:szCs w:val="20"/>
        </w:rPr>
        <w:t>grandis</w:t>
      </w:r>
      <w:proofErr w:type="spellEnd"/>
      <w:r w:rsidRPr="004224E2">
        <w:rPr>
          <w:sz w:val="20"/>
          <w:szCs w:val="20"/>
        </w:rPr>
        <w:t xml:space="preserve"> </w:t>
      </w:r>
      <w:proofErr w:type="spellStart"/>
      <w:r w:rsidRPr="004224E2">
        <w:rPr>
          <w:sz w:val="20"/>
          <w:szCs w:val="20"/>
        </w:rPr>
        <w:t>L.f</w:t>
      </w:r>
      <w:proofErr w:type="spellEnd"/>
      <w:r w:rsidRPr="004224E2">
        <w:rPr>
          <w:sz w:val="20"/>
          <w:szCs w:val="20"/>
        </w:rPr>
        <w:t xml:space="preserve">. cultivadas em diferentes substratos. Letras minúsculas comparam dentro de cada tratamento e letras </w:t>
      </w:r>
      <w:proofErr w:type="spellStart"/>
      <w:r w:rsidRPr="004224E2">
        <w:rPr>
          <w:sz w:val="20"/>
          <w:szCs w:val="20"/>
        </w:rPr>
        <w:t>maiusculas</w:t>
      </w:r>
      <w:proofErr w:type="spellEnd"/>
      <w:r w:rsidRPr="004224E2">
        <w:rPr>
          <w:sz w:val="20"/>
          <w:szCs w:val="20"/>
        </w:rPr>
        <w:t xml:space="preserve"> entre os tratamentos. Médias seguidas de mesma letra não diferem entre si pelo teste de </w:t>
      </w:r>
      <w:proofErr w:type="spellStart"/>
      <w:r w:rsidRPr="004224E2">
        <w:rPr>
          <w:sz w:val="20"/>
          <w:szCs w:val="20"/>
        </w:rPr>
        <w:t>Tukey</w:t>
      </w:r>
      <w:proofErr w:type="spellEnd"/>
      <w:r w:rsidRPr="004224E2">
        <w:rPr>
          <w:sz w:val="20"/>
          <w:szCs w:val="20"/>
        </w:rPr>
        <w:t xml:space="preserve"> a 5% de probabilidade. </w:t>
      </w:r>
    </w:p>
    <w:p w14:paraId="341C15ED" w14:textId="77777777" w:rsidR="00651A28" w:rsidRPr="004224E2" w:rsidRDefault="00651A28" w:rsidP="00BE4B4D">
      <w:pPr>
        <w:widowControl/>
        <w:ind w:left="720" w:hanging="720"/>
        <w:jc w:val="both"/>
        <w:rPr>
          <w:sz w:val="20"/>
          <w:szCs w:val="20"/>
        </w:rPr>
      </w:pPr>
    </w:p>
    <w:p w14:paraId="014091E5" w14:textId="508DC97E" w:rsidR="004E70CB" w:rsidRPr="004224E2" w:rsidRDefault="00000000" w:rsidP="00F029C4">
      <w:pPr>
        <w:widowControl/>
        <w:jc w:val="both"/>
        <w:rPr>
          <w:sz w:val="20"/>
          <w:szCs w:val="20"/>
        </w:rPr>
      </w:pPr>
      <w:r w:rsidRPr="004224E2">
        <w:rPr>
          <w:b/>
          <w:sz w:val="20"/>
          <w:szCs w:val="20"/>
        </w:rPr>
        <w:t xml:space="preserve">CONCLUSÕES </w:t>
      </w:r>
    </w:p>
    <w:p w14:paraId="4A40F99E" w14:textId="2FCAB538" w:rsidR="00BE4B4D" w:rsidRPr="00BE4B4D" w:rsidRDefault="00BE4B4D" w:rsidP="00EC3A47">
      <w:pPr>
        <w:widowControl/>
        <w:ind w:firstLine="720"/>
        <w:jc w:val="both"/>
        <w:rPr>
          <w:sz w:val="20"/>
          <w:szCs w:val="20"/>
        </w:rPr>
      </w:pPr>
      <w:r w:rsidRPr="00BE4B4D">
        <w:rPr>
          <w:sz w:val="20"/>
          <w:szCs w:val="20"/>
        </w:rPr>
        <w:t>A</w:t>
      </w:r>
      <w:r w:rsidR="00EC3A47" w:rsidRPr="004224E2">
        <w:rPr>
          <w:sz w:val="20"/>
          <w:szCs w:val="20"/>
        </w:rPr>
        <w:t xml:space="preserve">s formulações de substratos aplicados influenciaram significativamente </w:t>
      </w:r>
      <w:r w:rsidRPr="00BE4B4D">
        <w:rPr>
          <w:sz w:val="20"/>
          <w:szCs w:val="20"/>
        </w:rPr>
        <w:t xml:space="preserve">o crescimento </w:t>
      </w:r>
      <w:r w:rsidR="00EC3A47" w:rsidRPr="004224E2">
        <w:rPr>
          <w:sz w:val="20"/>
          <w:szCs w:val="20"/>
        </w:rPr>
        <w:t xml:space="preserve">das </w:t>
      </w:r>
      <w:r w:rsidRPr="00BE4B4D">
        <w:rPr>
          <w:sz w:val="20"/>
          <w:szCs w:val="20"/>
        </w:rPr>
        <w:t>plântulas</w:t>
      </w:r>
      <w:r w:rsidR="00EC3A47" w:rsidRPr="004224E2">
        <w:rPr>
          <w:sz w:val="20"/>
          <w:szCs w:val="20"/>
        </w:rPr>
        <w:t xml:space="preserve"> e dentro os </w:t>
      </w:r>
      <w:r w:rsidRPr="00BE4B4D">
        <w:rPr>
          <w:sz w:val="20"/>
          <w:szCs w:val="20"/>
        </w:rPr>
        <w:t>substrato</w:t>
      </w:r>
      <w:r w:rsidR="00EC3A47" w:rsidRPr="004224E2">
        <w:rPr>
          <w:sz w:val="20"/>
          <w:szCs w:val="20"/>
        </w:rPr>
        <w:t xml:space="preserve">s, a formulação </w:t>
      </w:r>
      <w:r w:rsidR="00EC3A47" w:rsidRPr="009B2AE7">
        <w:rPr>
          <w:b/>
          <w:bCs/>
          <w:sz w:val="20"/>
          <w:szCs w:val="20"/>
          <w:lang w:bidi="ar-SA"/>
        </w:rPr>
        <w:t xml:space="preserve">40% </w:t>
      </w:r>
      <w:proofErr w:type="spellStart"/>
      <w:r w:rsidR="00EC3A47" w:rsidRPr="004224E2">
        <w:rPr>
          <w:b/>
          <w:bCs/>
          <w:sz w:val="20"/>
          <w:szCs w:val="20"/>
          <w:lang w:bidi="ar-SA"/>
        </w:rPr>
        <w:t>cavavo</w:t>
      </w:r>
      <w:proofErr w:type="spellEnd"/>
      <w:r w:rsidR="00EC3A47" w:rsidRPr="004224E2">
        <w:rPr>
          <w:b/>
          <w:bCs/>
          <w:sz w:val="20"/>
          <w:szCs w:val="20"/>
          <w:lang w:bidi="ar-SA"/>
        </w:rPr>
        <w:t xml:space="preserve"> e </w:t>
      </w:r>
      <w:r w:rsidR="00EC3A47" w:rsidRPr="009B2AE7">
        <w:rPr>
          <w:b/>
          <w:bCs/>
          <w:sz w:val="20"/>
          <w:szCs w:val="20"/>
          <w:lang w:bidi="ar-SA"/>
        </w:rPr>
        <w:t>60% A</w:t>
      </w:r>
      <w:r w:rsidR="00EC3A47" w:rsidRPr="004224E2">
        <w:rPr>
          <w:b/>
          <w:bCs/>
          <w:sz w:val="20"/>
          <w:szCs w:val="20"/>
          <w:lang w:bidi="ar-SA"/>
        </w:rPr>
        <w:t>reia lavada</w:t>
      </w:r>
      <w:r w:rsidRPr="00BE4B4D">
        <w:rPr>
          <w:sz w:val="20"/>
          <w:szCs w:val="20"/>
        </w:rPr>
        <w:t xml:space="preserve"> mostrou-se o mais adequado para a formação inicial de mudas de </w:t>
      </w:r>
      <w:r w:rsidR="00EC3A47" w:rsidRPr="004224E2">
        <w:rPr>
          <w:i/>
          <w:sz w:val="20"/>
          <w:szCs w:val="20"/>
        </w:rPr>
        <w:t xml:space="preserve">Cassia </w:t>
      </w:r>
      <w:proofErr w:type="spellStart"/>
      <w:r w:rsidR="00EC3A47" w:rsidRPr="004224E2">
        <w:rPr>
          <w:i/>
          <w:sz w:val="20"/>
          <w:szCs w:val="20"/>
        </w:rPr>
        <w:t>grandis</w:t>
      </w:r>
      <w:proofErr w:type="spellEnd"/>
      <w:r w:rsidR="00EC3A47" w:rsidRPr="004224E2">
        <w:rPr>
          <w:sz w:val="20"/>
          <w:szCs w:val="20"/>
        </w:rPr>
        <w:t xml:space="preserve"> </w:t>
      </w:r>
      <w:proofErr w:type="spellStart"/>
      <w:r w:rsidR="00EC3A47" w:rsidRPr="004224E2">
        <w:rPr>
          <w:sz w:val="20"/>
          <w:szCs w:val="20"/>
        </w:rPr>
        <w:t>L.f</w:t>
      </w:r>
      <w:proofErr w:type="spellEnd"/>
      <w:r w:rsidR="00EC3A47" w:rsidRPr="004224E2">
        <w:rPr>
          <w:sz w:val="20"/>
          <w:szCs w:val="20"/>
        </w:rPr>
        <w:t>.</w:t>
      </w:r>
      <w:r w:rsidRPr="00BE4B4D">
        <w:rPr>
          <w:sz w:val="20"/>
          <w:szCs w:val="20"/>
        </w:rPr>
        <w:t>, promovendo crescimento equilibrado e maior acúmulo de biomassa, mesmo com menor estatura das plântulas.</w:t>
      </w:r>
    </w:p>
    <w:p w14:paraId="4D48B953" w14:textId="77777777" w:rsidR="004E70CB" w:rsidRPr="004224E2" w:rsidRDefault="004E70CB">
      <w:pPr>
        <w:widowControl/>
        <w:jc w:val="both"/>
        <w:rPr>
          <w:sz w:val="20"/>
          <w:szCs w:val="20"/>
        </w:rPr>
      </w:pPr>
    </w:p>
    <w:p w14:paraId="1EEE6674" w14:textId="4ACE838C" w:rsidR="004E70CB" w:rsidRDefault="00000000" w:rsidP="00245179">
      <w:pPr>
        <w:widowControl/>
        <w:jc w:val="both"/>
        <w:rPr>
          <w:b/>
          <w:sz w:val="20"/>
          <w:szCs w:val="20"/>
        </w:rPr>
      </w:pPr>
      <w:r w:rsidRPr="004224E2">
        <w:rPr>
          <w:b/>
          <w:sz w:val="20"/>
          <w:szCs w:val="20"/>
        </w:rPr>
        <w:t>REFERÊNCIAS</w:t>
      </w:r>
      <w:r>
        <w:rPr>
          <w:b/>
          <w:sz w:val="20"/>
          <w:szCs w:val="20"/>
        </w:rPr>
        <w:t xml:space="preserve"> </w:t>
      </w:r>
    </w:p>
    <w:p w14:paraId="6A09A1C5" w14:textId="77777777" w:rsidR="00651A28" w:rsidRDefault="00651A28" w:rsidP="004224E2">
      <w:pPr>
        <w:widowControl/>
        <w:jc w:val="both"/>
        <w:rPr>
          <w:sz w:val="20"/>
          <w:szCs w:val="20"/>
        </w:rPr>
      </w:pPr>
      <w:r w:rsidRPr="004224E2">
        <w:rPr>
          <w:sz w:val="20"/>
          <w:szCs w:val="20"/>
        </w:rPr>
        <w:t xml:space="preserve">FLORIANO, E. P. </w:t>
      </w:r>
      <w:r w:rsidRPr="004224E2">
        <w:rPr>
          <w:b/>
          <w:bCs/>
          <w:sz w:val="20"/>
          <w:szCs w:val="20"/>
        </w:rPr>
        <w:t>Germinação e dormência de sementes florestais</w:t>
      </w:r>
      <w:r w:rsidRPr="004224E2">
        <w:rPr>
          <w:i/>
          <w:iCs/>
          <w:sz w:val="20"/>
          <w:szCs w:val="20"/>
        </w:rPr>
        <w:t>.</w:t>
      </w:r>
      <w:r w:rsidRPr="004224E2">
        <w:rPr>
          <w:sz w:val="20"/>
          <w:szCs w:val="20"/>
        </w:rPr>
        <w:t xml:space="preserve"> Santa Rosa: ANORGS, 2004. 19 p.</w:t>
      </w:r>
    </w:p>
    <w:p w14:paraId="0E8FF7AF" w14:textId="77777777" w:rsidR="00651A28" w:rsidRDefault="00651A28" w:rsidP="004224E2">
      <w:pPr>
        <w:widowControl/>
        <w:jc w:val="both"/>
        <w:rPr>
          <w:sz w:val="20"/>
          <w:szCs w:val="20"/>
        </w:rPr>
      </w:pPr>
      <w:r w:rsidRPr="00651A28">
        <w:rPr>
          <w:sz w:val="20"/>
          <w:szCs w:val="20"/>
        </w:rPr>
        <w:t xml:space="preserve">FOWLER, João A. P.; BIANCHETTI, Arnaldo. </w:t>
      </w:r>
      <w:r w:rsidRPr="00651A28">
        <w:rPr>
          <w:b/>
          <w:bCs/>
          <w:sz w:val="20"/>
          <w:szCs w:val="20"/>
        </w:rPr>
        <w:t>Dormência em sementes florestais.</w:t>
      </w:r>
      <w:r w:rsidRPr="00651A28">
        <w:rPr>
          <w:sz w:val="20"/>
          <w:szCs w:val="20"/>
        </w:rPr>
        <w:t xml:space="preserve"> Colombo: EMBRAPA-Florestas, doc. 40, 2000.</w:t>
      </w:r>
    </w:p>
    <w:p w14:paraId="441DA461" w14:textId="77777777" w:rsidR="00651A28" w:rsidRDefault="00651A28" w:rsidP="004224E2">
      <w:pPr>
        <w:widowControl/>
        <w:jc w:val="both"/>
        <w:rPr>
          <w:sz w:val="20"/>
          <w:szCs w:val="20"/>
        </w:rPr>
      </w:pPr>
      <w:r w:rsidRPr="004224E2">
        <w:rPr>
          <w:sz w:val="20"/>
          <w:szCs w:val="20"/>
        </w:rPr>
        <w:t xml:space="preserve">KRAMER, Paul J. e KOZLOWSKI, T. </w:t>
      </w:r>
      <w:r w:rsidRPr="004224E2">
        <w:rPr>
          <w:b/>
          <w:bCs/>
          <w:sz w:val="20"/>
          <w:szCs w:val="20"/>
        </w:rPr>
        <w:t>Fisiologia das árvores.</w:t>
      </w:r>
      <w:r w:rsidRPr="004224E2">
        <w:rPr>
          <w:sz w:val="20"/>
          <w:szCs w:val="20"/>
        </w:rPr>
        <w:t xml:space="preserve"> Lisboa: Fundação Calouste Gulbenkian, 1972. 745 p.</w:t>
      </w:r>
    </w:p>
    <w:p w14:paraId="4037F2BB" w14:textId="77777777" w:rsidR="00651A28" w:rsidRDefault="00651A28" w:rsidP="004224E2">
      <w:pPr>
        <w:widowControl/>
        <w:jc w:val="both"/>
        <w:rPr>
          <w:sz w:val="20"/>
          <w:szCs w:val="20"/>
        </w:rPr>
      </w:pPr>
      <w:r w:rsidRPr="00E53A6C">
        <w:rPr>
          <w:sz w:val="20"/>
          <w:szCs w:val="20"/>
        </w:rPr>
        <w:t xml:space="preserve">LORENZI, H. </w:t>
      </w:r>
      <w:r w:rsidRPr="00E312C6">
        <w:rPr>
          <w:b/>
          <w:bCs/>
          <w:sz w:val="20"/>
          <w:szCs w:val="20"/>
        </w:rPr>
        <w:t>Árvores brasileiras: manual de identificação e cultivo de plantas arbóreas nativas do Brasil.</w:t>
      </w:r>
      <w:r w:rsidRPr="00E53A6C">
        <w:rPr>
          <w:sz w:val="20"/>
          <w:szCs w:val="20"/>
        </w:rPr>
        <w:t xml:space="preserve"> Nova Odessa: Plantarum, 1992. 368p.</w:t>
      </w:r>
    </w:p>
    <w:p w14:paraId="3D67D370" w14:textId="77777777" w:rsidR="00651A28" w:rsidRDefault="00651A28" w:rsidP="004224E2">
      <w:pPr>
        <w:widowControl/>
        <w:jc w:val="both"/>
        <w:rPr>
          <w:sz w:val="20"/>
          <w:szCs w:val="20"/>
        </w:rPr>
      </w:pPr>
      <w:r w:rsidRPr="004224E2">
        <w:rPr>
          <w:sz w:val="20"/>
          <w:szCs w:val="20"/>
        </w:rPr>
        <w:t>SILVA, D</w:t>
      </w:r>
      <w:r>
        <w:rPr>
          <w:sz w:val="20"/>
          <w:szCs w:val="20"/>
        </w:rPr>
        <w:t>.</w:t>
      </w:r>
      <w:r w:rsidRPr="004224E2">
        <w:rPr>
          <w:sz w:val="20"/>
          <w:szCs w:val="20"/>
        </w:rPr>
        <w:t xml:space="preserve"> B</w:t>
      </w:r>
      <w:r>
        <w:rPr>
          <w:sz w:val="20"/>
          <w:szCs w:val="20"/>
        </w:rPr>
        <w:t>.</w:t>
      </w:r>
      <w:r w:rsidRPr="004224E2">
        <w:rPr>
          <w:sz w:val="20"/>
          <w:szCs w:val="20"/>
        </w:rPr>
        <w:t>; LEMOS, B</w:t>
      </w:r>
      <w:r>
        <w:rPr>
          <w:sz w:val="20"/>
          <w:szCs w:val="20"/>
        </w:rPr>
        <w:t xml:space="preserve">. </w:t>
      </w:r>
      <w:r w:rsidRPr="004224E2">
        <w:rPr>
          <w:sz w:val="20"/>
          <w:szCs w:val="20"/>
        </w:rPr>
        <w:t xml:space="preserve">S. </w:t>
      </w:r>
      <w:r w:rsidRPr="004224E2">
        <w:rPr>
          <w:b/>
          <w:bCs/>
          <w:sz w:val="20"/>
          <w:szCs w:val="20"/>
        </w:rPr>
        <w:t xml:space="preserve">Plantas da área verde da Super Quadra Norte 416 </w:t>
      </w:r>
      <w:r w:rsidRPr="004224E2">
        <w:rPr>
          <w:sz w:val="20"/>
          <w:szCs w:val="20"/>
        </w:rPr>
        <w:t>- Brasília, DF. Brasília: Embrapa Recursos Genéticos e Biotecnologia, 2002. 147 p.</w:t>
      </w:r>
    </w:p>
    <w:sectPr w:rsidR="00651A28" w:rsidSect="007A7E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1911" w:right="1134" w:bottom="1134" w:left="1701" w:header="1418" w:footer="14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081C" w14:textId="77777777" w:rsidR="00D45EB5" w:rsidRDefault="00D45EB5">
      <w:r>
        <w:separator/>
      </w:r>
    </w:p>
  </w:endnote>
  <w:endnote w:type="continuationSeparator" w:id="0">
    <w:p w14:paraId="7C141DB1" w14:textId="77777777" w:rsidR="00D45EB5" w:rsidRDefault="00D4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4BD5" w14:textId="77777777" w:rsidR="004E70CB" w:rsidRDefault="004E70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644766"/>
      <w:docPartObj>
        <w:docPartGallery w:val="Page Numbers (Bottom of Page)"/>
        <w:docPartUnique/>
      </w:docPartObj>
    </w:sdtPr>
    <w:sdtContent>
      <w:p w14:paraId="7C0C68F9" w14:textId="7F68CB25" w:rsidR="007A7EC8" w:rsidRDefault="007A7E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E7CB3" w14:textId="77777777" w:rsidR="004E70CB" w:rsidRDefault="004E70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672987"/>
      <w:docPartObj>
        <w:docPartGallery w:val="Page Numbers (Bottom of Page)"/>
        <w:docPartUnique/>
      </w:docPartObj>
    </w:sdtPr>
    <w:sdtContent>
      <w:p w14:paraId="6F107BA3" w14:textId="38DF194C" w:rsidR="007A7EC8" w:rsidRDefault="007A7E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E7388B" w14:textId="77777777" w:rsidR="004E70CB" w:rsidRDefault="004E70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4B91" w14:textId="77777777" w:rsidR="00D45EB5" w:rsidRDefault="00D45EB5">
      <w:r>
        <w:separator/>
      </w:r>
    </w:p>
  </w:footnote>
  <w:footnote w:type="continuationSeparator" w:id="0">
    <w:p w14:paraId="7D9E47CF" w14:textId="77777777" w:rsidR="00D45EB5" w:rsidRDefault="00D4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49D5" w14:textId="77777777" w:rsidR="004E70CB" w:rsidRDefault="004E70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C40A" w14:textId="77777777" w:rsidR="004E70CB" w:rsidRDefault="004E70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8DF0" w14:textId="77777777" w:rsidR="004E70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0BFB664" wp14:editId="15C4E064">
          <wp:extent cx="5274310" cy="791210"/>
          <wp:effectExtent l="0" t="0" r="0" b="0"/>
          <wp:docPr id="43765513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E6EE4"/>
    <w:multiLevelType w:val="multilevel"/>
    <w:tmpl w:val="EBAEF4CE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 w16cid:durableId="173692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CB"/>
    <w:rsid w:val="0009232F"/>
    <w:rsid w:val="000E4F98"/>
    <w:rsid w:val="00245179"/>
    <w:rsid w:val="00245D1C"/>
    <w:rsid w:val="00255677"/>
    <w:rsid w:val="00386B12"/>
    <w:rsid w:val="003F73FF"/>
    <w:rsid w:val="00415B24"/>
    <w:rsid w:val="004224E2"/>
    <w:rsid w:val="004B50DE"/>
    <w:rsid w:val="004E70CB"/>
    <w:rsid w:val="0052241A"/>
    <w:rsid w:val="005409B1"/>
    <w:rsid w:val="005C133B"/>
    <w:rsid w:val="005D6694"/>
    <w:rsid w:val="00651A28"/>
    <w:rsid w:val="00751768"/>
    <w:rsid w:val="00762A01"/>
    <w:rsid w:val="00773948"/>
    <w:rsid w:val="007A7EC8"/>
    <w:rsid w:val="007F2BD4"/>
    <w:rsid w:val="00832D57"/>
    <w:rsid w:val="00863417"/>
    <w:rsid w:val="009016FF"/>
    <w:rsid w:val="009B2AE7"/>
    <w:rsid w:val="00A37F93"/>
    <w:rsid w:val="00B47E64"/>
    <w:rsid w:val="00B659E2"/>
    <w:rsid w:val="00BA036E"/>
    <w:rsid w:val="00BB2A8B"/>
    <w:rsid w:val="00BE4B4D"/>
    <w:rsid w:val="00BF2E60"/>
    <w:rsid w:val="00CB7D41"/>
    <w:rsid w:val="00D45EB5"/>
    <w:rsid w:val="00EC3A47"/>
    <w:rsid w:val="00F029C4"/>
    <w:rsid w:val="00F90162"/>
    <w:rsid w:val="00F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CE81"/>
  <w15:docId w15:val="{7682CC03-16E5-4798-8730-23B30578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863417"/>
    <w:pPr>
      <w:widowControl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9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21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3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usto.barbosa@ceca.ufal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augusto.barbosa@ceca.ufal.b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c28lwHzFXw0O3CQ6gx6YcoyVg==">CgMxLjAaHwoBMBIaChgICVIUChJ0YWJsZS5jbTF2MGc4Y3Zhc3IyCGguZ2pkZ3hzMg5oLnlwOTZpd3Uybzd3ZzgAciExdl9ONWE2SF92RUJwT05DbnByX3l3TEFURlptY3gySXE=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2422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Nadja Maria Barbosa</cp:lastModifiedBy>
  <cp:revision>3</cp:revision>
  <dcterms:created xsi:type="dcterms:W3CDTF">2025-06-11T01:41:00Z</dcterms:created>
  <dcterms:modified xsi:type="dcterms:W3CDTF">2025-06-11T01:44:00Z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