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62C055" w14:textId="45B10D9C" w:rsidR="005B483D" w:rsidRPr="00B259F1" w:rsidRDefault="00BA0D03" w:rsidP="00B259F1">
      <w:pPr>
        <w:pBdr>
          <w:top w:val="nil"/>
          <w:left w:val="nil"/>
          <w:bottom w:val="nil"/>
          <w:right w:val="nil"/>
          <w:between w:val="nil"/>
        </w:pBdr>
        <w:spacing w:after="0" w:line="240" w:lineRule="auto"/>
        <w:jc w:val="both"/>
        <w:rPr>
          <w:rFonts w:ascii="Candara" w:eastAsia="Candara" w:hAnsi="Candara" w:cs="Candara"/>
          <w:b/>
          <w:bCs/>
          <w:smallCaps/>
          <w:color w:val="000000"/>
          <w:sz w:val="36"/>
          <w:szCs w:val="36"/>
        </w:rPr>
      </w:pPr>
      <w:r w:rsidRPr="00B259F1">
        <w:rPr>
          <w:rFonts w:ascii="Candara" w:eastAsia="Candara" w:hAnsi="Candara" w:cs="Candara"/>
          <w:b/>
          <w:bCs/>
          <w:smallCaps/>
          <w:color w:val="000000"/>
          <w:sz w:val="36"/>
          <w:szCs w:val="36"/>
        </w:rPr>
        <w:t>ANÁLISE DA PRESSÃO AMBIENTAL RELACIONADA À PRODUÇÃO AGROPECUÁRIA NA MESORREGIÃO OESTE PARANAENSE (MOP)</w:t>
      </w:r>
    </w:p>
    <w:p w14:paraId="4E794988" w14:textId="77777777" w:rsidR="005B483D" w:rsidRDefault="005B483D" w:rsidP="009D3D79">
      <w:pPr>
        <w:pBdr>
          <w:top w:val="nil"/>
          <w:left w:val="nil"/>
          <w:bottom w:val="nil"/>
          <w:right w:val="nil"/>
          <w:between w:val="nil"/>
        </w:pBdr>
        <w:spacing w:after="120" w:line="240" w:lineRule="auto"/>
        <w:jc w:val="both"/>
        <w:rPr>
          <w:rFonts w:ascii="Candara" w:eastAsia="Candara" w:hAnsi="Candara" w:cs="Candara"/>
          <w:color w:val="000000"/>
          <w:sz w:val="24"/>
          <w:szCs w:val="24"/>
        </w:rPr>
      </w:pPr>
    </w:p>
    <w:p w14:paraId="1E06B948" w14:textId="5AA8F6FC" w:rsidR="005B483D" w:rsidRPr="006F0E72" w:rsidRDefault="00CE7EE5">
      <w:pPr>
        <w:pBdr>
          <w:top w:val="nil"/>
          <w:left w:val="nil"/>
          <w:bottom w:val="nil"/>
          <w:right w:val="nil"/>
          <w:between w:val="nil"/>
        </w:pBdr>
        <w:spacing w:after="0" w:line="240" w:lineRule="auto"/>
        <w:jc w:val="right"/>
        <w:rPr>
          <w:rFonts w:ascii="Candara" w:eastAsia="Candara" w:hAnsi="Candara" w:cs="Candara"/>
          <w:b/>
          <w:bCs/>
          <w:color w:val="000000"/>
        </w:rPr>
      </w:pPr>
      <w:r w:rsidRPr="006F0E72">
        <w:rPr>
          <w:rFonts w:ascii="Candara" w:eastAsia="Candara" w:hAnsi="Candara" w:cs="Candara"/>
          <w:b/>
          <w:bCs/>
          <w:color w:val="000000"/>
        </w:rPr>
        <w:t>A</w:t>
      </w:r>
      <w:r w:rsidR="00BA0D03" w:rsidRPr="006F0E72">
        <w:rPr>
          <w:rFonts w:ascii="Candara" w:eastAsia="Candara" w:hAnsi="Candara" w:cs="Candara"/>
          <w:b/>
          <w:bCs/>
          <w:color w:val="000000"/>
        </w:rPr>
        <w:t>lexandra Andrade de Almeida Cardoso</w:t>
      </w:r>
      <w:r w:rsidRPr="006F0E72">
        <w:rPr>
          <w:rFonts w:ascii="Candara" w:eastAsia="Candara" w:hAnsi="Candara" w:cs="Candara"/>
          <w:b/>
          <w:bCs/>
          <w:color w:val="000000"/>
          <w:vertAlign w:val="superscript"/>
        </w:rPr>
        <w:footnoteReference w:id="1"/>
      </w:r>
    </w:p>
    <w:p w14:paraId="02FEAE97" w14:textId="0F0D3667" w:rsidR="005B483D" w:rsidRPr="006F0E72" w:rsidRDefault="00BA0D03">
      <w:pPr>
        <w:pBdr>
          <w:top w:val="nil"/>
          <w:left w:val="nil"/>
          <w:bottom w:val="nil"/>
          <w:right w:val="nil"/>
          <w:between w:val="nil"/>
        </w:pBdr>
        <w:spacing w:after="0" w:line="240" w:lineRule="auto"/>
        <w:jc w:val="right"/>
        <w:rPr>
          <w:rFonts w:ascii="Candara" w:eastAsia="Candara" w:hAnsi="Candara" w:cs="Candara"/>
          <w:b/>
          <w:bCs/>
          <w:color w:val="000000"/>
        </w:rPr>
      </w:pPr>
      <w:r w:rsidRPr="006F0E72">
        <w:rPr>
          <w:rFonts w:ascii="Candara" w:eastAsia="Candara" w:hAnsi="Candara" w:cs="Candara"/>
          <w:b/>
          <w:bCs/>
          <w:color w:val="000000"/>
        </w:rPr>
        <w:t>Leandro José de Oliveira</w:t>
      </w:r>
      <w:r w:rsidR="00CE7EE5" w:rsidRPr="006F0E72">
        <w:rPr>
          <w:rFonts w:ascii="Candara" w:eastAsia="Candara" w:hAnsi="Candara" w:cs="Candara"/>
          <w:b/>
          <w:bCs/>
          <w:color w:val="000000"/>
          <w:vertAlign w:val="superscript"/>
        </w:rPr>
        <w:footnoteReference w:id="2"/>
      </w:r>
    </w:p>
    <w:p w14:paraId="7C01B642" w14:textId="66F6BCD4" w:rsidR="00BA0D03" w:rsidRPr="006F0E72" w:rsidRDefault="00BA0D03">
      <w:pPr>
        <w:pBdr>
          <w:top w:val="nil"/>
          <w:left w:val="nil"/>
          <w:bottom w:val="nil"/>
          <w:right w:val="nil"/>
          <w:between w:val="nil"/>
        </w:pBdr>
        <w:spacing w:after="0" w:line="240" w:lineRule="auto"/>
        <w:jc w:val="right"/>
        <w:rPr>
          <w:rFonts w:ascii="Candara" w:eastAsia="Candara" w:hAnsi="Candara" w:cs="Candara"/>
          <w:b/>
          <w:bCs/>
          <w:color w:val="000000"/>
        </w:rPr>
      </w:pPr>
      <w:r w:rsidRPr="006F0E72">
        <w:rPr>
          <w:rFonts w:ascii="Candara" w:eastAsia="Candara" w:hAnsi="Candara" w:cs="Candara"/>
          <w:b/>
          <w:bCs/>
          <w:color w:val="000000"/>
        </w:rPr>
        <w:t>Moacir Piffer</w:t>
      </w:r>
      <w:r w:rsidRPr="006F0E72">
        <w:rPr>
          <w:rStyle w:val="Refdenotaderodap"/>
          <w:rFonts w:ascii="Candara" w:eastAsia="Candara" w:hAnsi="Candara" w:cs="Candara"/>
          <w:b/>
          <w:bCs/>
          <w:color w:val="000000"/>
        </w:rPr>
        <w:footnoteReference w:id="3"/>
      </w:r>
    </w:p>
    <w:p w14:paraId="7F7C8981" w14:textId="77777777" w:rsidR="005B483D" w:rsidRDefault="005B483D" w:rsidP="009D3D79">
      <w:pPr>
        <w:pBdr>
          <w:top w:val="nil"/>
          <w:left w:val="nil"/>
          <w:bottom w:val="nil"/>
          <w:right w:val="nil"/>
          <w:between w:val="nil"/>
        </w:pBdr>
        <w:spacing w:after="120" w:line="240" w:lineRule="auto"/>
        <w:jc w:val="both"/>
        <w:rPr>
          <w:rFonts w:ascii="Candara" w:eastAsia="Candara" w:hAnsi="Candara" w:cs="Candara"/>
          <w:color w:val="000000"/>
          <w:sz w:val="24"/>
          <w:szCs w:val="24"/>
        </w:rPr>
      </w:pPr>
    </w:p>
    <w:p w14:paraId="022274D2" w14:textId="32D77A9C" w:rsidR="005B483D" w:rsidRDefault="00CE7EE5" w:rsidP="005917FE">
      <w:pPr>
        <w:pBdr>
          <w:top w:val="nil"/>
          <w:left w:val="nil"/>
          <w:bottom w:val="nil"/>
          <w:right w:val="nil"/>
          <w:between w:val="nil"/>
        </w:pBdr>
        <w:spacing w:after="120" w:line="240" w:lineRule="auto"/>
        <w:jc w:val="both"/>
        <w:rPr>
          <w:rFonts w:ascii="Candara" w:eastAsia="Candara" w:hAnsi="Candara" w:cs="Candara"/>
          <w:color w:val="000000"/>
        </w:rPr>
      </w:pPr>
      <w:r>
        <w:rPr>
          <w:rFonts w:ascii="Candara" w:eastAsia="Candara" w:hAnsi="Candara" w:cs="Candara"/>
          <w:b/>
          <w:color w:val="000000"/>
        </w:rPr>
        <w:t>Resumo</w:t>
      </w:r>
      <w:r>
        <w:rPr>
          <w:rFonts w:ascii="Candara" w:eastAsia="Candara" w:hAnsi="Candara" w:cs="Candara"/>
          <w:color w:val="000000"/>
        </w:rPr>
        <w:t xml:space="preserve">: </w:t>
      </w:r>
      <w:r w:rsidR="009877ED" w:rsidRPr="009877ED">
        <w:rPr>
          <w:rFonts w:ascii="Candara" w:eastAsia="Candara" w:hAnsi="Candara" w:cs="Candara"/>
        </w:rPr>
        <w:t>O objetivo desta pesquisa foi avaliar o nível de pressão ambiental resultante da atividade agropecuária na Mesorregião Oeste Paranaense (MOP), buscando identificar padrões semelhantes de impacto ambiental entre os municípios da região. Utilizaram-se técnicas estatísticas multivariadas, incluindo análise fatorial e de clusters, para analisar os dados. Os resultados apontaram características importantes dos estabelecimentos agropecuários, como a forte presença da agricultura familiar e o uso intensivo de agrotóxicos nas lavouras de soja e milho, predominantes na área estudada. Verificou-se que a maioria dos municípios apresenta baixos níveis de pressão ambiental, com Índices de Pressão Ambiental (IPA) próximos de zero, sugerindo uma relação mais equilibrada entre os ganhos econômicos e a preservação ambiental. No entanto, os municípios de Cascavel e Toledo mostraram altos níveis de pressão ambiental, influenciados pela predominância do agronegócio em suas economias. Ademais, a análise de clusters identificou quatro grupos distintos, evidenciando particularidades do estresse ambiental relacionado à produção agropecuária.</w:t>
      </w:r>
      <w:r w:rsidR="009877ED">
        <w:rPr>
          <w:rFonts w:ascii="Candara" w:eastAsia="Candara" w:hAnsi="Candara" w:cs="Candara"/>
        </w:rPr>
        <w:t xml:space="preserve"> </w:t>
      </w:r>
    </w:p>
    <w:p w14:paraId="7EE85D53" w14:textId="26661264" w:rsidR="005B483D" w:rsidRPr="001B58AB" w:rsidRDefault="00CE7EE5">
      <w:pPr>
        <w:pBdr>
          <w:top w:val="nil"/>
          <w:left w:val="nil"/>
          <w:bottom w:val="nil"/>
          <w:right w:val="nil"/>
          <w:between w:val="nil"/>
        </w:pBdr>
        <w:spacing w:line="240" w:lineRule="auto"/>
        <w:jc w:val="both"/>
        <w:rPr>
          <w:rFonts w:ascii="Candara" w:eastAsia="Candara" w:hAnsi="Candara" w:cs="Candara"/>
          <w:color w:val="000000"/>
        </w:rPr>
      </w:pPr>
      <w:r w:rsidRPr="001B58AB">
        <w:rPr>
          <w:rFonts w:ascii="Candara" w:eastAsia="Candara" w:hAnsi="Candara" w:cs="Candara"/>
          <w:b/>
          <w:color w:val="000000"/>
        </w:rPr>
        <w:t>Palavras-chave</w:t>
      </w:r>
      <w:r w:rsidRPr="001B58AB">
        <w:rPr>
          <w:rFonts w:ascii="Candara" w:eastAsia="Candara" w:hAnsi="Candara" w:cs="Candara"/>
          <w:color w:val="000000"/>
        </w:rPr>
        <w:t>:</w:t>
      </w:r>
      <w:r w:rsidR="005917FE" w:rsidRPr="001B58AB">
        <w:rPr>
          <w:rFonts w:ascii="Candara" w:eastAsia="Candara" w:hAnsi="Candara" w:cs="Candara"/>
          <w:color w:val="000000"/>
        </w:rPr>
        <w:t xml:space="preserve"> Índice de Pressão Ambiental. Produção agropecuária. Preservação Ambiental.</w:t>
      </w:r>
      <w:r w:rsidRPr="001B58AB">
        <w:rPr>
          <w:rFonts w:ascii="Candara" w:eastAsia="Candara" w:hAnsi="Candara" w:cs="Candara"/>
          <w:color w:val="000000"/>
        </w:rPr>
        <w:t xml:space="preserve"> </w:t>
      </w:r>
    </w:p>
    <w:p w14:paraId="150B39C7" w14:textId="4EC2E0D2" w:rsidR="005B483D" w:rsidRPr="00B259F1" w:rsidRDefault="005917FE" w:rsidP="00B259F1">
      <w:pPr>
        <w:pBdr>
          <w:top w:val="nil"/>
          <w:left w:val="nil"/>
          <w:bottom w:val="nil"/>
          <w:right w:val="nil"/>
          <w:between w:val="nil"/>
        </w:pBdr>
        <w:spacing w:after="0" w:line="240" w:lineRule="auto"/>
        <w:jc w:val="both"/>
        <w:rPr>
          <w:rFonts w:ascii="Candara" w:eastAsia="Candara" w:hAnsi="Candara" w:cs="Candara"/>
          <w:b/>
          <w:bCs/>
          <w:color w:val="000000"/>
          <w:sz w:val="36"/>
          <w:szCs w:val="36"/>
          <w:lang w:val="en-US"/>
        </w:rPr>
      </w:pPr>
      <w:r w:rsidRPr="00B259F1">
        <w:rPr>
          <w:rFonts w:ascii="Candara" w:eastAsia="Candara" w:hAnsi="Candara" w:cs="Candara"/>
          <w:b/>
          <w:bCs/>
          <w:smallCaps/>
          <w:color w:val="000000"/>
          <w:sz w:val="36"/>
          <w:szCs w:val="36"/>
          <w:lang w:val="en-US"/>
        </w:rPr>
        <w:lastRenderedPageBreak/>
        <w:t>ANALYSIS OF ENVIRONMENTAL PRESSURE RELATED TO AGRICULTURAL PRODUCTION IN THE WESTERN MESOREGION OF PARANA (MOP)</w:t>
      </w:r>
    </w:p>
    <w:p w14:paraId="7DE83B40" w14:textId="77777777" w:rsidR="005917FE" w:rsidRPr="00FB0014" w:rsidRDefault="005917FE" w:rsidP="005917FE">
      <w:pPr>
        <w:pBdr>
          <w:top w:val="nil"/>
          <w:left w:val="nil"/>
          <w:bottom w:val="nil"/>
          <w:right w:val="nil"/>
          <w:between w:val="nil"/>
        </w:pBdr>
        <w:spacing w:after="120" w:line="240" w:lineRule="auto"/>
        <w:jc w:val="both"/>
        <w:rPr>
          <w:rFonts w:ascii="Candara" w:eastAsia="Candara" w:hAnsi="Candara" w:cs="Candara"/>
          <w:b/>
          <w:color w:val="000000"/>
          <w:lang w:val="en-US"/>
        </w:rPr>
      </w:pPr>
    </w:p>
    <w:p w14:paraId="54B89045" w14:textId="6EE96A13" w:rsidR="005B483D" w:rsidRPr="00FB0014" w:rsidRDefault="001444E4" w:rsidP="005917FE">
      <w:pPr>
        <w:pBdr>
          <w:top w:val="nil"/>
          <w:left w:val="nil"/>
          <w:bottom w:val="nil"/>
          <w:right w:val="nil"/>
          <w:between w:val="nil"/>
        </w:pBdr>
        <w:spacing w:after="120" w:line="240" w:lineRule="auto"/>
        <w:jc w:val="both"/>
        <w:rPr>
          <w:rFonts w:ascii="Candara" w:eastAsia="Candara" w:hAnsi="Candara" w:cs="Candara"/>
          <w:color w:val="000000"/>
          <w:lang w:val="en-US"/>
        </w:rPr>
      </w:pPr>
      <w:r w:rsidRPr="00FB0014">
        <w:rPr>
          <w:rFonts w:ascii="Candara" w:eastAsia="Candara" w:hAnsi="Candara" w:cs="Candara"/>
          <w:b/>
          <w:color w:val="000000"/>
          <w:lang w:val="en-US"/>
        </w:rPr>
        <w:t>Abstract</w:t>
      </w:r>
      <w:r w:rsidR="00CE7EE5" w:rsidRPr="00FB0014">
        <w:rPr>
          <w:rFonts w:ascii="Candara" w:eastAsia="Candara" w:hAnsi="Candara" w:cs="Candara"/>
          <w:color w:val="000000"/>
          <w:lang w:val="en-US"/>
        </w:rPr>
        <w:t xml:space="preserve">: </w:t>
      </w:r>
      <w:r w:rsidR="00097223" w:rsidRPr="00097223">
        <w:rPr>
          <w:rFonts w:ascii="Candara" w:eastAsia="Candara" w:hAnsi="Candara" w:cs="Candara"/>
          <w:color w:val="000000"/>
          <w:lang w:val="en-US"/>
        </w:rPr>
        <w:t xml:space="preserve">The objective of this research was to assess the level of environmental pressure resulting from farming activities in the Mesoregion of Western Paraná (MOP), seeking to identify similar patterns of environmental impact among the region's municipalities. Multivariate statistical techniques, including factor and cluster analysis, were used to analyze the data. The results showed important characteristics of agricultural establishments, such as the strong presence of family farming and the intensive use of pesticides in soybean and corn crops, which are predominant in the area studied. It was found that most of the municipalities have low levels of environmental pressure, with Environmental Pressure Indices (EPIs) close to zero, suggesting a more balanced relationship between economic gains and environmental preservation. However, the municipalities of </w:t>
      </w:r>
      <w:proofErr w:type="spellStart"/>
      <w:r w:rsidR="00097223" w:rsidRPr="00097223">
        <w:rPr>
          <w:rFonts w:ascii="Candara" w:eastAsia="Candara" w:hAnsi="Candara" w:cs="Candara"/>
          <w:color w:val="000000"/>
          <w:lang w:val="en-US"/>
        </w:rPr>
        <w:t>Cascavel</w:t>
      </w:r>
      <w:proofErr w:type="spellEnd"/>
      <w:r w:rsidR="00097223" w:rsidRPr="00097223">
        <w:rPr>
          <w:rFonts w:ascii="Candara" w:eastAsia="Candara" w:hAnsi="Candara" w:cs="Candara"/>
          <w:color w:val="000000"/>
          <w:lang w:val="en-US"/>
        </w:rPr>
        <w:t xml:space="preserve"> and Toledo showed high levels of environmental pressure, influenced by the predominance of agribusiness in their economies. In addition, the cluster analysis identified four distinct groups, highlighting the particularities of environmental stress related to agricultural production.</w:t>
      </w:r>
    </w:p>
    <w:p w14:paraId="1EE048D2" w14:textId="507597FB" w:rsidR="005B483D" w:rsidRPr="001B58AB" w:rsidRDefault="00CE7EE5" w:rsidP="00E00688">
      <w:pPr>
        <w:jc w:val="both"/>
        <w:rPr>
          <w:rFonts w:ascii="Candara" w:eastAsia="Candara" w:hAnsi="Candara" w:cs="Candara"/>
          <w:sz w:val="20"/>
          <w:szCs w:val="20"/>
          <w:lang w:val="en-US"/>
        </w:rPr>
      </w:pPr>
      <w:r w:rsidRPr="001B58AB">
        <w:rPr>
          <w:rFonts w:ascii="Candara" w:eastAsia="Candara" w:hAnsi="Candara" w:cs="Candara"/>
          <w:b/>
          <w:sz w:val="20"/>
          <w:szCs w:val="20"/>
          <w:lang w:val="en-US"/>
        </w:rPr>
        <w:t>Keywords:</w:t>
      </w:r>
      <w:r w:rsidRPr="001B58AB">
        <w:rPr>
          <w:rFonts w:ascii="Candara" w:eastAsia="Candara" w:hAnsi="Candara" w:cs="Candara"/>
          <w:sz w:val="20"/>
          <w:szCs w:val="20"/>
          <w:lang w:val="en-US"/>
        </w:rPr>
        <w:t xml:space="preserve"> </w:t>
      </w:r>
      <w:r w:rsidR="005917FE" w:rsidRPr="001B58AB">
        <w:rPr>
          <w:rFonts w:ascii="Candara" w:eastAsia="Candara" w:hAnsi="Candara" w:cs="Candara"/>
          <w:color w:val="000000"/>
          <w:lang w:val="en-US"/>
        </w:rPr>
        <w:t>Environmental Pressure Index. Agricultural production. Environmental Preservation.</w:t>
      </w:r>
    </w:p>
    <w:p w14:paraId="2120533D" w14:textId="77777777" w:rsidR="00E00688" w:rsidRPr="00E00688" w:rsidRDefault="00E00688" w:rsidP="00E00688">
      <w:pPr>
        <w:spacing w:after="0" w:line="360" w:lineRule="auto"/>
        <w:jc w:val="both"/>
        <w:rPr>
          <w:rFonts w:ascii="Candara" w:eastAsia="Candara" w:hAnsi="Candara" w:cs="Candara"/>
          <w:sz w:val="20"/>
          <w:szCs w:val="20"/>
        </w:rPr>
      </w:pPr>
    </w:p>
    <w:p w14:paraId="1D5666E0" w14:textId="569242C1" w:rsidR="005B483D" w:rsidRPr="00E010E1" w:rsidRDefault="00130412" w:rsidP="00E010E1">
      <w:pPr>
        <w:numPr>
          <w:ilvl w:val="0"/>
          <w:numId w:val="2"/>
        </w:numPr>
        <w:pBdr>
          <w:top w:val="nil"/>
          <w:left w:val="nil"/>
          <w:bottom w:val="nil"/>
          <w:right w:val="nil"/>
          <w:between w:val="nil"/>
        </w:pBdr>
        <w:tabs>
          <w:tab w:val="left" w:pos="1134"/>
        </w:tabs>
        <w:spacing w:after="120" w:line="360" w:lineRule="auto"/>
        <w:ind w:left="0" w:firstLine="851"/>
        <w:jc w:val="both"/>
        <w:rPr>
          <w:rFonts w:ascii="Candara" w:eastAsia="Candara" w:hAnsi="Candara" w:cs="Candara"/>
          <w:color w:val="000000"/>
          <w:sz w:val="28"/>
          <w:szCs w:val="28"/>
        </w:rPr>
      </w:pPr>
      <w:r w:rsidRPr="00E010E1">
        <w:rPr>
          <w:rFonts w:ascii="Candara" w:eastAsia="Candara" w:hAnsi="Candara" w:cs="Candara"/>
          <w:color w:val="000000"/>
          <w:sz w:val="28"/>
          <w:szCs w:val="28"/>
        </w:rPr>
        <w:t>INTRODUÇÃO</w:t>
      </w:r>
    </w:p>
    <w:p w14:paraId="1BC78843" w14:textId="1880A8C0" w:rsidR="00097C6D" w:rsidRDefault="005917FE" w:rsidP="00097C6D">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5917FE">
        <w:rPr>
          <w:rFonts w:ascii="Candara" w:eastAsia="Candara" w:hAnsi="Candara" w:cs="Candara"/>
          <w:color w:val="000000"/>
          <w:sz w:val="24"/>
          <w:szCs w:val="24"/>
        </w:rPr>
        <w:t xml:space="preserve">Os impactos ambientais se referem </w:t>
      </w:r>
      <w:r w:rsidR="001444E4" w:rsidRPr="005917FE">
        <w:rPr>
          <w:rFonts w:ascii="Candara" w:eastAsia="Candara" w:hAnsi="Candara" w:cs="Candara"/>
          <w:color w:val="000000"/>
          <w:sz w:val="24"/>
          <w:szCs w:val="24"/>
        </w:rPr>
        <w:t>às</w:t>
      </w:r>
      <w:r w:rsidRPr="005917FE">
        <w:rPr>
          <w:rFonts w:ascii="Candara" w:eastAsia="Candara" w:hAnsi="Candara" w:cs="Candara"/>
          <w:color w:val="000000"/>
          <w:sz w:val="24"/>
          <w:szCs w:val="24"/>
        </w:rPr>
        <w:t xml:space="preserve"> ações que resultam em perdas, danos e prejuízos aos ecossistemas e abrangem qualquer alteração nas características físicas, químicas e biológicas do ambiente, frequentemente causada pela atividade humana, afetando tanto a biodiversidade quanto a qualidade dos recursos naturais (P</w:t>
      </w:r>
      <w:r w:rsidR="00E010E1">
        <w:rPr>
          <w:rFonts w:ascii="Candara" w:eastAsia="Candara" w:hAnsi="Candara" w:cs="Candara"/>
          <w:color w:val="000000"/>
          <w:sz w:val="24"/>
          <w:szCs w:val="24"/>
        </w:rPr>
        <w:t>ereira</w:t>
      </w:r>
      <w:r w:rsidRPr="005917FE">
        <w:rPr>
          <w:rFonts w:ascii="Candara" w:eastAsia="Candara" w:hAnsi="Candara" w:cs="Candara"/>
          <w:color w:val="000000"/>
          <w:sz w:val="24"/>
          <w:szCs w:val="24"/>
        </w:rPr>
        <w:t>; C</w:t>
      </w:r>
      <w:r w:rsidR="00E010E1">
        <w:rPr>
          <w:rFonts w:ascii="Candara" w:eastAsia="Candara" w:hAnsi="Candara" w:cs="Candara"/>
          <w:color w:val="000000"/>
          <w:sz w:val="24"/>
          <w:szCs w:val="24"/>
        </w:rPr>
        <w:t>uri</w:t>
      </w:r>
      <w:r w:rsidRPr="005917FE">
        <w:rPr>
          <w:rFonts w:ascii="Candara" w:eastAsia="Candara" w:hAnsi="Candara" w:cs="Candara"/>
          <w:color w:val="000000"/>
          <w:sz w:val="24"/>
          <w:szCs w:val="24"/>
        </w:rPr>
        <w:t xml:space="preserve">, 2012). Ao longo da história, a humanidade tem se beneficiado da exploração florestal e da transformação do meio ambiente para diversas finalidades. A diminuição global das áreas florestais e dos ecossistemas tem ocorrido principalmente devido a incêndios, exploração madeireira, geração de energia e </w:t>
      </w:r>
      <w:r w:rsidRPr="005917FE">
        <w:rPr>
          <w:rFonts w:ascii="Candara" w:eastAsia="Candara" w:hAnsi="Candara" w:cs="Candara"/>
          <w:color w:val="000000"/>
          <w:sz w:val="24"/>
          <w:szCs w:val="24"/>
        </w:rPr>
        <w:lastRenderedPageBreak/>
        <w:t>conversão inadequada e insustentável de terras para atividades agropecuárias (A</w:t>
      </w:r>
      <w:r w:rsidR="00E010E1">
        <w:rPr>
          <w:rFonts w:ascii="Candara" w:eastAsia="Candara" w:hAnsi="Candara" w:cs="Candara"/>
          <w:color w:val="000000"/>
          <w:sz w:val="24"/>
          <w:szCs w:val="24"/>
        </w:rPr>
        <w:t>rraes</w:t>
      </w:r>
      <w:r w:rsidRPr="005917FE">
        <w:rPr>
          <w:rFonts w:ascii="Candara" w:eastAsia="Candara" w:hAnsi="Candara" w:cs="Candara"/>
          <w:color w:val="000000"/>
          <w:sz w:val="24"/>
          <w:szCs w:val="24"/>
        </w:rPr>
        <w:t xml:space="preserve"> </w:t>
      </w:r>
      <w:r w:rsidRPr="00E010E1">
        <w:rPr>
          <w:rFonts w:ascii="Candara" w:eastAsia="Candara" w:hAnsi="Candara" w:cs="Candara"/>
          <w:i/>
          <w:iCs/>
          <w:color w:val="000000"/>
          <w:sz w:val="24"/>
          <w:szCs w:val="24"/>
        </w:rPr>
        <w:t>et al.</w:t>
      </w:r>
      <w:r w:rsidRPr="005917FE">
        <w:rPr>
          <w:rFonts w:ascii="Candara" w:eastAsia="Candara" w:hAnsi="Candara" w:cs="Candara"/>
          <w:color w:val="000000"/>
          <w:sz w:val="24"/>
          <w:szCs w:val="24"/>
        </w:rPr>
        <w:t>, 2012).</w:t>
      </w:r>
    </w:p>
    <w:p w14:paraId="09514D40" w14:textId="2D9A8405" w:rsidR="005917FE" w:rsidRPr="005917FE" w:rsidRDefault="005917FE" w:rsidP="00097C6D">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5917FE">
        <w:rPr>
          <w:rFonts w:ascii="Candara" w:eastAsia="Candara" w:hAnsi="Candara" w:cs="Candara"/>
          <w:color w:val="000000"/>
          <w:sz w:val="24"/>
          <w:szCs w:val="24"/>
        </w:rPr>
        <w:t>O estado do Paraná, situado na região Sul do Brasil, é conhecido por sua expansão territorial, produção agrícola e destaque na pecuária. Possui área de 199.298.981 km2 (IBGE, 2022), sendo o quinto maior estado do país em extensão territorial. Desde a fundação em 1853, passou por um notável processo de expansão, impulsionado pela colonização e desenvolvimento agrícola, que ocorreram principalmente por meio da exploração de áreas de mata e da implantação de lavouras, pastagens e infraestrutura.</w:t>
      </w:r>
    </w:p>
    <w:p w14:paraId="1A8CF330" w14:textId="3713F5A8" w:rsidR="007E5CFC" w:rsidRDefault="00C61271" w:rsidP="00C6127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Nota-se que</w:t>
      </w:r>
      <w:r w:rsidR="005917FE" w:rsidRPr="005917FE">
        <w:rPr>
          <w:rFonts w:ascii="Candara" w:eastAsia="Candara" w:hAnsi="Candara" w:cs="Candara"/>
          <w:color w:val="000000"/>
          <w:sz w:val="24"/>
          <w:szCs w:val="24"/>
        </w:rPr>
        <w:t xml:space="preserve"> a agricultura desempenha um papel vital na economia do Paraná, tornando-o um dos principais “celeiros agrícolas” do Brasil.</w:t>
      </w:r>
      <w:r w:rsidR="001F11DC">
        <w:rPr>
          <w:rFonts w:ascii="Candara" w:eastAsia="Candara" w:hAnsi="Candara" w:cs="Candara"/>
          <w:color w:val="000000"/>
          <w:sz w:val="24"/>
          <w:szCs w:val="24"/>
        </w:rPr>
        <w:t xml:space="preserve"> A predominância </w:t>
      </w:r>
      <w:r w:rsidR="004B25F2">
        <w:rPr>
          <w:rFonts w:ascii="Candara" w:eastAsia="Candara" w:hAnsi="Candara" w:cs="Candara"/>
          <w:color w:val="000000"/>
          <w:sz w:val="24"/>
          <w:szCs w:val="24"/>
        </w:rPr>
        <w:t xml:space="preserve">é verificada na </w:t>
      </w:r>
      <w:r w:rsidRPr="00C61271">
        <w:rPr>
          <w:rFonts w:ascii="Candara" w:eastAsia="Candara" w:hAnsi="Candara" w:cs="Candara"/>
          <w:color w:val="000000"/>
          <w:sz w:val="24"/>
          <w:szCs w:val="24"/>
        </w:rPr>
        <w:t>Mesorregião Oeste Paranaense (MOP)</w:t>
      </w:r>
      <w:r w:rsidR="004B25F2">
        <w:rPr>
          <w:rFonts w:ascii="Candara" w:eastAsia="Candara" w:hAnsi="Candara" w:cs="Candara"/>
          <w:color w:val="000000"/>
          <w:sz w:val="24"/>
          <w:szCs w:val="24"/>
        </w:rPr>
        <w:t xml:space="preserve">, </w:t>
      </w:r>
      <w:r w:rsidR="001B22BA">
        <w:rPr>
          <w:rFonts w:ascii="Candara" w:eastAsia="Candara" w:hAnsi="Candara" w:cs="Candara"/>
          <w:color w:val="000000"/>
          <w:sz w:val="24"/>
          <w:szCs w:val="24"/>
        </w:rPr>
        <w:t xml:space="preserve">que fica localizada </w:t>
      </w:r>
      <w:r w:rsidR="005917FE" w:rsidRPr="005917FE">
        <w:rPr>
          <w:rFonts w:ascii="Candara" w:eastAsia="Candara" w:hAnsi="Candara" w:cs="Candara"/>
          <w:color w:val="000000"/>
          <w:sz w:val="24"/>
          <w:szCs w:val="24"/>
        </w:rPr>
        <w:t xml:space="preserve">no Terceiro Planalto Paranaense, com 2.290.859 hectares equivalendo a cerca de 11,5% do território </w:t>
      </w:r>
      <w:r w:rsidR="001B22BA">
        <w:rPr>
          <w:rFonts w:ascii="Candara" w:eastAsia="Candara" w:hAnsi="Candara" w:cs="Candara"/>
          <w:color w:val="000000"/>
          <w:sz w:val="24"/>
          <w:szCs w:val="24"/>
        </w:rPr>
        <w:t>paranaense</w:t>
      </w:r>
      <w:r w:rsidR="005917FE" w:rsidRPr="005917FE">
        <w:rPr>
          <w:rFonts w:ascii="Candara" w:eastAsia="Candara" w:hAnsi="Candara" w:cs="Candara"/>
          <w:color w:val="000000"/>
          <w:sz w:val="24"/>
          <w:szCs w:val="24"/>
        </w:rPr>
        <w:t xml:space="preserve">, com fronteiras com Argentina e Paraguai e delimitada pelos rios Piquiri, Paraná e Iguaçu. </w:t>
      </w:r>
      <w:r w:rsidR="001B22BA">
        <w:rPr>
          <w:rFonts w:ascii="Candara" w:eastAsia="Candara" w:hAnsi="Candara" w:cs="Candara"/>
          <w:color w:val="000000"/>
          <w:sz w:val="24"/>
          <w:szCs w:val="24"/>
        </w:rPr>
        <w:t xml:space="preserve">Essa mesorregião </w:t>
      </w:r>
      <w:r w:rsidR="000C4292">
        <w:rPr>
          <w:rFonts w:ascii="Candara" w:eastAsia="Candara" w:hAnsi="Candara" w:cs="Candara"/>
          <w:color w:val="000000"/>
          <w:sz w:val="24"/>
          <w:szCs w:val="24"/>
        </w:rPr>
        <w:t xml:space="preserve">engloba </w:t>
      </w:r>
      <w:r w:rsidR="005917FE" w:rsidRPr="005917FE">
        <w:rPr>
          <w:rFonts w:ascii="Candara" w:eastAsia="Candara" w:hAnsi="Candara" w:cs="Candara"/>
          <w:color w:val="000000"/>
          <w:sz w:val="24"/>
          <w:szCs w:val="24"/>
        </w:rPr>
        <w:t>50 municípios, com</w:t>
      </w:r>
      <w:r w:rsidR="000C4292">
        <w:rPr>
          <w:rFonts w:ascii="Candara" w:eastAsia="Candara" w:hAnsi="Candara" w:cs="Candara"/>
          <w:color w:val="000000"/>
          <w:sz w:val="24"/>
          <w:szCs w:val="24"/>
        </w:rPr>
        <w:t xml:space="preserve"> destaque para os municípios de </w:t>
      </w:r>
      <w:r w:rsidR="005917FE" w:rsidRPr="005917FE">
        <w:rPr>
          <w:rFonts w:ascii="Candara" w:eastAsia="Candara" w:hAnsi="Candara" w:cs="Candara"/>
          <w:color w:val="000000"/>
          <w:sz w:val="24"/>
          <w:szCs w:val="24"/>
        </w:rPr>
        <w:t>Cascavel, Foz do Iguaçu e Toledo</w:t>
      </w:r>
      <w:r w:rsidR="005245F7">
        <w:rPr>
          <w:rFonts w:ascii="Candara" w:eastAsia="Candara" w:hAnsi="Candara" w:cs="Candara"/>
          <w:color w:val="000000"/>
          <w:sz w:val="24"/>
          <w:szCs w:val="24"/>
        </w:rPr>
        <w:t xml:space="preserve"> que possui</w:t>
      </w:r>
      <w:r w:rsidR="00625956">
        <w:rPr>
          <w:rFonts w:ascii="Candara" w:eastAsia="Candara" w:hAnsi="Candara" w:cs="Candara"/>
          <w:color w:val="000000"/>
          <w:sz w:val="24"/>
          <w:szCs w:val="24"/>
        </w:rPr>
        <w:t xml:space="preserve"> grandes </w:t>
      </w:r>
      <w:r w:rsidR="005917FE" w:rsidRPr="005917FE">
        <w:rPr>
          <w:rFonts w:ascii="Candara" w:eastAsia="Candara" w:hAnsi="Candara" w:cs="Candara"/>
          <w:color w:val="000000"/>
          <w:sz w:val="24"/>
          <w:szCs w:val="24"/>
        </w:rPr>
        <w:t>dimensões populacionais e níveis de polarização.</w:t>
      </w:r>
      <w:r w:rsidR="00625956">
        <w:rPr>
          <w:rFonts w:ascii="Candara" w:eastAsia="Candara" w:hAnsi="Candara" w:cs="Candara"/>
          <w:color w:val="000000"/>
          <w:sz w:val="24"/>
          <w:szCs w:val="24"/>
        </w:rPr>
        <w:t xml:space="preserve"> </w:t>
      </w:r>
    </w:p>
    <w:p w14:paraId="345DD2D3" w14:textId="207FDD48" w:rsidR="006844EC" w:rsidRDefault="00494754" w:rsidP="00A92AEE">
      <w:pPr>
        <w:pBdr>
          <w:top w:val="nil"/>
          <w:left w:val="nil"/>
          <w:bottom w:val="nil"/>
          <w:right w:val="nil"/>
          <w:between w:val="nil"/>
        </w:pBdr>
        <w:spacing w:after="0" w:line="360" w:lineRule="auto"/>
        <w:ind w:firstLine="851"/>
        <w:jc w:val="both"/>
        <w:rPr>
          <w:rFonts w:ascii="Candara" w:eastAsia="Candara" w:hAnsi="Candara" w:cs="Candara"/>
          <w:sz w:val="24"/>
          <w:szCs w:val="24"/>
        </w:rPr>
      </w:pPr>
      <w:r w:rsidRPr="006844EC">
        <w:rPr>
          <w:rFonts w:ascii="Candara" w:eastAsia="Candara" w:hAnsi="Candara" w:cs="Candara"/>
          <w:sz w:val="24"/>
          <w:szCs w:val="24"/>
        </w:rPr>
        <w:t>Face ao exposto</w:t>
      </w:r>
      <w:r w:rsidR="00052599" w:rsidRPr="006844EC">
        <w:rPr>
          <w:rFonts w:ascii="Candara" w:eastAsia="Candara" w:hAnsi="Candara" w:cs="Candara"/>
          <w:sz w:val="24"/>
          <w:szCs w:val="24"/>
        </w:rPr>
        <w:t>,</w:t>
      </w:r>
      <w:r w:rsidR="00205381" w:rsidRPr="006844EC">
        <w:rPr>
          <w:rFonts w:ascii="Candara" w:eastAsia="Candara" w:hAnsi="Candara" w:cs="Candara"/>
          <w:sz w:val="24"/>
          <w:szCs w:val="24"/>
        </w:rPr>
        <w:t xml:space="preserve"> o estudo pretende-se</w:t>
      </w:r>
      <w:r w:rsidR="00BF0B10" w:rsidRPr="006844EC">
        <w:rPr>
          <w:rFonts w:ascii="Candara" w:eastAsia="Candara" w:hAnsi="Candara" w:cs="Candara"/>
          <w:sz w:val="24"/>
          <w:szCs w:val="24"/>
        </w:rPr>
        <w:t xml:space="preserve"> responder o seguinte </w:t>
      </w:r>
      <w:r w:rsidR="00BD2290" w:rsidRPr="006844EC">
        <w:rPr>
          <w:rFonts w:ascii="Candara" w:eastAsia="Candara" w:hAnsi="Candara" w:cs="Candara"/>
          <w:sz w:val="24"/>
          <w:szCs w:val="24"/>
        </w:rPr>
        <w:t>questio</w:t>
      </w:r>
      <w:r w:rsidR="00BF0B10" w:rsidRPr="006844EC">
        <w:rPr>
          <w:rFonts w:ascii="Candara" w:eastAsia="Candara" w:hAnsi="Candara" w:cs="Candara"/>
          <w:sz w:val="24"/>
          <w:szCs w:val="24"/>
        </w:rPr>
        <w:t>na</w:t>
      </w:r>
      <w:r w:rsidR="00BD2290" w:rsidRPr="006844EC">
        <w:rPr>
          <w:rFonts w:ascii="Candara" w:eastAsia="Candara" w:hAnsi="Candara" w:cs="Candara"/>
          <w:sz w:val="24"/>
          <w:szCs w:val="24"/>
        </w:rPr>
        <w:t xml:space="preserve">mento: </w:t>
      </w:r>
      <w:r w:rsidR="00052599" w:rsidRPr="006844EC">
        <w:rPr>
          <w:rFonts w:ascii="Candara" w:eastAsia="Candara" w:hAnsi="Candara" w:cs="Candara"/>
          <w:sz w:val="24"/>
          <w:szCs w:val="24"/>
        </w:rPr>
        <w:t xml:space="preserve">qual o nível de pressão ambiental decorrente da produção agropecuária na Mesorregião Oeste Paranaense (MOP)? </w:t>
      </w:r>
      <w:r w:rsidR="005917FE" w:rsidRPr="006844EC">
        <w:rPr>
          <w:rFonts w:ascii="Candara" w:eastAsia="Candara" w:hAnsi="Candara" w:cs="Candara"/>
          <w:sz w:val="24"/>
          <w:szCs w:val="24"/>
        </w:rPr>
        <w:t>Considerando a relevância</w:t>
      </w:r>
      <w:r w:rsidR="00CC177A" w:rsidRPr="006844EC">
        <w:rPr>
          <w:rFonts w:ascii="Candara" w:eastAsia="Candara" w:hAnsi="Candara" w:cs="Candara"/>
          <w:sz w:val="24"/>
          <w:szCs w:val="24"/>
        </w:rPr>
        <w:t xml:space="preserve"> desta proposição</w:t>
      </w:r>
      <w:r w:rsidR="005917FE" w:rsidRPr="006844EC">
        <w:rPr>
          <w:rFonts w:ascii="Candara" w:eastAsia="Candara" w:hAnsi="Candara" w:cs="Candara"/>
          <w:sz w:val="24"/>
          <w:szCs w:val="24"/>
        </w:rPr>
        <w:t>,</w:t>
      </w:r>
      <w:r w:rsidR="0010625E" w:rsidRPr="006844EC">
        <w:rPr>
          <w:rFonts w:ascii="Candara" w:eastAsia="Candara" w:hAnsi="Candara" w:cs="Candara"/>
          <w:sz w:val="24"/>
          <w:szCs w:val="24"/>
        </w:rPr>
        <w:t xml:space="preserve"> tem-se como objetivo </w:t>
      </w:r>
      <w:r w:rsidR="005917FE" w:rsidRPr="006844EC">
        <w:rPr>
          <w:rFonts w:ascii="Candara" w:eastAsia="Candara" w:hAnsi="Candara" w:cs="Candara"/>
          <w:sz w:val="24"/>
          <w:szCs w:val="24"/>
        </w:rPr>
        <w:t>verificar o nível de pressão ambiental decorrente da produção agropecuária na MOP,</w:t>
      </w:r>
      <w:r w:rsidR="00CC177A" w:rsidRPr="006844EC">
        <w:rPr>
          <w:rFonts w:ascii="Candara" w:eastAsia="Candara" w:hAnsi="Candara" w:cs="Candara"/>
          <w:sz w:val="24"/>
          <w:szCs w:val="24"/>
        </w:rPr>
        <w:t xml:space="preserve"> além de </w:t>
      </w:r>
      <w:r w:rsidR="005917FE" w:rsidRPr="006844EC">
        <w:rPr>
          <w:rFonts w:ascii="Candara" w:eastAsia="Candara" w:hAnsi="Candara" w:cs="Candara"/>
          <w:sz w:val="24"/>
          <w:szCs w:val="24"/>
        </w:rPr>
        <w:t xml:space="preserve">apurar a existência de padrões semelhantes de pressão ambiental entre os municípios desta </w:t>
      </w:r>
      <w:r w:rsidR="00CC177A" w:rsidRPr="006844EC">
        <w:rPr>
          <w:rFonts w:ascii="Candara" w:eastAsia="Candara" w:hAnsi="Candara" w:cs="Candara"/>
          <w:sz w:val="24"/>
          <w:szCs w:val="24"/>
        </w:rPr>
        <w:t>m</w:t>
      </w:r>
      <w:r w:rsidR="005917FE" w:rsidRPr="006844EC">
        <w:rPr>
          <w:rFonts w:ascii="Candara" w:eastAsia="Candara" w:hAnsi="Candara" w:cs="Candara"/>
          <w:sz w:val="24"/>
          <w:szCs w:val="24"/>
        </w:rPr>
        <w:t xml:space="preserve">esorregião. </w:t>
      </w:r>
      <w:bookmarkStart w:id="0" w:name="_Hlk175918045"/>
    </w:p>
    <w:p w14:paraId="3F1EEBA0" w14:textId="77777777" w:rsidR="00A92AEE" w:rsidRPr="006844EC" w:rsidRDefault="00A92AEE" w:rsidP="00A92AEE">
      <w:pPr>
        <w:pBdr>
          <w:top w:val="nil"/>
          <w:left w:val="nil"/>
          <w:bottom w:val="nil"/>
          <w:right w:val="nil"/>
          <w:between w:val="nil"/>
        </w:pBdr>
        <w:spacing w:after="0" w:line="360" w:lineRule="auto"/>
        <w:ind w:firstLine="851"/>
        <w:jc w:val="both"/>
        <w:rPr>
          <w:rFonts w:ascii="Candara" w:eastAsia="Candara" w:hAnsi="Candara" w:cs="Candara"/>
          <w:sz w:val="24"/>
          <w:szCs w:val="24"/>
        </w:rPr>
      </w:pPr>
    </w:p>
    <w:p w14:paraId="4ADCD5CB" w14:textId="02C0322A" w:rsidR="005917FE" w:rsidRPr="00E010E1" w:rsidRDefault="00130412" w:rsidP="00E010E1">
      <w:pPr>
        <w:numPr>
          <w:ilvl w:val="0"/>
          <w:numId w:val="2"/>
        </w:numPr>
        <w:pBdr>
          <w:top w:val="nil"/>
          <w:left w:val="nil"/>
          <w:bottom w:val="nil"/>
          <w:right w:val="nil"/>
          <w:between w:val="nil"/>
        </w:pBdr>
        <w:tabs>
          <w:tab w:val="left" w:pos="1134"/>
        </w:tabs>
        <w:spacing w:after="120" w:line="360" w:lineRule="auto"/>
        <w:ind w:left="0" w:firstLine="851"/>
        <w:jc w:val="both"/>
        <w:rPr>
          <w:rFonts w:ascii="Candara" w:eastAsia="Candara" w:hAnsi="Candara" w:cs="Candara"/>
          <w:color w:val="000000"/>
          <w:sz w:val="28"/>
          <w:szCs w:val="28"/>
        </w:rPr>
      </w:pPr>
      <w:r w:rsidRPr="00E010E1">
        <w:rPr>
          <w:rFonts w:ascii="Candara" w:eastAsia="Candara" w:hAnsi="Candara" w:cs="Candara"/>
          <w:color w:val="000000"/>
          <w:sz w:val="28"/>
          <w:szCs w:val="28"/>
        </w:rPr>
        <w:lastRenderedPageBreak/>
        <w:t>REFERENCIAL TEÓRICO</w:t>
      </w:r>
    </w:p>
    <w:p w14:paraId="1A708A05" w14:textId="64D94D27" w:rsidR="005917FE" w:rsidRPr="005917FE" w:rsidRDefault="005917FE" w:rsidP="000111B4">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5917FE">
        <w:rPr>
          <w:rFonts w:ascii="Candara" w:eastAsia="Candara" w:hAnsi="Candara" w:cs="Candara"/>
          <w:color w:val="000000"/>
          <w:sz w:val="24"/>
          <w:szCs w:val="24"/>
        </w:rPr>
        <w:t>A importância da "Revolução Verde" no processo de modernização agrícola é indiscutível,</w:t>
      </w:r>
      <w:r w:rsidR="00C47E66">
        <w:rPr>
          <w:rFonts w:ascii="Candara" w:eastAsia="Candara" w:hAnsi="Candara" w:cs="Candara"/>
          <w:color w:val="000000"/>
          <w:sz w:val="24"/>
          <w:szCs w:val="24"/>
        </w:rPr>
        <w:t xml:space="preserve"> </w:t>
      </w:r>
      <w:r w:rsidR="006A18D2">
        <w:rPr>
          <w:rFonts w:ascii="Candara" w:eastAsia="Candara" w:hAnsi="Candara" w:cs="Candara"/>
          <w:color w:val="000000"/>
          <w:sz w:val="24"/>
          <w:szCs w:val="24"/>
        </w:rPr>
        <w:t>entretanto,</w:t>
      </w:r>
      <w:r w:rsidR="00C47E66">
        <w:rPr>
          <w:rFonts w:ascii="Candara" w:eastAsia="Candara" w:hAnsi="Candara" w:cs="Candara"/>
          <w:color w:val="000000"/>
          <w:sz w:val="24"/>
          <w:szCs w:val="24"/>
        </w:rPr>
        <w:t xml:space="preserve"> no</w:t>
      </w:r>
      <w:r w:rsidR="006A18D2">
        <w:rPr>
          <w:rFonts w:ascii="Candara" w:eastAsia="Candara" w:hAnsi="Candara" w:cs="Candara"/>
          <w:color w:val="000000"/>
          <w:sz w:val="24"/>
          <w:szCs w:val="24"/>
        </w:rPr>
        <w:t xml:space="preserve"> Brasil</w:t>
      </w:r>
      <w:r w:rsidR="00C47E66">
        <w:rPr>
          <w:rFonts w:ascii="Candara" w:eastAsia="Candara" w:hAnsi="Candara" w:cs="Candara"/>
          <w:color w:val="000000"/>
          <w:sz w:val="24"/>
          <w:szCs w:val="24"/>
        </w:rPr>
        <w:t xml:space="preserve">, percebe-se que </w:t>
      </w:r>
      <w:r w:rsidRPr="005917FE">
        <w:rPr>
          <w:rFonts w:ascii="Candara" w:eastAsia="Candara" w:hAnsi="Candara" w:cs="Candara"/>
          <w:color w:val="000000"/>
          <w:sz w:val="24"/>
          <w:szCs w:val="24"/>
        </w:rPr>
        <w:t>os resultados da "Revolução Verde" surtiram um efeito de controle social, causado não apenas no aumento da produção de produtos agrícolas para exportação e expansão da área de cultivo, mas também no crescimento da concentração fundiária, expropriação de pequenos proprietários, desemprego no campo e uma série de desafios teciduais e ambientais (M</w:t>
      </w:r>
      <w:r w:rsidR="00E010E1">
        <w:rPr>
          <w:rFonts w:ascii="Candara" w:eastAsia="Candara" w:hAnsi="Candara" w:cs="Candara"/>
          <w:color w:val="000000"/>
          <w:sz w:val="24"/>
          <w:szCs w:val="24"/>
        </w:rPr>
        <w:t>artine</w:t>
      </w:r>
      <w:r w:rsidRPr="005917FE">
        <w:rPr>
          <w:rFonts w:ascii="Candara" w:eastAsia="Candara" w:hAnsi="Candara" w:cs="Candara"/>
          <w:color w:val="000000"/>
          <w:sz w:val="24"/>
          <w:szCs w:val="24"/>
        </w:rPr>
        <w:t>, 1990).</w:t>
      </w:r>
    </w:p>
    <w:p w14:paraId="3C1A521E" w14:textId="7FC80CCF" w:rsidR="005917FE" w:rsidRPr="005917FE" w:rsidRDefault="003E76FA" w:rsidP="005917F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A</w:t>
      </w:r>
      <w:r w:rsidR="007C4D94">
        <w:rPr>
          <w:rFonts w:ascii="Candara" w:eastAsia="Candara" w:hAnsi="Candara" w:cs="Candara"/>
          <w:color w:val="000000"/>
          <w:sz w:val="24"/>
          <w:szCs w:val="24"/>
        </w:rPr>
        <w:t xml:space="preserve"> </w:t>
      </w:r>
      <w:r w:rsidR="005917FE" w:rsidRPr="005917FE">
        <w:rPr>
          <w:rFonts w:ascii="Candara" w:eastAsia="Candara" w:hAnsi="Candara" w:cs="Candara"/>
          <w:color w:val="000000"/>
          <w:sz w:val="24"/>
          <w:szCs w:val="24"/>
        </w:rPr>
        <w:t>Organização para a Cooperação e Desenvolvimento Econômico (OCDE), declara que os efeitos ambientais causados pelas atividades agrícolas podem manifestar-se de maneira tanto favorável ou desfavorável, estando regidas por fatores como sistemas agroecológicos, propriedades físicas do solo, contexto econômico, tecnologia e também pelas abordagens empregadas em relação ao meio ambiente (OECD, 1999, p. 11)</w:t>
      </w:r>
      <w:r>
        <w:rPr>
          <w:rFonts w:ascii="Candara" w:eastAsia="Candara" w:hAnsi="Candara" w:cs="Candara"/>
          <w:color w:val="000000"/>
          <w:sz w:val="24"/>
          <w:szCs w:val="24"/>
        </w:rPr>
        <w:t>.</w:t>
      </w:r>
    </w:p>
    <w:p w14:paraId="19A7B98D" w14:textId="77777777" w:rsidR="00E81325" w:rsidRDefault="005917FE" w:rsidP="00E8132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5917FE">
        <w:rPr>
          <w:rFonts w:ascii="Candara" w:eastAsia="Candara" w:hAnsi="Candara" w:cs="Candara"/>
          <w:color w:val="000000"/>
          <w:sz w:val="24"/>
          <w:szCs w:val="24"/>
        </w:rPr>
        <w:t>A agricultura requer a utilização intensiva do solo e dos recursos naturais e, quando conduzido sem considerar as particularidades do ambiente, sem manejo e planejamento adequados e com uso de produtos químicos, ocasiona uma gama de efeitos adversos sobre o meio ambiente, que incluem desmatamento, queimadas em áreas de pastagens e florestas, contaminação com agroquímicos e degradação do solo, bem como contaminação das águas (IPEA, 2012).</w:t>
      </w:r>
    </w:p>
    <w:p w14:paraId="2137C9F2" w14:textId="52292034" w:rsidR="005917FE" w:rsidRPr="005917FE" w:rsidRDefault="005917FE" w:rsidP="00E8132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5917FE">
        <w:rPr>
          <w:rFonts w:ascii="Candara" w:eastAsia="Candara" w:hAnsi="Candara" w:cs="Candara"/>
          <w:color w:val="000000"/>
          <w:sz w:val="24"/>
          <w:szCs w:val="24"/>
        </w:rPr>
        <w:t>A diversidade na formação de solos e as condições climáticas específicas capacitam o estado do Paraná a cultivar uma ampla variedade de cereais, frutas, leguminosas e oleaginosas em todas as suas mesorregiões (S</w:t>
      </w:r>
      <w:r w:rsidR="00E010E1">
        <w:rPr>
          <w:rFonts w:ascii="Candara" w:eastAsia="Candara" w:hAnsi="Candara" w:cs="Candara"/>
          <w:color w:val="000000"/>
          <w:sz w:val="24"/>
          <w:szCs w:val="24"/>
        </w:rPr>
        <w:t>antos</w:t>
      </w:r>
      <w:r w:rsidRPr="005917FE">
        <w:rPr>
          <w:rFonts w:ascii="Candara" w:eastAsia="Candara" w:hAnsi="Candara" w:cs="Candara"/>
          <w:color w:val="000000"/>
          <w:sz w:val="24"/>
          <w:szCs w:val="24"/>
        </w:rPr>
        <w:t xml:space="preserve"> </w:t>
      </w:r>
      <w:r w:rsidRPr="00E010E1">
        <w:rPr>
          <w:rFonts w:ascii="Candara" w:eastAsia="Candara" w:hAnsi="Candara" w:cs="Candara"/>
          <w:i/>
          <w:iCs/>
          <w:color w:val="000000"/>
          <w:sz w:val="24"/>
          <w:szCs w:val="24"/>
        </w:rPr>
        <w:t>et al</w:t>
      </w:r>
      <w:r w:rsidRPr="005917FE">
        <w:rPr>
          <w:rFonts w:ascii="Candara" w:eastAsia="Candara" w:hAnsi="Candara" w:cs="Candara"/>
          <w:color w:val="000000"/>
          <w:sz w:val="24"/>
          <w:szCs w:val="24"/>
        </w:rPr>
        <w:t>., 2006; B</w:t>
      </w:r>
      <w:r w:rsidR="00E010E1">
        <w:rPr>
          <w:rFonts w:ascii="Candara" w:eastAsia="Candara" w:hAnsi="Candara" w:cs="Candara"/>
          <w:color w:val="000000"/>
          <w:sz w:val="24"/>
          <w:szCs w:val="24"/>
        </w:rPr>
        <w:t>hering</w:t>
      </w:r>
      <w:r w:rsidRPr="005917FE">
        <w:rPr>
          <w:rFonts w:ascii="Candara" w:eastAsia="Candara" w:hAnsi="Candara" w:cs="Candara"/>
          <w:color w:val="000000"/>
          <w:sz w:val="24"/>
          <w:szCs w:val="24"/>
        </w:rPr>
        <w:t>, 2007).</w:t>
      </w:r>
      <w:r w:rsidR="0000473E">
        <w:rPr>
          <w:rFonts w:ascii="Candara" w:eastAsia="Candara" w:hAnsi="Candara" w:cs="Candara"/>
          <w:color w:val="000000"/>
          <w:sz w:val="24"/>
          <w:szCs w:val="24"/>
        </w:rPr>
        <w:t xml:space="preserve"> Nesse aspecto, </w:t>
      </w:r>
      <w:r w:rsidRPr="005917FE">
        <w:rPr>
          <w:rFonts w:ascii="Candara" w:eastAsia="Candara" w:hAnsi="Candara" w:cs="Candara"/>
          <w:color w:val="000000"/>
          <w:sz w:val="24"/>
          <w:szCs w:val="24"/>
        </w:rPr>
        <w:t xml:space="preserve">Silva </w:t>
      </w:r>
      <w:r w:rsidRPr="003B4621">
        <w:rPr>
          <w:rFonts w:ascii="Candara" w:eastAsia="Candara" w:hAnsi="Candara" w:cs="Candara"/>
          <w:i/>
          <w:iCs/>
          <w:color w:val="000000"/>
          <w:sz w:val="24"/>
          <w:szCs w:val="24"/>
        </w:rPr>
        <w:t>et al.</w:t>
      </w:r>
      <w:r w:rsidRPr="005917FE">
        <w:rPr>
          <w:rFonts w:ascii="Candara" w:eastAsia="Candara" w:hAnsi="Candara" w:cs="Candara"/>
          <w:color w:val="000000"/>
          <w:sz w:val="24"/>
          <w:szCs w:val="24"/>
        </w:rPr>
        <w:t xml:space="preserve"> (2022) apontou que os principais cultivos </w:t>
      </w:r>
      <w:r w:rsidRPr="005917FE">
        <w:rPr>
          <w:rFonts w:ascii="Candara" w:eastAsia="Candara" w:hAnsi="Candara" w:cs="Candara"/>
          <w:color w:val="000000"/>
          <w:sz w:val="24"/>
          <w:szCs w:val="24"/>
        </w:rPr>
        <w:lastRenderedPageBreak/>
        <w:t xml:space="preserve">agrícolas em cada mesorregião do estado foram as culturas de cana-de-açúcar, soja e milho, </w:t>
      </w:r>
      <w:r w:rsidR="00F7390B">
        <w:rPr>
          <w:rFonts w:ascii="Candara" w:eastAsia="Candara" w:hAnsi="Candara" w:cs="Candara"/>
          <w:color w:val="000000"/>
          <w:sz w:val="24"/>
          <w:szCs w:val="24"/>
        </w:rPr>
        <w:t>colocando</w:t>
      </w:r>
      <w:r w:rsidRPr="005917FE">
        <w:rPr>
          <w:rFonts w:ascii="Candara" w:eastAsia="Candara" w:hAnsi="Candara" w:cs="Candara"/>
          <w:color w:val="000000"/>
          <w:sz w:val="24"/>
          <w:szCs w:val="24"/>
        </w:rPr>
        <w:t xml:space="preserve"> o estado entre os maiores produtores do Brasil. Essa elevada produção agrícola se deve ao clima e à fertilidade do solo (condições ambientais) e também à tecnologia de produção, como aplicação de agroquímicos e engenharia genética.</w:t>
      </w:r>
    </w:p>
    <w:p w14:paraId="744B15DD" w14:textId="77777777" w:rsidR="005917FE" w:rsidRPr="005917FE" w:rsidRDefault="005917FE" w:rsidP="005917F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5917FE">
        <w:rPr>
          <w:rFonts w:ascii="Candara" w:eastAsia="Candara" w:hAnsi="Candara" w:cs="Candara"/>
          <w:color w:val="000000"/>
          <w:sz w:val="24"/>
          <w:szCs w:val="24"/>
        </w:rPr>
        <w:t>Mattei, Cattelan e Piffer (2023) identificaram que dentro da mesorregião Oeste, observa-se uma marcante especialização agropecuária em 23 municípios, enquanto apenas um município (</w:t>
      </w:r>
      <w:proofErr w:type="spellStart"/>
      <w:r w:rsidRPr="005917FE">
        <w:rPr>
          <w:rFonts w:ascii="Candara" w:eastAsia="Candara" w:hAnsi="Candara" w:cs="Candara"/>
          <w:color w:val="000000"/>
          <w:sz w:val="24"/>
          <w:szCs w:val="24"/>
        </w:rPr>
        <w:t>Tupãssi</w:t>
      </w:r>
      <w:proofErr w:type="spellEnd"/>
      <w:r w:rsidRPr="005917FE">
        <w:rPr>
          <w:rFonts w:ascii="Candara" w:eastAsia="Candara" w:hAnsi="Candara" w:cs="Candara"/>
          <w:color w:val="000000"/>
          <w:sz w:val="24"/>
          <w:szCs w:val="24"/>
        </w:rPr>
        <w:t xml:space="preserve">) demonstra uma superespecialização. A cultura nessa área é a soja, responsável por cerca de 21% da produção total do Estado. Esse cenário decorre principalmente de fatores históricos, como a concentração de terras e o movimento de migração dos pequenos produtores. </w:t>
      </w:r>
    </w:p>
    <w:p w14:paraId="7FFB4518" w14:textId="2DC34C70" w:rsidR="005917FE" w:rsidRDefault="005917FE" w:rsidP="00BA576B">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5917FE">
        <w:rPr>
          <w:rFonts w:ascii="Candara" w:eastAsia="Candara" w:hAnsi="Candara" w:cs="Candara"/>
          <w:color w:val="000000"/>
          <w:sz w:val="24"/>
          <w:szCs w:val="24"/>
        </w:rPr>
        <w:t>A MOP apresenta um desempenho notável em grande parte</w:t>
      </w:r>
      <w:r w:rsidR="00140AA2">
        <w:rPr>
          <w:rFonts w:ascii="Candara" w:eastAsia="Candara" w:hAnsi="Candara" w:cs="Candara"/>
          <w:color w:val="000000"/>
          <w:sz w:val="24"/>
          <w:szCs w:val="24"/>
        </w:rPr>
        <w:t xml:space="preserve"> </w:t>
      </w:r>
      <w:r w:rsidR="00904C7B">
        <w:rPr>
          <w:rFonts w:ascii="Candara" w:eastAsia="Candara" w:hAnsi="Candara" w:cs="Candara"/>
          <w:color w:val="000000"/>
          <w:sz w:val="24"/>
          <w:szCs w:val="24"/>
        </w:rPr>
        <w:t xml:space="preserve">do território </w:t>
      </w:r>
      <w:r w:rsidRPr="005917FE">
        <w:rPr>
          <w:rFonts w:ascii="Candara" w:eastAsia="Candara" w:hAnsi="Candara" w:cs="Candara"/>
          <w:color w:val="000000"/>
          <w:sz w:val="24"/>
          <w:szCs w:val="24"/>
        </w:rPr>
        <w:t>devido ao estabelecimento de cooperativas e agroindústrias que contribuíram para o processo de modernização que, além da soja, é responsável por 73% da produção de tilápia, 60% da produção de suínos, 35% da produção de milho, 31% da produção de frangos e 12% da produção pecuária.</w:t>
      </w:r>
      <w:r w:rsidR="00BA576B">
        <w:rPr>
          <w:rFonts w:ascii="Candara" w:eastAsia="Candara" w:hAnsi="Candara" w:cs="Candara"/>
          <w:color w:val="000000"/>
          <w:sz w:val="24"/>
          <w:szCs w:val="24"/>
        </w:rPr>
        <w:t xml:space="preserve"> </w:t>
      </w:r>
      <w:r w:rsidRPr="005917FE">
        <w:rPr>
          <w:rFonts w:ascii="Candara" w:eastAsia="Candara" w:hAnsi="Candara" w:cs="Candara"/>
          <w:color w:val="000000"/>
          <w:sz w:val="24"/>
          <w:szCs w:val="24"/>
        </w:rPr>
        <w:t>De acordo com a literatura</w:t>
      </w:r>
      <w:r w:rsidR="00BA576B">
        <w:rPr>
          <w:rFonts w:ascii="Candara" w:eastAsia="Candara" w:hAnsi="Candara" w:cs="Candara"/>
          <w:color w:val="000000"/>
          <w:sz w:val="24"/>
          <w:szCs w:val="24"/>
        </w:rPr>
        <w:t xml:space="preserve"> revisada</w:t>
      </w:r>
      <w:r w:rsidRPr="005917FE">
        <w:rPr>
          <w:rFonts w:ascii="Candara" w:eastAsia="Candara" w:hAnsi="Candara" w:cs="Candara"/>
          <w:color w:val="000000"/>
          <w:sz w:val="24"/>
          <w:szCs w:val="24"/>
        </w:rPr>
        <w:t>, percebe-se que cada localidade tende a apresentar maior diversificação ou especialização, seja devido às suas características geográficas e à população residente, ou devido às influências históricas e culturais que moldaram seus processos produtivos (M</w:t>
      </w:r>
      <w:r w:rsidR="00E010E1">
        <w:rPr>
          <w:rFonts w:ascii="Candara" w:eastAsia="Candara" w:hAnsi="Candara" w:cs="Candara"/>
          <w:color w:val="000000"/>
          <w:sz w:val="24"/>
          <w:szCs w:val="24"/>
        </w:rPr>
        <w:t>attei</w:t>
      </w:r>
      <w:r w:rsidRPr="005917FE">
        <w:rPr>
          <w:rFonts w:ascii="Candara" w:eastAsia="Candara" w:hAnsi="Candara" w:cs="Candara"/>
          <w:color w:val="000000"/>
          <w:sz w:val="24"/>
          <w:szCs w:val="24"/>
        </w:rPr>
        <w:t>, C</w:t>
      </w:r>
      <w:r w:rsidR="00E010E1">
        <w:rPr>
          <w:rFonts w:ascii="Candara" w:eastAsia="Candara" w:hAnsi="Candara" w:cs="Candara"/>
          <w:color w:val="000000"/>
          <w:sz w:val="24"/>
          <w:szCs w:val="24"/>
        </w:rPr>
        <w:t>attelan</w:t>
      </w:r>
      <w:r w:rsidRPr="005917FE">
        <w:rPr>
          <w:rFonts w:ascii="Candara" w:eastAsia="Candara" w:hAnsi="Candara" w:cs="Candara"/>
          <w:color w:val="000000"/>
          <w:sz w:val="24"/>
          <w:szCs w:val="24"/>
        </w:rPr>
        <w:t xml:space="preserve">; </w:t>
      </w:r>
      <w:proofErr w:type="spellStart"/>
      <w:r w:rsidRPr="005917FE">
        <w:rPr>
          <w:rFonts w:ascii="Candara" w:eastAsia="Candara" w:hAnsi="Candara" w:cs="Candara"/>
          <w:color w:val="000000"/>
          <w:sz w:val="24"/>
          <w:szCs w:val="24"/>
        </w:rPr>
        <w:t>P</w:t>
      </w:r>
      <w:r w:rsidR="00E010E1">
        <w:rPr>
          <w:rFonts w:ascii="Candara" w:eastAsia="Candara" w:hAnsi="Candara" w:cs="Candara"/>
          <w:color w:val="000000"/>
          <w:sz w:val="24"/>
          <w:szCs w:val="24"/>
        </w:rPr>
        <w:t>iffer</w:t>
      </w:r>
      <w:proofErr w:type="spellEnd"/>
      <w:r w:rsidRPr="005917FE">
        <w:rPr>
          <w:rFonts w:ascii="Candara" w:eastAsia="Candara" w:hAnsi="Candara" w:cs="Candara"/>
          <w:color w:val="000000"/>
          <w:sz w:val="24"/>
          <w:szCs w:val="24"/>
        </w:rPr>
        <w:t>, 2023).</w:t>
      </w:r>
      <w:r w:rsidR="00BA4BDA">
        <w:rPr>
          <w:rFonts w:ascii="Candara" w:eastAsia="Candara" w:hAnsi="Candara" w:cs="Candara"/>
          <w:color w:val="000000"/>
          <w:sz w:val="24"/>
          <w:szCs w:val="24"/>
        </w:rPr>
        <w:t xml:space="preserve"> </w:t>
      </w:r>
    </w:p>
    <w:p w14:paraId="5944CF61" w14:textId="77777777" w:rsidR="004B220B" w:rsidRDefault="004B220B" w:rsidP="005917F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bookmarkEnd w:id="0"/>
    <w:p w14:paraId="59F081DD" w14:textId="27486B79" w:rsidR="005917FE" w:rsidRPr="00E010E1" w:rsidRDefault="0011083C" w:rsidP="00E010E1">
      <w:pPr>
        <w:numPr>
          <w:ilvl w:val="0"/>
          <w:numId w:val="2"/>
        </w:numPr>
        <w:pBdr>
          <w:top w:val="nil"/>
          <w:left w:val="nil"/>
          <w:bottom w:val="nil"/>
          <w:right w:val="nil"/>
          <w:between w:val="nil"/>
        </w:pBdr>
        <w:tabs>
          <w:tab w:val="left" w:pos="1134"/>
        </w:tabs>
        <w:spacing w:after="120" w:line="360" w:lineRule="auto"/>
        <w:ind w:left="0" w:firstLine="851"/>
        <w:jc w:val="both"/>
        <w:rPr>
          <w:rFonts w:ascii="Candara" w:eastAsia="Candara" w:hAnsi="Candara" w:cs="Candara"/>
          <w:color w:val="000000"/>
          <w:sz w:val="28"/>
          <w:szCs w:val="28"/>
        </w:rPr>
      </w:pPr>
      <w:r w:rsidRPr="00E010E1">
        <w:rPr>
          <w:rFonts w:ascii="Candara" w:eastAsia="Candara" w:hAnsi="Candara" w:cs="Candara"/>
          <w:color w:val="000000"/>
          <w:sz w:val="28"/>
          <w:szCs w:val="28"/>
        </w:rPr>
        <w:t xml:space="preserve">METODOLOGIA </w:t>
      </w:r>
    </w:p>
    <w:p w14:paraId="525C45CB" w14:textId="51C159B9" w:rsidR="00AB22CC" w:rsidRDefault="005917FE" w:rsidP="008D1BDD">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5917FE">
        <w:rPr>
          <w:rFonts w:ascii="Candara" w:eastAsia="Candara" w:hAnsi="Candara" w:cs="Candara"/>
          <w:color w:val="000000"/>
          <w:sz w:val="24"/>
          <w:szCs w:val="24"/>
        </w:rPr>
        <w:t xml:space="preserve">Para satisfazer a proposição do trabalho foram empregadas duas técnicas de análise multivariada: Análise Fatorial e Análise de Cluster. Segundo a Fundação </w:t>
      </w:r>
      <w:r w:rsidRPr="005917FE">
        <w:rPr>
          <w:rFonts w:ascii="Candara" w:eastAsia="Candara" w:hAnsi="Candara" w:cs="Candara"/>
          <w:color w:val="000000"/>
          <w:sz w:val="24"/>
          <w:szCs w:val="24"/>
        </w:rPr>
        <w:lastRenderedPageBreak/>
        <w:t>Instituto de Pesquisas Contábeis, Atuarias e Financeiras (FIPECAFI, 2017), a análise multivariada refere-se a um conjunto de métodos estatísticos que possibilita a análise simultânea de medidas múltiplas para cada indivíduo, objeto ou fenômeno observado.</w:t>
      </w:r>
    </w:p>
    <w:p w14:paraId="18225E1A" w14:textId="77777777" w:rsidR="001002DC" w:rsidRDefault="001002DC" w:rsidP="00E010E1">
      <w:pPr>
        <w:pBdr>
          <w:top w:val="nil"/>
          <w:left w:val="nil"/>
          <w:bottom w:val="nil"/>
          <w:right w:val="nil"/>
          <w:between w:val="nil"/>
        </w:pBdr>
        <w:spacing w:after="120" w:line="360" w:lineRule="auto"/>
        <w:ind w:firstLine="851"/>
        <w:jc w:val="both"/>
        <w:rPr>
          <w:rFonts w:ascii="Candara" w:eastAsia="Candara" w:hAnsi="Candara" w:cs="Candara"/>
          <w:color w:val="000000"/>
          <w:sz w:val="24"/>
          <w:szCs w:val="24"/>
        </w:rPr>
      </w:pPr>
      <w:r w:rsidRPr="008D1BDD">
        <w:rPr>
          <w:rFonts w:ascii="Candara" w:eastAsia="Candara" w:hAnsi="Candara" w:cs="Candara"/>
          <w:color w:val="000000"/>
          <w:sz w:val="24"/>
          <w:szCs w:val="24"/>
        </w:rPr>
        <w:t xml:space="preserve">3.1 Análise Fatorial por Componentes Principais (ACP) </w:t>
      </w:r>
    </w:p>
    <w:p w14:paraId="358079F5" w14:textId="48AFDD1F" w:rsidR="00BE1B86" w:rsidRDefault="001002DC" w:rsidP="00BE1B8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1002DC">
        <w:rPr>
          <w:rFonts w:ascii="Candara" w:eastAsia="Candara" w:hAnsi="Candara" w:cs="Candara"/>
          <w:color w:val="000000"/>
          <w:sz w:val="24"/>
          <w:szCs w:val="24"/>
        </w:rPr>
        <w:t xml:space="preserve">A análise fatorial tem como propósito </w:t>
      </w:r>
      <w:proofErr w:type="spellStart"/>
      <w:r w:rsidRPr="001002DC">
        <w:rPr>
          <w:rFonts w:ascii="Candara" w:eastAsia="Candara" w:hAnsi="Candara" w:cs="Candara"/>
          <w:color w:val="000000"/>
          <w:sz w:val="24"/>
          <w:szCs w:val="24"/>
        </w:rPr>
        <w:t>fornecer</w:t>
      </w:r>
      <w:proofErr w:type="spellEnd"/>
      <w:r w:rsidRPr="001002DC">
        <w:rPr>
          <w:rFonts w:ascii="Candara" w:eastAsia="Candara" w:hAnsi="Candara" w:cs="Candara"/>
          <w:color w:val="000000"/>
          <w:sz w:val="24"/>
          <w:szCs w:val="24"/>
        </w:rPr>
        <w:t xml:space="preserve"> as ferramentas para analisar a estrutura das inter-relações (correlações) em um grande número de variáveis, definindo conjuntos de variáveis fortemente correlacionadas, conhecidos como fatores (</w:t>
      </w:r>
      <w:proofErr w:type="spellStart"/>
      <w:r w:rsidRPr="001002DC">
        <w:rPr>
          <w:rFonts w:ascii="Candara" w:eastAsia="Candara" w:hAnsi="Candara" w:cs="Candara"/>
          <w:color w:val="000000"/>
          <w:sz w:val="24"/>
          <w:szCs w:val="24"/>
        </w:rPr>
        <w:t>H</w:t>
      </w:r>
      <w:r w:rsidR="00E010E1">
        <w:rPr>
          <w:rFonts w:ascii="Candara" w:eastAsia="Candara" w:hAnsi="Candara" w:cs="Candara"/>
          <w:color w:val="000000"/>
          <w:sz w:val="24"/>
          <w:szCs w:val="24"/>
        </w:rPr>
        <w:t>air</w:t>
      </w:r>
      <w:proofErr w:type="spellEnd"/>
      <w:r w:rsidRPr="001002DC">
        <w:rPr>
          <w:rFonts w:ascii="Candara" w:eastAsia="Candara" w:hAnsi="Candara" w:cs="Candara"/>
          <w:color w:val="000000"/>
          <w:sz w:val="24"/>
          <w:szCs w:val="24"/>
        </w:rPr>
        <w:t xml:space="preserve"> </w:t>
      </w:r>
      <w:r w:rsidRPr="00E010E1">
        <w:rPr>
          <w:rFonts w:ascii="Candara" w:eastAsia="Candara" w:hAnsi="Candara" w:cs="Candara"/>
          <w:i/>
          <w:iCs/>
          <w:color w:val="000000"/>
          <w:sz w:val="24"/>
          <w:szCs w:val="24"/>
        </w:rPr>
        <w:t>et al.</w:t>
      </w:r>
      <w:r w:rsidRPr="001002DC">
        <w:rPr>
          <w:rFonts w:ascii="Candara" w:eastAsia="Candara" w:hAnsi="Candara" w:cs="Candara"/>
          <w:color w:val="000000"/>
          <w:sz w:val="24"/>
          <w:szCs w:val="24"/>
        </w:rPr>
        <w:t>, 2009).</w:t>
      </w:r>
      <w:r w:rsidR="00BE1B86">
        <w:rPr>
          <w:rFonts w:ascii="Candara" w:eastAsia="Candara" w:hAnsi="Candara" w:cs="Candara"/>
          <w:color w:val="000000"/>
          <w:sz w:val="24"/>
          <w:szCs w:val="24"/>
        </w:rPr>
        <w:t xml:space="preserve"> </w:t>
      </w:r>
      <w:r w:rsidR="00706907">
        <w:rPr>
          <w:rFonts w:ascii="Candara" w:eastAsia="Candara" w:hAnsi="Candara" w:cs="Candara"/>
          <w:color w:val="000000"/>
          <w:sz w:val="24"/>
          <w:szCs w:val="24"/>
        </w:rPr>
        <w:t xml:space="preserve">Para </w:t>
      </w:r>
      <w:r w:rsidRPr="001002DC">
        <w:rPr>
          <w:rFonts w:ascii="Candara" w:eastAsia="Candara" w:hAnsi="Candara" w:cs="Candara"/>
          <w:color w:val="000000"/>
          <w:sz w:val="24"/>
          <w:szCs w:val="24"/>
        </w:rPr>
        <w:t>a interpretação dos fatores foi utilizado o método de rotação ortogonal Varimax.</w:t>
      </w:r>
      <w:r w:rsidR="00AB22CC">
        <w:rPr>
          <w:rFonts w:ascii="Candara" w:eastAsia="Candara" w:hAnsi="Candara" w:cs="Candara"/>
          <w:color w:val="000000"/>
          <w:sz w:val="24"/>
          <w:szCs w:val="24"/>
        </w:rPr>
        <w:t xml:space="preserve"> </w:t>
      </w:r>
    </w:p>
    <w:p w14:paraId="3EB60276" w14:textId="2E34AA92" w:rsidR="001002DC" w:rsidRPr="001002DC" w:rsidRDefault="00F942A6" w:rsidP="00BE1B8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Quanto ao método de</w:t>
      </w:r>
      <w:r w:rsidR="001002DC" w:rsidRPr="001002DC">
        <w:rPr>
          <w:rFonts w:ascii="Candara" w:eastAsia="Candara" w:hAnsi="Candara" w:cs="Candara"/>
          <w:color w:val="000000"/>
          <w:sz w:val="24"/>
          <w:szCs w:val="24"/>
        </w:rPr>
        <w:t xml:space="preserve"> adequação da análise fatorial em relação aos dados utilizados fez-se uso da estatística Kaiser-Meyer-</w:t>
      </w:r>
      <w:proofErr w:type="spellStart"/>
      <w:r w:rsidR="001002DC" w:rsidRPr="001002DC">
        <w:rPr>
          <w:rFonts w:ascii="Candara" w:eastAsia="Candara" w:hAnsi="Candara" w:cs="Candara"/>
          <w:color w:val="000000"/>
          <w:sz w:val="24"/>
          <w:szCs w:val="24"/>
        </w:rPr>
        <w:t>Olkin</w:t>
      </w:r>
      <w:proofErr w:type="spellEnd"/>
      <w:r w:rsidR="001002DC" w:rsidRPr="001002DC">
        <w:rPr>
          <w:rFonts w:ascii="Candara" w:eastAsia="Candara" w:hAnsi="Candara" w:cs="Candara"/>
          <w:color w:val="000000"/>
          <w:sz w:val="24"/>
          <w:szCs w:val="24"/>
        </w:rPr>
        <w:t xml:space="preserve"> (KMO) e o teste de esfericidade de Bartlett. O KMO fornece a proporção de variância considerada comum a todas as variáveis na amostra em análise.</w:t>
      </w:r>
      <w:r w:rsidR="00C17023">
        <w:rPr>
          <w:rFonts w:ascii="Candara" w:eastAsia="Candara" w:hAnsi="Candara" w:cs="Candara"/>
          <w:color w:val="000000"/>
          <w:sz w:val="24"/>
          <w:szCs w:val="24"/>
        </w:rPr>
        <w:t xml:space="preserve"> </w:t>
      </w:r>
      <w:r w:rsidR="001002DC" w:rsidRPr="001002DC">
        <w:rPr>
          <w:rFonts w:ascii="Candara" w:eastAsia="Candara" w:hAnsi="Candara" w:cs="Candara"/>
          <w:color w:val="000000"/>
          <w:sz w:val="24"/>
          <w:szCs w:val="24"/>
        </w:rPr>
        <w:t xml:space="preserve">Hair </w:t>
      </w:r>
      <w:r w:rsidR="001002DC" w:rsidRPr="00E010E1">
        <w:rPr>
          <w:rFonts w:ascii="Candara" w:eastAsia="Candara" w:hAnsi="Candara" w:cs="Candara"/>
          <w:i/>
          <w:iCs/>
          <w:color w:val="000000"/>
          <w:sz w:val="24"/>
          <w:szCs w:val="24"/>
        </w:rPr>
        <w:t>et al.</w:t>
      </w:r>
      <w:r w:rsidR="001002DC" w:rsidRPr="001002DC">
        <w:rPr>
          <w:rFonts w:ascii="Candara" w:eastAsia="Candara" w:hAnsi="Candara" w:cs="Candara"/>
          <w:color w:val="000000"/>
          <w:sz w:val="24"/>
          <w:szCs w:val="24"/>
        </w:rPr>
        <w:t xml:space="preserve"> (2009) enfatiza que essa medida pode ser interpretada com as seguintes orientações: 0,80 ou acima (admirável); 0,70 ou acima (mediano); 0,60 ou acima (medíocre); 0,50 ou acima (ruim); e abaixo de 0,50 (inaceitável).</w:t>
      </w:r>
      <w:r w:rsidR="00C17023">
        <w:rPr>
          <w:rFonts w:ascii="Candara" w:eastAsia="Candara" w:hAnsi="Candara" w:cs="Candara"/>
          <w:color w:val="000000"/>
          <w:sz w:val="24"/>
          <w:szCs w:val="24"/>
        </w:rPr>
        <w:t xml:space="preserve"> </w:t>
      </w:r>
    </w:p>
    <w:p w14:paraId="16443D47" w14:textId="1963E0FC" w:rsidR="001002DC" w:rsidRPr="001002DC" w:rsidRDefault="001002DC" w:rsidP="00C17023">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1002DC">
        <w:rPr>
          <w:rFonts w:ascii="Candara" w:eastAsia="Candara" w:hAnsi="Candara" w:cs="Candara"/>
          <w:color w:val="000000"/>
          <w:sz w:val="24"/>
          <w:szCs w:val="24"/>
        </w:rPr>
        <w:t>A partir da matriz dos escores fatoriais obtidos com o constructo da análise fatorial, foi possível construir um índice para hierarquizar as observações, ponderando adequadamente os escores de cada fator, conforme expresso na</w:t>
      </w:r>
      <w:r w:rsidR="00134EFA">
        <w:rPr>
          <w:rFonts w:ascii="Candara" w:eastAsia="Candara" w:hAnsi="Candara" w:cs="Candara"/>
          <w:color w:val="000000"/>
          <w:sz w:val="24"/>
          <w:szCs w:val="24"/>
        </w:rPr>
        <w:t xml:space="preserve"> e</w:t>
      </w:r>
      <w:r w:rsidRPr="001002DC">
        <w:rPr>
          <w:rFonts w:ascii="Candara" w:eastAsia="Candara" w:hAnsi="Candara" w:cs="Candara"/>
          <w:color w:val="000000"/>
          <w:sz w:val="24"/>
          <w:szCs w:val="24"/>
        </w:rPr>
        <w:t xml:space="preserve">quação </w:t>
      </w:r>
      <w:r w:rsidR="00134EFA">
        <w:rPr>
          <w:rFonts w:ascii="Candara" w:eastAsia="Candara" w:hAnsi="Candara" w:cs="Candara"/>
          <w:color w:val="000000"/>
          <w:sz w:val="24"/>
          <w:szCs w:val="24"/>
        </w:rPr>
        <w:t>1</w:t>
      </w:r>
      <w:r w:rsidRPr="001002DC">
        <w:rPr>
          <w:rFonts w:ascii="Candara" w:eastAsia="Candara" w:hAnsi="Candara" w:cs="Candara"/>
          <w:color w:val="000000"/>
          <w:sz w:val="24"/>
          <w:szCs w:val="24"/>
        </w:rPr>
        <w:t xml:space="preserve">. </w:t>
      </w:r>
    </w:p>
    <w:p w14:paraId="52EF7913" w14:textId="77777777" w:rsidR="001002DC" w:rsidRPr="001002DC" w:rsidRDefault="001002DC" w:rsidP="001002D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1"/>
        <w:gridCol w:w="2832"/>
      </w:tblGrid>
      <w:tr w:rsidR="002077A3" w14:paraId="50DE320B" w14:textId="77777777" w:rsidTr="00444E2D">
        <w:tc>
          <w:tcPr>
            <w:tcW w:w="2831" w:type="dxa"/>
            <w:vAlign w:val="center"/>
          </w:tcPr>
          <w:p w14:paraId="73A09FDF" w14:textId="77777777" w:rsidR="002077A3" w:rsidRDefault="002077A3" w:rsidP="001002DC">
            <w:pPr>
              <w:spacing w:line="360" w:lineRule="auto"/>
              <w:jc w:val="both"/>
              <w:rPr>
                <w:rFonts w:ascii="Candara" w:eastAsia="Candara" w:hAnsi="Candara" w:cs="Candara"/>
                <w:color w:val="000000"/>
                <w:sz w:val="24"/>
                <w:szCs w:val="24"/>
              </w:rPr>
            </w:pPr>
          </w:p>
        </w:tc>
        <w:tc>
          <w:tcPr>
            <w:tcW w:w="2831" w:type="dxa"/>
            <w:vAlign w:val="center"/>
          </w:tcPr>
          <w:p w14:paraId="74222C0A" w14:textId="25EF01B2" w:rsidR="002077A3" w:rsidRDefault="00000000" w:rsidP="00444E2D">
            <w:pPr>
              <w:spacing w:line="360" w:lineRule="auto"/>
              <w:jc w:val="center"/>
              <w:rPr>
                <w:rFonts w:ascii="Candara" w:eastAsia="Candara" w:hAnsi="Candara" w:cs="Candara"/>
                <w:color w:val="000000"/>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j</m:t>
                    </m:r>
                  </m:sub>
                </m:sSub>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7</m:t>
                        </m:r>
                      </m:sup>
                      <m:e>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e>
                    </m:nary>
                  </m:num>
                  <m:den>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7</m:t>
                        </m:r>
                      </m:sup>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e>
                    </m:nary>
                  </m:den>
                </m:f>
              </m:oMath>
            </m:oMathPara>
          </w:p>
        </w:tc>
        <w:tc>
          <w:tcPr>
            <w:tcW w:w="2832" w:type="dxa"/>
            <w:vAlign w:val="center"/>
          </w:tcPr>
          <w:p w14:paraId="5E00698D" w14:textId="5481D52A" w:rsidR="002077A3" w:rsidRDefault="00444E2D" w:rsidP="00444E2D">
            <w:pPr>
              <w:spacing w:line="360" w:lineRule="auto"/>
              <w:jc w:val="right"/>
              <w:rPr>
                <w:rFonts w:ascii="Candara" w:eastAsia="Candara" w:hAnsi="Candara" w:cs="Candara"/>
                <w:color w:val="000000"/>
                <w:sz w:val="24"/>
                <w:szCs w:val="24"/>
              </w:rPr>
            </w:pPr>
            <w:r w:rsidRPr="00D24BA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1</w:t>
            </w:r>
            <w:r w:rsidRPr="00D24BA8">
              <w:rPr>
                <w:rFonts w:ascii="Times New Roman" w:eastAsiaTheme="minorEastAsia" w:hAnsi="Times New Roman" w:cs="Times New Roman"/>
                <w:sz w:val="24"/>
                <w:szCs w:val="24"/>
              </w:rPr>
              <w:t>)</w:t>
            </w:r>
          </w:p>
        </w:tc>
      </w:tr>
    </w:tbl>
    <w:p w14:paraId="37110CFF" w14:textId="77777777" w:rsidR="00106E8F" w:rsidRPr="00106E8F" w:rsidRDefault="00106E8F" w:rsidP="00106E8F">
      <w:pPr>
        <w:pBdr>
          <w:top w:val="nil"/>
          <w:left w:val="nil"/>
          <w:bottom w:val="nil"/>
          <w:right w:val="nil"/>
          <w:between w:val="nil"/>
        </w:pBdr>
        <w:spacing w:after="0" w:line="360" w:lineRule="auto"/>
        <w:ind w:firstLine="851"/>
        <w:jc w:val="both"/>
        <w:rPr>
          <w:rFonts w:ascii="Candara" w:eastAsia="Candara" w:hAnsi="Candara" w:cs="Candara"/>
          <w:sz w:val="24"/>
          <w:szCs w:val="24"/>
        </w:rPr>
      </w:pPr>
      <w:r w:rsidRPr="00106E8F">
        <w:rPr>
          <w:rFonts w:ascii="Candara" w:eastAsia="Candara" w:hAnsi="Candara" w:cs="Candara"/>
          <w:sz w:val="24"/>
          <w:szCs w:val="24"/>
        </w:rPr>
        <w:lastRenderedPageBreak/>
        <w:t>Sendo:</w:t>
      </w:r>
    </w:p>
    <w:p w14:paraId="242C7385" w14:textId="70A9A11C" w:rsidR="00106E8F" w:rsidRPr="00106E8F" w:rsidRDefault="00106E8F" w:rsidP="00106E8F">
      <w:pPr>
        <w:pBdr>
          <w:top w:val="nil"/>
          <w:left w:val="nil"/>
          <w:bottom w:val="nil"/>
          <w:right w:val="nil"/>
          <w:between w:val="nil"/>
        </w:pBdr>
        <w:spacing w:after="0" w:line="360" w:lineRule="auto"/>
        <w:ind w:firstLine="851"/>
        <w:jc w:val="both"/>
        <w:rPr>
          <w:rFonts w:ascii="Candara" w:eastAsia="Candara" w:hAnsi="Candara" w:cs="Candara"/>
          <w:sz w:val="24"/>
          <w:szCs w:val="24"/>
        </w:rPr>
      </w:pPr>
      <m:oMath>
        <m:r>
          <w:rPr>
            <w:rFonts w:ascii="Cambria Math" w:eastAsia="Candara" w:hAnsi="Cambria Math" w:cs="Candara"/>
            <w:sz w:val="24"/>
            <w:szCs w:val="24"/>
          </w:rPr>
          <m:t>IB</m:t>
        </m:r>
      </m:oMath>
      <w:r w:rsidRPr="00106E8F">
        <w:rPr>
          <w:rFonts w:ascii="Candara" w:eastAsia="Candara" w:hAnsi="Candara" w:cs="Candara"/>
          <w:sz w:val="24"/>
          <w:szCs w:val="24"/>
        </w:rPr>
        <w:t>= Índice Bruto (média ponderada dos escores fatoriais);</w:t>
      </w:r>
    </w:p>
    <w:p w14:paraId="585889D6" w14:textId="414DD006" w:rsidR="00106E8F" w:rsidRPr="00106E8F" w:rsidRDefault="00000000" w:rsidP="00106E8F">
      <w:pPr>
        <w:pBdr>
          <w:top w:val="nil"/>
          <w:left w:val="nil"/>
          <w:bottom w:val="nil"/>
          <w:right w:val="nil"/>
          <w:between w:val="nil"/>
        </w:pBdr>
        <w:spacing w:after="0" w:line="360" w:lineRule="auto"/>
        <w:ind w:firstLine="851"/>
        <w:jc w:val="both"/>
        <w:rPr>
          <w:rFonts w:ascii="Candara" w:eastAsia="Candara" w:hAnsi="Candara" w:cs="Candara"/>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oMath>
      <w:r w:rsidR="00106E8F" w:rsidRPr="00106E8F">
        <w:rPr>
          <w:rFonts w:ascii="Candara" w:eastAsia="Candara" w:hAnsi="Candara" w:cs="Candara"/>
          <w:sz w:val="24"/>
          <w:szCs w:val="24"/>
        </w:rPr>
        <w:t>= Proporção da variância explicada por cada fator;</w:t>
      </w:r>
    </w:p>
    <w:p w14:paraId="6DB9CAA3" w14:textId="5F77096B" w:rsidR="003C650D" w:rsidRDefault="00000000" w:rsidP="00694DC1">
      <w:pPr>
        <w:pBdr>
          <w:top w:val="nil"/>
          <w:left w:val="nil"/>
          <w:bottom w:val="nil"/>
          <w:right w:val="nil"/>
          <w:between w:val="nil"/>
        </w:pBdr>
        <w:spacing w:after="0" w:line="360" w:lineRule="auto"/>
        <w:ind w:firstLine="851"/>
        <w:jc w:val="both"/>
        <w:rPr>
          <w:rFonts w:ascii="Candara" w:eastAsia="Candara" w:hAnsi="Candara" w:cs="Candara"/>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oMath>
      <w:r w:rsidR="00106E8F" w:rsidRPr="00106E8F">
        <w:rPr>
          <w:rFonts w:ascii="Candara" w:eastAsia="Candara" w:hAnsi="Candara" w:cs="Candara"/>
          <w:sz w:val="24"/>
          <w:szCs w:val="24"/>
        </w:rPr>
        <w:t>= Escores fatoriais.</w:t>
      </w:r>
    </w:p>
    <w:p w14:paraId="4C83B4D2" w14:textId="77777777" w:rsidR="00694DC1" w:rsidRPr="003C650D" w:rsidRDefault="00694DC1" w:rsidP="00694DC1">
      <w:pPr>
        <w:pBdr>
          <w:top w:val="nil"/>
          <w:left w:val="nil"/>
          <w:bottom w:val="nil"/>
          <w:right w:val="nil"/>
          <w:between w:val="nil"/>
        </w:pBdr>
        <w:spacing w:after="0" w:line="360" w:lineRule="auto"/>
        <w:ind w:firstLine="851"/>
        <w:jc w:val="both"/>
        <w:rPr>
          <w:rFonts w:ascii="Candara" w:eastAsia="Candara" w:hAnsi="Candara" w:cs="Candara"/>
          <w:sz w:val="24"/>
          <w:szCs w:val="24"/>
        </w:rPr>
      </w:pPr>
    </w:p>
    <w:p w14:paraId="25826D9C" w14:textId="1DFC1916" w:rsidR="001002DC" w:rsidRDefault="001002DC" w:rsidP="00CE7F2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1002DC">
        <w:rPr>
          <w:rFonts w:ascii="Candara" w:eastAsia="Candara" w:hAnsi="Candara" w:cs="Candara"/>
          <w:color w:val="000000"/>
          <w:sz w:val="24"/>
          <w:szCs w:val="24"/>
        </w:rPr>
        <w:t>Posteriormente, interpola-se os resultados, considerando-se o maior valor como 100 e o menor como 0, obtendo o Índice de Pressão Ambiental (IPA) para cada município, possibilitando a sua hierarquização. Assim,</w:t>
      </w:r>
      <w:r w:rsidR="00CE7F2A">
        <w:rPr>
          <w:rFonts w:ascii="Candara" w:eastAsia="Candara" w:hAnsi="Candara" w:cs="Candara"/>
          <w:color w:val="000000"/>
          <w:sz w:val="24"/>
          <w:szCs w:val="24"/>
        </w:rPr>
        <w:t xml:space="preserve"> com base nos </w:t>
      </w:r>
      <w:r w:rsidRPr="001002DC">
        <w:rPr>
          <w:rFonts w:ascii="Candara" w:eastAsia="Candara" w:hAnsi="Candara" w:cs="Candara"/>
          <w:color w:val="000000"/>
          <w:sz w:val="24"/>
          <w:szCs w:val="24"/>
        </w:rPr>
        <w:t>desvios-padrão em relação à média</w:t>
      </w:r>
      <w:r w:rsidR="00207744">
        <w:rPr>
          <w:rFonts w:ascii="Candara" w:eastAsia="Candara" w:hAnsi="Candara" w:cs="Candara"/>
          <w:color w:val="000000"/>
          <w:sz w:val="24"/>
          <w:szCs w:val="24"/>
        </w:rPr>
        <w:t xml:space="preserve">, </w:t>
      </w:r>
      <w:r w:rsidRPr="001002DC">
        <w:rPr>
          <w:rFonts w:ascii="Candara" w:eastAsia="Candara" w:hAnsi="Candara" w:cs="Candara"/>
          <w:color w:val="000000"/>
          <w:sz w:val="24"/>
          <w:szCs w:val="24"/>
        </w:rPr>
        <w:t>os Índices de Pressão Ambiental para os municípios da MOP foram classificados como: Baixo (valor de 1 a 3 desvios-padrão abaixo da média); Médio (valor de 3 desvios-padrão acima da média) e Alto (valor de uma unidade superior à média somado com 3 desvios-padrão).</w:t>
      </w:r>
    </w:p>
    <w:p w14:paraId="4631C1B0" w14:textId="3617A411" w:rsidR="001002DC" w:rsidRDefault="001002DC" w:rsidP="00E010E1">
      <w:pPr>
        <w:pBdr>
          <w:top w:val="nil"/>
          <w:left w:val="nil"/>
          <w:bottom w:val="nil"/>
          <w:right w:val="nil"/>
          <w:between w:val="nil"/>
        </w:pBdr>
        <w:spacing w:after="120" w:line="360" w:lineRule="auto"/>
        <w:ind w:firstLine="851"/>
        <w:jc w:val="both"/>
        <w:rPr>
          <w:rFonts w:ascii="Candara" w:eastAsia="Candara" w:hAnsi="Candara" w:cs="Candara"/>
          <w:color w:val="000000"/>
          <w:sz w:val="24"/>
          <w:szCs w:val="24"/>
        </w:rPr>
      </w:pPr>
      <w:r w:rsidRPr="00694DC1">
        <w:rPr>
          <w:rFonts w:ascii="Candara" w:eastAsia="Candara" w:hAnsi="Candara" w:cs="Candara"/>
          <w:color w:val="000000"/>
          <w:sz w:val="24"/>
          <w:szCs w:val="24"/>
        </w:rPr>
        <w:t xml:space="preserve">3.2 Análise de Agrupamentos </w:t>
      </w:r>
    </w:p>
    <w:p w14:paraId="338A030D" w14:textId="0102B4A4" w:rsidR="0073012E" w:rsidRDefault="001002DC" w:rsidP="00F416DD">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1002DC">
        <w:rPr>
          <w:rFonts w:ascii="Candara" w:eastAsia="Candara" w:hAnsi="Candara" w:cs="Candara"/>
          <w:color w:val="000000"/>
          <w:sz w:val="24"/>
          <w:szCs w:val="24"/>
        </w:rPr>
        <w:t>Por meio dos escores fatoriais apurados na análise fatorial,</w:t>
      </w:r>
      <w:r w:rsidR="00967F7A">
        <w:rPr>
          <w:rFonts w:ascii="Candara" w:eastAsia="Candara" w:hAnsi="Candara" w:cs="Candara"/>
          <w:color w:val="000000"/>
          <w:sz w:val="24"/>
          <w:szCs w:val="24"/>
        </w:rPr>
        <w:t xml:space="preserve"> </w:t>
      </w:r>
      <w:r w:rsidRPr="001002DC">
        <w:rPr>
          <w:rFonts w:ascii="Candara" w:eastAsia="Candara" w:hAnsi="Candara" w:cs="Candara"/>
          <w:color w:val="000000"/>
          <w:sz w:val="24"/>
          <w:szCs w:val="24"/>
        </w:rPr>
        <w:t>efetuou-se ainda o procedimento</w:t>
      </w:r>
      <w:r w:rsidR="00C2579F">
        <w:rPr>
          <w:rFonts w:ascii="Candara" w:eastAsia="Candara" w:hAnsi="Candara" w:cs="Candara"/>
          <w:color w:val="000000"/>
          <w:sz w:val="24"/>
          <w:szCs w:val="24"/>
        </w:rPr>
        <w:t xml:space="preserve"> da </w:t>
      </w:r>
      <w:r w:rsidRPr="001002DC">
        <w:rPr>
          <w:rFonts w:ascii="Candara" w:eastAsia="Candara" w:hAnsi="Candara" w:cs="Candara"/>
          <w:color w:val="000000"/>
          <w:sz w:val="24"/>
          <w:szCs w:val="24"/>
        </w:rPr>
        <w:t xml:space="preserve">análise de agrupamento ou análise de </w:t>
      </w:r>
      <w:r w:rsidRPr="00967F7A">
        <w:rPr>
          <w:rFonts w:ascii="Candara" w:eastAsia="Candara" w:hAnsi="Candara" w:cs="Candara"/>
          <w:i/>
          <w:iCs/>
          <w:color w:val="000000"/>
          <w:sz w:val="24"/>
          <w:szCs w:val="24"/>
        </w:rPr>
        <w:t>cluster</w:t>
      </w:r>
      <w:r w:rsidRPr="001002DC">
        <w:rPr>
          <w:rFonts w:ascii="Candara" w:eastAsia="Candara" w:hAnsi="Candara" w:cs="Candara"/>
          <w:color w:val="000000"/>
          <w:sz w:val="24"/>
          <w:szCs w:val="24"/>
        </w:rPr>
        <w:t>.</w:t>
      </w:r>
      <w:r w:rsidR="00C2579F">
        <w:rPr>
          <w:rFonts w:ascii="Candara" w:eastAsia="Candara" w:hAnsi="Candara" w:cs="Candara"/>
          <w:color w:val="000000"/>
          <w:sz w:val="24"/>
          <w:szCs w:val="24"/>
        </w:rPr>
        <w:t xml:space="preserve"> </w:t>
      </w:r>
      <w:r w:rsidRPr="001002DC">
        <w:rPr>
          <w:rFonts w:ascii="Candara" w:eastAsia="Candara" w:hAnsi="Candara" w:cs="Candara"/>
          <w:color w:val="000000"/>
          <w:sz w:val="24"/>
          <w:szCs w:val="24"/>
        </w:rPr>
        <w:t xml:space="preserve">Em razão do número de observações usadas na análise, optou-se pelo procedimento não hierárquico das k-médias (k-means). Os métodos não hierárquicos podem analisar conjuntos extremamente grandes de dados, pois eles não demandam o cálculo de matrizes de similaridade entre todas as observações, mas somente a similaridade de cada observação com os </w:t>
      </w:r>
      <w:r w:rsidR="00C2579F" w:rsidRPr="001002DC">
        <w:rPr>
          <w:rFonts w:ascii="Candara" w:eastAsia="Candara" w:hAnsi="Candara" w:cs="Candara"/>
          <w:color w:val="000000"/>
          <w:sz w:val="24"/>
          <w:szCs w:val="24"/>
        </w:rPr>
        <w:t>centroides</w:t>
      </w:r>
      <w:r w:rsidRPr="001002DC">
        <w:rPr>
          <w:rFonts w:ascii="Candara" w:eastAsia="Candara" w:hAnsi="Candara" w:cs="Candara"/>
          <w:color w:val="000000"/>
          <w:sz w:val="24"/>
          <w:szCs w:val="24"/>
        </w:rPr>
        <w:t xml:space="preserve"> de agrupamento (</w:t>
      </w:r>
      <w:proofErr w:type="spellStart"/>
      <w:r w:rsidRPr="001002DC">
        <w:rPr>
          <w:rFonts w:ascii="Candara" w:eastAsia="Candara" w:hAnsi="Candara" w:cs="Candara"/>
          <w:color w:val="000000"/>
          <w:sz w:val="24"/>
          <w:szCs w:val="24"/>
        </w:rPr>
        <w:t>H</w:t>
      </w:r>
      <w:r w:rsidR="00E010E1">
        <w:rPr>
          <w:rFonts w:ascii="Candara" w:eastAsia="Candara" w:hAnsi="Candara" w:cs="Candara"/>
          <w:color w:val="000000"/>
          <w:sz w:val="24"/>
          <w:szCs w:val="24"/>
        </w:rPr>
        <w:t>air</w:t>
      </w:r>
      <w:proofErr w:type="spellEnd"/>
      <w:r w:rsidRPr="001002DC">
        <w:rPr>
          <w:rFonts w:ascii="Candara" w:eastAsia="Candara" w:hAnsi="Candara" w:cs="Candara"/>
          <w:color w:val="000000"/>
          <w:sz w:val="24"/>
          <w:szCs w:val="24"/>
        </w:rPr>
        <w:t xml:space="preserve"> </w:t>
      </w:r>
      <w:r w:rsidRPr="00E010E1">
        <w:rPr>
          <w:rFonts w:ascii="Candara" w:eastAsia="Candara" w:hAnsi="Candara" w:cs="Candara"/>
          <w:i/>
          <w:iCs/>
          <w:color w:val="000000"/>
          <w:sz w:val="24"/>
          <w:szCs w:val="24"/>
        </w:rPr>
        <w:t>et al.</w:t>
      </w:r>
      <w:r w:rsidRPr="001002DC">
        <w:rPr>
          <w:rFonts w:ascii="Candara" w:eastAsia="Candara" w:hAnsi="Candara" w:cs="Candara"/>
          <w:color w:val="000000"/>
          <w:sz w:val="24"/>
          <w:szCs w:val="24"/>
        </w:rPr>
        <w:t xml:space="preserve">, 2009). </w:t>
      </w:r>
    </w:p>
    <w:p w14:paraId="36A32F4D" w14:textId="4C45B514" w:rsidR="001002DC" w:rsidRPr="00F416DD" w:rsidRDefault="001002DC" w:rsidP="00E010E1">
      <w:pPr>
        <w:pBdr>
          <w:top w:val="nil"/>
          <w:left w:val="nil"/>
          <w:bottom w:val="nil"/>
          <w:right w:val="nil"/>
          <w:between w:val="nil"/>
        </w:pBdr>
        <w:spacing w:after="120" w:line="360" w:lineRule="auto"/>
        <w:ind w:firstLine="851"/>
        <w:jc w:val="both"/>
        <w:rPr>
          <w:rFonts w:ascii="Candara" w:eastAsia="Candara" w:hAnsi="Candara" w:cs="Candara"/>
          <w:color w:val="000000"/>
          <w:sz w:val="24"/>
          <w:szCs w:val="24"/>
        </w:rPr>
      </w:pPr>
      <w:r w:rsidRPr="00F416DD">
        <w:rPr>
          <w:rFonts w:ascii="Candara" w:eastAsia="Candara" w:hAnsi="Candara" w:cs="Candara"/>
          <w:color w:val="000000"/>
          <w:sz w:val="24"/>
          <w:szCs w:val="24"/>
        </w:rPr>
        <w:t>3.3 Descrição das Variáveis</w:t>
      </w:r>
    </w:p>
    <w:p w14:paraId="0E475431" w14:textId="4D4CAD32" w:rsidR="00654EAC" w:rsidRDefault="001002DC" w:rsidP="00CB657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1002DC">
        <w:rPr>
          <w:rFonts w:ascii="Candara" w:eastAsia="Candara" w:hAnsi="Candara" w:cs="Candara"/>
          <w:color w:val="000000"/>
          <w:sz w:val="24"/>
          <w:szCs w:val="24"/>
        </w:rPr>
        <w:t>A pesquisa compreendeu os 50 municípios que fazem parte da mesorregião Oeste do Paraná. O Quadro 1 mostra as variáveis utilizadas na Análise dos Componentes (ACP), bem como a sua descrição e as fontes de dados.</w:t>
      </w:r>
    </w:p>
    <w:p w14:paraId="6D083663" w14:textId="77777777" w:rsidR="001002DC" w:rsidRDefault="001002DC" w:rsidP="00220ECE">
      <w:pPr>
        <w:pBdr>
          <w:top w:val="nil"/>
          <w:left w:val="nil"/>
          <w:bottom w:val="nil"/>
          <w:right w:val="nil"/>
          <w:between w:val="nil"/>
        </w:pBdr>
        <w:spacing w:after="0" w:line="240" w:lineRule="auto"/>
        <w:jc w:val="both"/>
        <w:rPr>
          <w:rFonts w:ascii="Candara" w:eastAsia="Candara" w:hAnsi="Candara" w:cs="Candara"/>
          <w:color w:val="000000"/>
          <w:sz w:val="24"/>
          <w:szCs w:val="24"/>
        </w:rPr>
      </w:pPr>
      <w:r w:rsidRPr="001002DC">
        <w:rPr>
          <w:rFonts w:ascii="Candara" w:eastAsia="Candara" w:hAnsi="Candara" w:cs="Candara"/>
          <w:color w:val="000000"/>
          <w:sz w:val="24"/>
          <w:szCs w:val="24"/>
        </w:rPr>
        <w:lastRenderedPageBreak/>
        <w:t>Quadro 1 – Variáveis associadas a produção agropecuária que exercem pressão ambiental.</w:t>
      </w:r>
    </w:p>
    <w:tbl>
      <w:tblPr>
        <w:tblW w:w="0" w:type="auto"/>
        <w:tblCellMar>
          <w:left w:w="70" w:type="dxa"/>
          <w:right w:w="70" w:type="dxa"/>
        </w:tblCellMar>
        <w:tblLook w:val="04A0" w:firstRow="1" w:lastRow="0" w:firstColumn="1" w:lastColumn="0" w:noHBand="0" w:noVBand="1"/>
      </w:tblPr>
      <w:tblGrid>
        <w:gridCol w:w="559"/>
        <w:gridCol w:w="5287"/>
        <w:gridCol w:w="2026"/>
        <w:gridCol w:w="622"/>
      </w:tblGrid>
      <w:tr w:rsidR="001002DC" w:rsidRPr="001002DC" w14:paraId="12C4F103" w14:textId="77777777" w:rsidTr="005953AE">
        <w:trPr>
          <w:cantSplit/>
          <w:trHeight w:val="2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FC9E2" w14:textId="328B4DC3" w:rsidR="001002DC" w:rsidRPr="001002DC" w:rsidRDefault="001002DC" w:rsidP="00F078D5">
            <w:pPr>
              <w:spacing w:after="0" w:line="240" w:lineRule="auto"/>
              <w:jc w:val="center"/>
              <w:rPr>
                <w:rFonts w:ascii="Candara" w:eastAsia="Times New Roman" w:hAnsi="Candara" w:cs="Times New Roman"/>
                <w:b/>
                <w:bCs/>
                <w:color w:val="000000"/>
              </w:rPr>
            </w:pPr>
            <w:r w:rsidRPr="001002DC">
              <w:rPr>
                <w:rFonts w:ascii="Candara" w:eastAsia="Times New Roman" w:hAnsi="Candara" w:cs="Times New Roman"/>
                <w:b/>
                <w:bCs/>
                <w:color w:val="000000"/>
              </w:rPr>
              <w:t>Cód</w:t>
            </w:r>
            <w:r w:rsidR="00D74BB4">
              <w:rPr>
                <w:rFonts w:ascii="Candara" w:eastAsia="Times New Roman" w:hAnsi="Candara" w:cs="Times New Roman"/>
                <w:b/>
                <w:bCs/>
                <w:color w:val="000000"/>
              </w:rPr>
              <w:t>.</w:t>
            </w:r>
          </w:p>
        </w:tc>
        <w:tc>
          <w:tcPr>
            <w:tcW w:w="5302" w:type="dxa"/>
            <w:tcBorders>
              <w:top w:val="single" w:sz="4" w:space="0" w:color="auto"/>
              <w:left w:val="nil"/>
              <w:bottom w:val="single" w:sz="4" w:space="0" w:color="auto"/>
              <w:right w:val="single" w:sz="4" w:space="0" w:color="auto"/>
            </w:tcBorders>
            <w:shd w:val="clear" w:color="auto" w:fill="auto"/>
            <w:noWrap/>
            <w:vAlign w:val="center"/>
            <w:hideMark/>
          </w:tcPr>
          <w:p w14:paraId="2DC0A9FC" w14:textId="77777777" w:rsidR="001002DC" w:rsidRPr="001002DC" w:rsidRDefault="001002DC" w:rsidP="00F078D5">
            <w:pPr>
              <w:spacing w:after="0" w:line="240" w:lineRule="auto"/>
              <w:jc w:val="center"/>
              <w:rPr>
                <w:rFonts w:ascii="Candara" w:eastAsia="Times New Roman" w:hAnsi="Candara" w:cs="Times New Roman"/>
                <w:b/>
                <w:bCs/>
                <w:color w:val="000000"/>
              </w:rPr>
            </w:pPr>
            <w:r w:rsidRPr="001002DC">
              <w:rPr>
                <w:rFonts w:ascii="Candara" w:eastAsia="Times New Roman" w:hAnsi="Candara" w:cs="Times New Roman"/>
                <w:b/>
                <w:bCs/>
                <w:color w:val="000000"/>
              </w:rPr>
              <w:t>Descrição</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5345FBF1" w14:textId="77777777" w:rsidR="001002DC" w:rsidRPr="001002DC" w:rsidRDefault="001002DC" w:rsidP="00F078D5">
            <w:pPr>
              <w:spacing w:after="0" w:line="240" w:lineRule="auto"/>
              <w:jc w:val="center"/>
              <w:rPr>
                <w:rFonts w:ascii="Candara" w:eastAsia="Times New Roman" w:hAnsi="Candara" w:cs="Times New Roman"/>
                <w:b/>
                <w:bCs/>
                <w:color w:val="000000"/>
              </w:rPr>
            </w:pPr>
            <w:r w:rsidRPr="001002DC">
              <w:rPr>
                <w:rFonts w:ascii="Candara" w:eastAsia="Times New Roman" w:hAnsi="Candara" w:cs="Times New Roman"/>
                <w:b/>
                <w:bCs/>
                <w:color w:val="000000"/>
              </w:rPr>
              <w:t>Fonte</w:t>
            </w:r>
          </w:p>
        </w:tc>
        <w:tc>
          <w:tcPr>
            <w:tcW w:w="610" w:type="dxa"/>
            <w:tcBorders>
              <w:top w:val="single" w:sz="4" w:space="0" w:color="auto"/>
              <w:left w:val="nil"/>
              <w:bottom w:val="single" w:sz="4" w:space="0" w:color="auto"/>
              <w:right w:val="single" w:sz="4" w:space="0" w:color="auto"/>
            </w:tcBorders>
            <w:shd w:val="clear" w:color="auto" w:fill="auto"/>
            <w:noWrap/>
            <w:vAlign w:val="center"/>
            <w:hideMark/>
          </w:tcPr>
          <w:p w14:paraId="3EDF2CC2" w14:textId="77777777" w:rsidR="001002DC" w:rsidRPr="001002DC" w:rsidRDefault="001002DC" w:rsidP="00F078D5">
            <w:pPr>
              <w:spacing w:after="0" w:line="240" w:lineRule="auto"/>
              <w:jc w:val="center"/>
              <w:rPr>
                <w:rFonts w:ascii="Candara" w:eastAsia="Times New Roman" w:hAnsi="Candara" w:cs="Times New Roman"/>
                <w:b/>
                <w:bCs/>
                <w:color w:val="000000"/>
              </w:rPr>
            </w:pPr>
            <w:r w:rsidRPr="001002DC">
              <w:rPr>
                <w:rFonts w:ascii="Candara" w:eastAsia="Times New Roman" w:hAnsi="Candara" w:cs="Times New Roman"/>
                <w:b/>
                <w:bCs/>
                <w:color w:val="000000"/>
              </w:rPr>
              <w:t>Ano</w:t>
            </w:r>
          </w:p>
        </w:tc>
      </w:tr>
      <w:tr w:rsidR="001002DC" w:rsidRPr="001002DC" w14:paraId="1EA6D524" w14:textId="77777777" w:rsidTr="005953AE">
        <w:trPr>
          <w:cantSplit/>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85EAE19"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X1</w:t>
            </w:r>
          </w:p>
        </w:tc>
        <w:tc>
          <w:tcPr>
            <w:tcW w:w="5302" w:type="dxa"/>
            <w:tcBorders>
              <w:top w:val="nil"/>
              <w:left w:val="nil"/>
              <w:bottom w:val="single" w:sz="4" w:space="0" w:color="auto"/>
              <w:right w:val="single" w:sz="4" w:space="0" w:color="auto"/>
            </w:tcBorders>
            <w:shd w:val="clear" w:color="auto" w:fill="auto"/>
            <w:noWrap/>
            <w:vAlign w:val="center"/>
            <w:hideMark/>
          </w:tcPr>
          <w:p w14:paraId="5349BCCA" w14:textId="77777777" w:rsidR="001002DC" w:rsidRPr="001002DC" w:rsidRDefault="001002DC" w:rsidP="00F078D5">
            <w:pPr>
              <w:spacing w:after="0" w:line="240" w:lineRule="auto"/>
              <w:jc w:val="both"/>
              <w:rPr>
                <w:rFonts w:ascii="Candara" w:eastAsia="Times New Roman" w:hAnsi="Candara" w:cs="Times New Roman"/>
                <w:color w:val="000000"/>
              </w:rPr>
            </w:pPr>
            <w:r w:rsidRPr="001002DC">
              <w:rPr>
                <w:rFonts w:ascii="Candara" w:eastAsia="Times New Roman" w:hAnsi="Candara" w:cs="Times New Roman"/>
                <w:color w:val="000000"/>
              </w:rPr>
              <w:t>Número de estabelecimentos agropecuários com produção de lavouras temporárias (Unidades)</w:t>
            </w:r>
          </w:p>
        </w:tc>
        <w:tc>
          <w:tcPr>
            <w:tcW w:w="2031" w:type="dxa"/>
            <w:tcBorders>
              <w:top w:val="nil"/>
              <w:left w:val="nil"/>
              <w:bottom w:val="single" w:sz="4" w:space="0" w:color="auto"/>
              <w:right w:val="single" w:sz="4" w:space="0" w:color="auto"/>
            </w:tcBorders>
            <w:shd w:val="clear" w:color="auto" w:fill="auto"/>
            <w:noWrap/>
            <w:vAlign w:val="center"/>
            <w:hideMark/>
          </w:tcPr>
          <w:p w14:paraId="4EDC64B4"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IBGE-CENSO AGROPECUÁRIO</w:t>
            </w:r>
          </w:p>
        </w:tc>
        <w:tc>
          <w:tcPr>
            <w:tcW w:w="610" w:type="dxa"/>
            <w:tcBorders>
              <w:top w:val="nil"/>
              <w:left w:val="nil"/>
              <w:bottom w:val="single" w:sz="4" w:space="0" w:color="auto"/>
              <w:right w:val="single" w:sz="4" w:space="0" w:color="auto"/>
            </w:tcBorders>
            <w:shd w:val="clear" w:color="auto" w:fill="auto"/>
            <w:noWrap/>
            <w:vAlign w:val="center"/>
            <w:hideMark/>
          </w:tcPr>
          <w:p w14:paraId="781026A1"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2017</w:t>
            </w:r>
          </w:p>
        </w:tc>
      </w:tr>
      <w:tr w:rsidR="001002DC" w:rsidRPr="001002DC" w14:paraId="214146BA" w14:textId="77777777" w:rsidTr="005953AE">
        <w:trPr>
          <w:cantSplit/>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14B9A3A"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X2</w:t>
            </w:r>
          </w:p>
        </w:tc>
        <w:tc>
          <w:tcPr>
            <w:tcW w:w="5302" w:type="dxa"/>
            <w:tcBorders>
              <w:top w:val="nil"/>
              <w:left w:val="nil"/>
              <w:bottom w:val="single" w:sz="4" w:space="0" w:color="auto"/>
              <w:right w:val="single" w:sz="4" w:space="0" w:color="auto"/>
            </w:tcBorders>
            <w:shd w:val="clear" w:color="auto" w:fill="auto"/>
            <w:noWrap/>
            <w:vAlign w:val="center"/>
            <w:hideMark/>
          </w:tcPr>
          <w:p w14:paraId="4C6855DF" w14:textId="77777777" w:rsidR="001002DC" w:rsidRPr="001002DC" w:rsidRDefault="001002DC" w:rsidP="00F078D5">
            <w:pPr>
              <w:spacing w:after="0" w:line="240" w:lineRule="auto"/>
              <w:jc w:val="both"/>
              <w:rPr>
                <w:rFonts w:ascii="Candara" w:eastAsia="Times New Roman" w:hAnsi="Candara" w:cs="Times New Roman"/>
                <w:color w:val="000000"/>
              </w:rPr>
            </w:pPr>
            <w:r w:rsidRPr="001002DC">
              <w:rPr>
                <w:rFonts w:ascii="Candara" w:eastAsia="Times New Roman" w:hAnsi="Candara" w:cs="Times New Roman"/>
                <w:color w:val="000000"/>
              </w:rPr>
              <w:t>Número de estabelecimentos agropecuários com pecuária e criação de outros animais (Unidades)</w:t>
            </w:r>
          </w:p>
        </w:tc>
        <w:tc>
          <w:tcPr>
            <w:tcW w:w="2031" w:type="dxa"/>
            <w:tcBorders>
              <w:top w:val="nil"/>
              <w:left w:val="nil"/>
              <w:bottom w:val="single" w:sz="4" w:space="0" w:color="auto"/>
              <w:right w:val="single" w:sz="4" w:space="0" w:color="auto"/>
            </w:tcBorders>
            <w:shd w:val="clear" w:color="auto" w:fill="auto"/>
            <w:noWrap/>
            <w:vAlign w:val="center"/>
            <w:hideMark/>
          </w:tcPr>
          <w:p w14:paraId="59B32BB2"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IBGE-CENSO AGROPECUÁRIO</w:t>
            </w:r>
          </w:p>
        </w:tc>
        <w:tc>
          <w:tcPr>
            <w:tcW w:w="610" w:type="dxa"/>
            <w:tcBorders>
              <w:top w:val="nil"/>
              <w:left w:val="nil"/>
              <w:bottom w:val="single" w:sz="4" w:space="0" w:color="auto"/>
              <w:right w:val="single" w:sz="4" w:space="0" w:color="auto"/>
            </w:tcBorders>
            <w:shd w:val="clear" w:color="auto" w:fill="auto"/>
            <w:noWrap/>
            <w:vAlign w:val="center"/>
            <w:hideMark/>
          </w:tcPr>
          <w:p w14:paraId="49A02F3E"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2017</w:t>
            </w:r>
          </w:p>
        </w:tc>
      </w:tr>
      <w:tr w:rsidR="001002DC" w:rsidRPr="001002DC" w14:paraId="437E15EC" w14:textId="77777777" w:rsidTr="005953AE">
        <w:trPr>
          <w:cantSplit/>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04301F2"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X3</w:t>
            </w:r>
          </w:p>
        </w:tc>
        <w:tc>
          <w:tcPr>
            <w:tcW w:w="5302" w:type="dxa"/>
            <w:tcBorders>
              <w:top w:val="nil"/>
              <w:left w:val="nil"/>
              <w:bottom w:val="single" w:sz="4" w:space="0" w:color="auto"/>
              <w:right w:val="single" w:sz="4" w:space="0" w:color="auto"/>
            </w:tcBorders>
            <w:shd w:val="clear" w:color="auto" w:fill="auto"/>
            <w:noWrap/>
            <w:vAlign w:val="center"/>
            <w:hideMark/>
          </w:tcPr>
          <w:p w14:paraId="05AE797C" w14:textId="77777777" w:rsidR="001002DC" w:rsidRPr="001002DC" w:rsidRDefault="001002DC" w:rsidP="00F078D5">
            <w:pPr>
              <w:spacing w:after="0" w:line="240" w:lineRule="auto"/>
              <w:jc w:val="both"/>
              <w:rPr>
                <w:rFonts w:ascii="Candara" w:eastAsia="Times New Roman" w:hAnsi="Candara" w:cs="Times New Roman"/>
                <w:color w:val="000000"/>
              </w:rPr>
            </w:pPr>
            <w:r w:rsidRPr="001002DC">
              <w:rPr>
                <w:rFonts w:ascii="Candara" w:eastAsia="Times New Roman" w:hAnsi="Candara" w:cs="Times New Roman"/>
                <w:color w:val="000000"/>
              </w:rPr>
              <w:t>Número de estabelecimentos agropecuários que faz plantio em nível (Unidades)</w:t>
            </w:r>
          </w:p>
        </w:tc>
        <w:tc>
          <w:tcPr>
            <w:tcW w:w="2031" w:type="dxa"/>
            <w:tcBorders>
              <w:top w:val="nil"/>
              <w:left w:val="nil"/>
              <w:bottom w:val="single" w:sz="4" w:space="0" w:color="auto"/>
              <w:right w:val="single" w:sz="4" w:space="0" w:color="auto"/>
            </w:tcBorders>
            <w:shd w:val="clear" w:color="auto" w:fill="auto"/>
            <w:noWrap/>
            <w:vAlign w:val="center"/>
            <w:hideMark/>
          </w:tcPr>
          <w:p w14:paraId="117731FD"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IBGE-CENSO AGROPECUÁRIO</w:t>
            </w:r>
          </w:p>
        </w:tc>
        <w:tc>
          <w:tcPr>
            <w:tcW w:w="610" w:type="dxa"/>
            <w:tcBorders>
              <w:top w:val="nil"/>
              <w:left w:val="nil"/>
              <w:bottom w:val="single" w:sz="4" w:space="0" w:color="auto"/>
              <w:right w:val="single" w:sz="4" w:space="0" w:color="auto"/>
            </w:tcBorders>
            <w:shd w:val="clear" w:color="auto" w:fill="auto"/>
            <w:noWrap/>
            <w:vAlign w:val="center"/>
            <w:hideMark/>
          </w:tcPr>
          <w:p w14:paraId="24C56345"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2017</w:t>
            </w:r>
          </w:p>
        </w:tc>
      </w:tr>
      <w:tr w:rsidR="001002DC" w:rsidRPr="001002DC" w14:paraId="26468D3E" w14:textId="77777777" w:rsidTr="005953AE">
        <w:trPr>
          <w:cantSplit/>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71BDFFD"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X4</w:t>
            </w:r>
          </w:p>
        </w:tc>
        <w:tc>
          <w:tcPr>
            <w:tcW w:w="5302" w:type="dxa"/>
            <w:tcBorders>
              <w:top w:val="nil"/>
              <w:left w:val="nil"/>
              <w:bottom w:val="single" w:sz="4" w:space="0" w:color="auto"/>
              <w:right w:val="single" w:sz="4" w:space="0" w:color="auto"/>
            </w:tcBorders>
            <w:shd w:val="clear" w:color="auto" w:fill="auto"/>
            <w:noWrap/>
            <w:vAlign w:val="center"/>
            <w:hideMark/>
          </w:tcPr>
          <w:p w14:paraId="636CE445" w14:textId="77777777" w:rsidR="001002DC" w:rsidRPr="001002DC" w:rsidRDefault="001002DC" w:rsidP="00F078D5">
            <w:pPr>
              <w:spacing w:after="0" w:line="240" w:lineRule="auto"/>
              <w:jc w:val="both"/>
              <w:rPr>
                <w:rFonts w:ascii="Candara" w:eastAsia="Times New Roman" w:hAnsi="Candara" w:cs="Times New Roman"/>
                <w:color w:val="000000"/>
              </w:rPr>
            </w:pPr>
            <w:r w:rsidRPr="001002DC">
              <w:rPr>
                <w:rFonts w:ascii="Candara" w:eastAsia="Times New Roman" w:hAnsi="Candara" w:cs="Times New Roman"/>
                <w:color w:val="000000"/>
              </w:rPr>
              <w:t>Número de estabelecimentos agropecuários que faz rotação de culturas (Unidades)</w:t>
            </w:r>
          </w:p>
        </w:tc>
        <w:tc>
          <w:tcPr>
            <w:tcW w:w="2031" w:type="dxa"/>
            <w:tcBorders>
              <w:top w:val="nil"/>
              <w:left w:val="nil"/>
              <w:bottom w:val="single" w:sz="4" w:space="0" w:color="auto"/>
              <w:right w:val="single" w:sz="4" w:space="0" w:color="auto"/>
            </w:tcBorders>
            <w:shd w:val="clear" w:color="auto" w:fill="auto"/>
            <w:noWrap/>
            <w:vAlign w:val="center"/>
            <w:hideMark/>
          </w:tcPr>
          <w:p w14:paraId="637E1277"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IBGE-CENSO AGROPECUÁRIO</w:t>
            </w:r>
          </w:p>
        </w:tc>
        <w:tc>
          <w:tcPr>
            <w:tcW w:w="610" w:type="dxa"/>
            <w:tcBorders>
              <w:top w:val="nil"/>
              <w:left w:val="nil"/>
              <w:bottom w:val="single" w:sz="4" w:space="0" w:color="auto"/>
              <w:right w:val="single" w:sz="4" w:space="0" w:color="auto"/>
            </w:tcBorders>
            <w:shd w:val="clear" w:color="auto" w:fill="auto"/>
            <w:noWrap/>
            <w:vAlign w:val="center"/>
            <w:hideMark/>
          </w:tcPr>
          <w:p w14:paraId="7697528B"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2017</w:t>
            </w:r>
          </w:p>
        </w:tc>
      </w:tr>
      <w:tr w:rsidR="001002DC" w:rsidRPr="001002DC" w14:paraId="7EADF209" w14:textId="77777777" w:rsidTr="005953AE">
        <w:trPr>
          <w:cantSplit/>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BA548FB"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X5</w:t>
            </w:r>
          </w:p>
        </w:tc>
        <w:tc>
          <w:tcPr>
            <w:tcW w:w="5302" w:type="dxa"/>
            <w:tcBorders>
              <w:top w:val="nil"/>
              <w:left w:val="nil"/>
              <w:bottom w:val="single" w:sz="4" w:space="0" w:color="auto"/>
              <w:right w:val="single" w:sz="4" w:space="0" w:color="auto"/>
            </w:tcBorders>
            <w:shd w:val="clear" w:color="auto" w:fill="auto"/>
            <w:noWrap/>
            <w:vAlign w:val="center"/>
            <w:hideMark/>
          </w:tcPr>
          <w:p w14:paraId="0EEDADA3" w14:textId="77777777" w:rsidR="001002DC" w:rsidRPr="001002DC" w:rsidRDefault="001002DC" w:rsidP="00F078D5">
            <w:pPr>
              <w:spacing w:after="0" w:line="240" w:lineRule="auto"/>
              <w:jc w:val="both"/>
              <w:rPr>
                <w:rFonts w:ascii="Candara" w:eastAsia="Times New Roman" w:hAnsi="Candara" w:cs="Times New Roman"/>
                <w:color w:val="000000"/>
              </w:rPr>
            </w:pPr>
            <w:r w:rsidRPr="001002DC">
              <w:rPr>
                <w:rFonts w:ascii="Candara" w:eastAsia="Times New Roman" w:hAnsi="Candara" w:cs="Times New Roman"/>
                <w:color w:val="000000"/>
              </w:rPr>
              <w:t>Número de estabelecimentos agropecuários que faz pousio ou descanso de solos (Unidades)</w:t>
            </w:r>
          </w:p>
        </w:tc>
        <w:tc>
          <w:tcPr>
            <w:tcW w:w="2031" w:type="dxa"/>
            <w:tcBorders>
              <w:top w:val="nil"/>
              <w:left w:val="nil"/>
              <w:bottom w:val="single" w:sz="4" w:space="0" w:color="auto"/>
              <w:right w:val="single" w:sz="4" w:space="0" w:color="auto"/>
            </w:tcBorders>
            <w:shd w:val="clear" w:color="auto" w:fill="auto"/>
            <w:noWrap/>
            <w:vAlign w:val="center"/>
            <w:hideMark/>
          </w:tcPr>
          <w:p w14:paraId="4F2B01C8"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IBGE-CENSO AGROPECUÁRIO</w:t>
            </w:r>
          </w:p>
        </w:tc>
        <w:tc>
          <w:tcPr>
            <w:tcW w:w="610" w:type="dxa"/>
            <w:tcBorders>
              <w:top w:val="nil"/>
              <w:left w:val="nil"/>
              <w:bottom w:val="single" w:sz="4" w:space="0" w:color="auto"/>
              <w:right w:val="single" w:sz="4" w:space="0" w:color="auto"/>
            </w:tcBorders>
            <w:shd w:val="clear" w:color="auto" w:fill="auto"/>
            <w:noWrap/>
            <w:vAlign w:val="center"/>
            <w:hideMark/>
          </w:tcPr>
          <w:p w14:paraId="3FF03F01"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2017</w:t>
            </w:r>
          </w:p>
        </w:tc>
      </w:tr>
      <w:tr w:rsidR="001002DC" w:rsidRPr="001002DC" w14:paraId="65EA8561" w14:textId="77777777" w:rsidTr="005953AE">
        <w:trPr>
          <w:cantSplit/>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22B39F4"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X6</w:t>
            </w:r>
          </w:p>
        </w:tc>
        <w:tc>
          <w:tcPr>
            <w:tcW w:w="5302" w:type="dxa"/>
            <w:tcBorders>
              <w:top w:val="nil"/>
              <w:left w:val="nil"/>
              <w:bottom w:val="single" w:sz="4" w:space="0" w:color="auto"/>
              <w:right w:val="single" w:sz="4" w:space="0" w:color="auto"/>
            </w:tcBorders>
            <w:shd w:val="clear" w:color="auto" w:fill="auto"/>
            <w:noWrap/>
            <w:vAlign w:val="center"/>
            <w:hideMark/>
          </w:tcPr>
          <w:p w14:paraId="7F5B3B0D" w14:textId="77777777" w:rsidR="001002DC" w:rsidRPr="001002DC" w:rsidRDefault="001002DC" w:rsidP="00F078D5">
            <w:pPr>
              <w:spacing w:after="0" w:line="240" w:lineRule="auto"/>
              <w:jc w:val="both"/>
              <w:rPr>
                <w:rFonts w:ascii="Candara" w:eastAsia="Times New Roman" w:hAnsi="Candara" w:cs="Times New Roman"/>
                <w:color w:val="000000"/>
              </w:rPr>
            </w:pPr>
            <w:r w:rsidRPr="001002DC">
              <w:rPr>
                <w:rFonts w:ascii="Candara" w:eastAsia="Times New Roman" w:hAnsi="Candara" w:cs="Times New Roman"/>
                <w:color w:val="000000"/>
              </w:rPr>
              <w:t>Número de estabelecimentos agropecuários que faz proteção e/ou conservação de encostas (Unidades)</w:t>
            </w:r>
          </w:p>
        </w:tc>
        <w:tc>
          <w:tcPr>
            <w:tcW w:w="2031" w:type="dxa"/>
            <w:tcBorders>
              <w:top w:val="nil"/>
              <w:left w:val="nil"/>
              <w:bottom w:val="single" w:sz="4" w:space="0" w:color="auto"/>
              <w:right w:val="single" w:sz="4" w:space="0" w:color="auto"/>
            </w:tcBorders>
            <w:shd w:val="clear" w:color="auto" w:fill="auto"/>
            <w:noWrap/>
            <w:vAlign w:val="center"/>
            <w:hideMark/>
          </w:tcPr>
          <w:p w14:paraId="69F553D6"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IBGE-CENSO AGROPECUÁRIO</w:t>
            </w:r>
          </w:p>
        </w:tc>
        <w:tc>
          <w:tcPr>
            <w:tcW w:w="610" w:type="dxa"/>
            <w:tcBorders>
              <w:top w:val="nil"/>
              <w:left w:val="nil"/>
              <w:bottom w:val="single" w:sz="4" w:space="0" w:color="auto"/>
              <w:right w:val="single" w:sz="4" w:space="0" w:color="auto"/>
            </w:tcBorders>
            <w:shd w:val="clear" w:color="auto" w:fill="auto"/>
            <w:noWrap/>
            <w:vAlign w:val="center"/>
            <w:hideMark/>
          </w:tcPr>
          <w:p w14:paraId="039E2B29"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2017</w:t>
            </w:r>
          </w:p>
        </w:tc>
      </w:tr>
      <w:tr w:rsidR="001002DC" w:rsidRPr="001002DC" w14:paraId="0B5DFB55" w14:textId="77777777" w:rsidTr="005953AE">
        <w:trPr>
          <w:cantSplit/>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10BD0FF"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X7</w:t>
            </w:r>
          </w:p>
        </w:tc>
        <w:tc>
          <w:tcPr>
            <w:tcW w:w="5302" w:type="dxa"/>
            <w:tcBorders>
              <w:top w:val="nil"/>
              <w:left w:val="nil"/>
              <w:bottom w:val="single" w:sz="4" w:space="0" w:color="auto"/>
              <w:right w:val="single" w:sz="4" w:space="0" w:color="auto"/>
            </w:tcBorders>
            <w:shd w:val="clear" w:color="auto" w:fill="auto"/>
            <w:noWrap/>
            <w:vAlign w:val="center"/>
            <w:hideMark/>
          </w:tcPr>
          <w:p w14:paraId="6D5DC304" w14:textId="77777777" w:rsidR="001002DC" w:rsidRPr="001002DC" w:rsidRDefault="001002DC" w:rsidP="00F078D5">
            <w:pPr>
              <w:spacing w:after="0" w:line="240" w:lineRule="auto"/>
              <w:jc w:val="both"/>
              <w:rPr>
                <w:rFonts w:ascii="Candara" w:eastAsia="Times New Roman" w:hAnsi="Candara" w:cs="Times New Roman"/>
                <w:color w:val="000000"/>
              </w:rPr>
            </w:pPr>
            <w:r w:rsidRPr="001002DC">
              <w:rPr>
                <w:rFonts w:ascii="Candara" w:eastAsia="Times New Roman" w:hAnsi="Candara" w:cs="Times New Roman"/>
                <w:color w:val="000000"/>
              </w:rPr>
              <w:t>Número de estabelecimentos agropecuários que faz recuperação de mata ciliar (Unidades)</w:t>
            </w:r>
          </w:p>
        </w:tc>
        <w:tc>
          <w:tcPr>
            <w:tcW w:w="2031" w:type="dxa"/>
            <w:tcBorders>
              <w:top w:val="nil"/>
              <w:left w:val="nil"/>
              <w:bottom w:val="single" w:sz="4" w:space="0" w:color="auto"/>
              <w:right w:val="single" w:sz="4" w:space="0" w:color="auto"/>
            </w:tcBorders>
            <w:shd w:val="clear" w:color="auto" w:fill="auto"/>
            <w:noWrap/>
            <w:vAlign w:val="center"/>
            <w:hideMark/>
          </w:tcPr>
          <w:p w14:paraId="410F5E60"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IBGE-CENSO AGROPECUÁRIO</w:t>
            </w:r>
          </w:p>
        </w:tc>
        <w:tc>
          <w:tcPr>
            <w:tcW w:w="610" w:type="dxa"/>
            <w:tcBorders>
              <w:top w:val="nil"/>
              <w:left w:val="nil"/>
              <w:bottom w:val="single" w:sz="4" w:space="0" w:color="auto"/>
              <w:right w:val="single" w:sz="4" w:space="0" w:color="auto"/>
            </w:tcBorders>
            <w:shd w:val="clear" w:color="auto" w:fill="auto"/>
            <w:noWrap/>
            <w:vAlign w:val="center"/>
            <w:hideMark/>
          </w:tcPr>
          <w:p w14:paraId="05A44E56"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2017</w:t>
            </w:r>
          </w:p>
        </w:tc>
      </w:tr>
      <w:tr w:rsidR="001002DC" w:rsidRPr="001002DC" w14:paraId="201C321B" w14:textId="77777777" w:rsidTr="005953AE">
        <w:trPr>
          <w:cantSplit/>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F7FA74C"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X8</w:t>
            </w:r>
          </w:p>
        </w:tc>
        <w:tc>
          <w:tcPr>
            <w:tcW w:w="5302" w:type="dxa"/>
            <w:tcBorders>
              <w:top w:val="nil"/>
              <w:left w:val="nil"/>
              <w:bottom w:val="single" w:sz="4" w:space="0" w:color="auto"/>
              <w:right w:val="single" w:sz="4" w:space="0" w:color="auto"/>
            </w:tcBorders>
            <w:shd w:val="clear" w:color="auto" w:fill="auto"/>
            <w:noWrap/>
            <w:vAlign w:val="center"/>
            <w:hideMark/>
          </w:tcPr>
          <w:p w14:paraId="4F41EA05" w14:textId="77777777" w:rsidR="001002DC" w:rsidRPr="001002DC" w:rsidRDefault="001002DC" w:rsidP="00F078D5">
            <w:pPr>
              <w:spacing w:after="0" w:line="240" w:lineRule="auto"/>
              <w:jc w:val="both"/>
              <w:rPr>
                <w:rFonts w:ascii="Candara" w:eastAsia="Times New Roman" w:hAnsi="Candara" w:cs="Times New Roman"/>
                <w:color w:val="000000"/>
              </w:rPr>
            </w:pPr>
            <w:r w:rsidRPr="001002DC">
              <w:rPr>
                <w:rFonts w:ascii="Candara" w:eastAsia="Times New Roman" w:hAnsi="Candara" w:cs="Times New Roman"/>
                <w:color w:val="000000"/>
              </w:rPr>
              <w:t>Número de estabelecimentos agropecuários que faz reflorestamento para proteção de nascentes (Unidades)</w:t>
            </w:r>
          </w:p>
        </w:tc>
        <w:tc>
          <w:tcPr>
            <w:tcW w:w="2031" w:type="dxa"/>
            <w:tcBorders>
              <w:top w:val="nil"/>
              <w:left w:val="nil"/>
              <w:bottom w:val="single" w:sz="4" w:space="0" w:color="auto"/>
              <w:right w:val="single" w:sz="4" w:space="0" w:color="auto"/>
            </w:tcBorders>
            <w:shd w:val="clear" w:color="auto" w:fill="auto"/>
            <w:noWrap/>
            <w:vAlign w:val="center"/>
            <w:hideMark/>
          </w:tcPr>
          <w:p w14:paraId="2EBBB2BC"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IBGE-CENSO AGROPECUÁRIO</w:t>
            </w:r>
          </w:p>
        </w:tc>
        <w:tc>
          <w:tcPr>
            <w:tcW w:w="610" w:type="dxa"/>
            <w:tcBorders>
              <w:top w:val="nil"/>
              <w:left w:val="nil"/>
              <w:bottom w:val="single" w:sz="4" w:space="0" w:color="auto"/>
              <w:right w:val="single" w:sz="4" w:space="0" w:color="auto"/>
            </w:tcBorders>
            <w:shd w:val="clear" w:color="auto" w:fill="auto"/>
            <w:noWrap/>
            <w:vAlign w:val="center"/>
            <w:hideMark/>
          </w:tcPr>
          <w:p w14:paraId="71C4A5DE"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2017</w:t>
            </w:r>
          </w:p>
        </w:tc>
      </w:tr>
      <w:tr w:rsidR="001002DC" w:rsidRPr="001002DC" w14:paraId="25D9ADE0" w14:textId="77777777" w:rsidTr="005953AE">
        <w:trPr>
          <w:cantSplit/>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4BB0468"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X9</w:t>
            </w:r>
          </w:p>
        </w:tc>
        <w:tc>
          <w:tcPr>
            <w:tcW w:w="5302" w:type="dxa"/>
            <w:tcBorders>
              <w:top w:val="nil"/>
              <w:left w:val="nil"/>
              <w:bottom w:val="single" w:sz="4" w:space="0" w:color="auto"/>
              <w:right w:val="single" w:sz="4" w:space="0" w:color="auto"/>
            </w:tcBorders>
            <w:shd w:val="clear" w:color="auto" w:fill="auto"/>
            <w:noWrap/>
            <w:vAlign w:val="center"/>
            <w:hideMark/>
          </w:tcPr>
          <w:p w14:paraId="45A4F860" w14:textId="77777777" w:rsidR="001002DC" w:rsidRPr="001002DC" w:rsidRDefault="001002DC" w:rsidP="00F078D5">
            <w:pPr>
              <w:spacing w:after="0" w:line="240" w:lineRule="auto"/>
              <w:jc w:val="both"/>
              <w:rPr>
                <w:rFonts w:ascii="Candara" w:eastAsia="Times New Roman" w:hAnsi="Candara" w:cs="Times New Roman"/>
                <w:color w:val="000000"/>
              </w:rPr>
            </w:pPr>
            <w:r w:rsidRPr="001002DC">
              <w:rPr>
                <w:rFonts w:ascii="Candara" w:eastAsia="Times New Roman" w:hAnsi="Candara" w:cs="Times New Roman"/>
                <w:color w:val="000000"/>
              </w:rPr>
              <w:t>Número de estabelecimentos agropecuários que faz estabilização de voçorocas (Unidades)</w:t>
            </w:r>
          </w:p>
        </w:tc>
        <w:tc>
          <w:tcPr>
            <w:tcW w:w="2031" w:type="dxa"/>
            <w:tcBorders>
              <w:top w:val="nil"/>
              <w:left w:val="nil"/>
              <w:bottom w:val="single" w:sz="4" w:space="0" w:color="auto"/>
              <w:right w:val="single" w:sz="4" w:space="0" w:color="auto"/>
            </w:tcBorders>
            <w:shd w:val="clear" w:color="auto" w:fill="auto"/>
            <w:noWrap/>
            <w:vAlign w:val="center"/>
            <w:hideMark/>
          </w:tcPr>
          <w:p w14:paraId="64D9589C"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IBGE-CENSO AGROPECUÁRIO</w:t>
            </w:r>
          </w:p>
        </w:tc>
        <w:tc>
          <w:tcPr>
            <w:tcW w:w="610" w:type="dxa"/>
            <w:tcBorders>
              <w:top w:val="nil"/>
              <w:left w:val="nil"/>
              <w:bottom w:val="single" w:sz="4" w:space="0" w:color="auto"/>
              <w:right w:val="single" w:sz="4" w:space="0" w:color="auto"/>
            </w:tcBorders>
            <w:shd w:val="clear" w:color="auto" w:fill="auto"/>
            <w:noWrap/>
            <w:vAlign w:val="center"/>
            <w:hideMark/>
          </w:tcPr>
          <w:p w14:paraId="01293B6E"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2017</w:t>
            </w:r>
          </w:p>
        </w:tc>
      </w:tr>
      <w:tr w:rsidR="001002DC" w:rsidRPr="001002DC" w14:paraId="54D8609B" w14:textId="77777777" w:rsidTr="005953AE">
        <w:trPr>
          <w:cantSplit/>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AF025B9"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X10</w:t>
            </w:r>
          </w:p>
        </w:tc>
        <w:tc>
          <w:tcPr>
            <w:tcW w:w="5302" w:type="dxa"/>
            <w:tcBorders>
              <w:top w:val="nil"/>
              <w:left w:val="nil"/>
              <w:bottom w:val="single" w:sz="4" w:space="0" w:color="auto"/>
              <w:right w:val="single" w:sz="4" w:space="0" w:color="auto"/>
            </w:tcBorders>
            <w:shd w:val="clear" w:color="auto" w:fill="auto"/>
            <w:noWrap/>
            <w:vAlign w:val="center"/>
            <w:hideMark/>
          </w:tcPr>
          <w:p w14:paraId="59E3E3CA" w14:textId="77777777" w:rsidR="001002DC" w:rsidRPr="001002DC" w:rsidRDefault="001002DC" w:rsidP="00F078D5">
            <w:pPr>
              <w:spacing w:after="0" w:line="240" w:lineRule="auto"/>
              <w:jc w:val="both"/>
              <w:rPr>
                <w:rFonts w:ascii="Candara" w:eastAsia="Times New Roman" w:hAnsi="Candara" w:cs="Times New Roman"/>
                <w:color w:val="000000"/>
              </w:rPr>
            </w:pPr>
            <w:r w:rsidRPr="001002DC">
              <w:rPr>
                <w:rFonts w:ascii="Candara" w:eastAsia="Times New Roman" w:hAnsi="Candara" w:cs="Times New Roman"/>
                <w:color w:val="000000"/>
              </w:rPr>
              <w:t>Número de estabelecimentos agropecuários que faz manejo florestal (Unidades)</w:t>
            </w:r>
          </w:p>
        </w:tc>
        <w:tc>
          <w:tcPr>
            <w:tcW w:w="2031" w:type="dxa"/>
            <w:tcBorders>
              <w:top w:val="nil"/>
              <w:left w:val="nil"/>
              <w:bottom w:val="single" w:sz="4" w:space="0" w:color="auto"/>
              <w:right w:val="single" w:sz="4" w:space="0" w:color="auto"/>
            </w:tcBorders>
            <w:shd w:val="clear" w:color="auto" w:fill="auto"/>
            <w:noWrap/>
            <w:vAlign w:val="center"/>
            <w:hideMark/>
          </w:tcPr>
          <w:p w14:paraId="16A699B5"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IBGE-CENSO AGROPECUÁRIO</w:t>
            </w:r>
          </w:p>
        </w:tc>
        <w:tc>
          <w:tcPr>
            <w:tcW w:w="610" w:type="dxa"/>
            <w:tcBorders>
              <w:top w:val="nil"/>
              <w:left w:val="nil"/>
              <w:bottom w:val="single" w:sz="4" w:space="0" w:color="auto"/>
              <w:right w:val="single" w:sz="4" w:space="0" w:color="auto"/>
            </w:tcBorders>
            <w:shd w:val="clear" w:color="auto" w:fill="auto"/>
            <w:noWrap/>
            <w:vAlign w:val="center"/>
            <w:hideMark/>
          </w:tcPr>
          <w:p w14:paraId="10638455"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2017</w:t>
            </w:r>
          </w:p>
        </w:tc>
      </w:tr>
      <w:tr w:rsidR="001002DC" w:rsidRPr="001002DC" w14:paraId="00449FEF" w14:textId="77777777" w:rsidTr="005953AE">
        <w:trPr>
          <w:cantSplit/>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BFF0F33"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X11</w:t>
            </w:r>
          </w:p>
        </w:tc>
        <w:tc>
          <w:tcPr>
            <w:tcW w:w="5302" w:type="dxa"/>
            <w:tcBorders>
              <w:top w:val="nil"/>
              <w:left w:val="nil"/>
              <w:bottom w:val="single" w:sz="4" w:space="0" w:color="auto"/>
              <w:right w:val="single" w:sz="4" w:space="0" w:color="auto"/>
            </w:tcBorders>
            <w:shd w:val="clear" w:color="auto" w:fill="auto"/>
            <w:noWrap/>
            <w:vAlign w:val="center"/>
            <w:hideMark/>
          </w:tcPr>
          <w:p w14:paraId="52F6D8CA" w14:textId="77777777" w:rsidR="001002DC" w:rsidRPr="001002DC" w:rsidRDefault="001002DC" w:rsidP="00F078D5">
            <w:pPr>
              <w:spacing w:after="0" w:line="240" w:lineRule="auto"/>
              <w:jc w:val="both"/>
              <w:rPr>
                <w:rFonts w:ascii="Candara" w:eastAsia="Times New Roman" w:hAnsi="Candara" w:cs="Times New Roman"/>
                <w:color w:val="000000"/>
              </w:rPr>
            </w:pPr>
            <w:r w:rsidRPr="001002DC">
              <w:rPr>
                <w:rFonts w:ascii="Candara" w:eastAsia="Times New Roman" w:hAnsi="Candara" w:cs="Times New Roman"/>
                <w:color w:val="000000"/>
              </w:rPr>
              <w:t>Número de estabelecimentos agropecuários que não faz uso da agricultura familiar (Unidades)</w:t>
            </w:r>
          </w:p>
        </w:tc>
        <w:tc>
          <w:tcPr>
            <w:tcW w:w="2031" w:type="dxa"/>
            <w:tcBorders>
              <w:top w:val="nil"/>
              <w:left w:val="nil"/>
              <w:bottom w:val="single" w:sz="4" w:space="0" w:color="auto"/>
              <w:right w:val="single" w:sz="4" w:space="0" w:color="auto"/>
            </w:tcBorders>
            <w:shd w:val="clear" w:color="auto" w:fill="auto"/>
            <w:noWrap/>
            <w:vAlign w:val="center"/>
            <w:hideMark/>
          </w:tcPr>
          <w:p w14:paraId="62E79F3D"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IBGE-CENSO AGROPECUÁRIO</w:t>
            </w:r>
          </w:p>
        </w:tc>
        <w:tc>
          <w:tcPr>
            <w:tcW w:w="610" w:type="dxa"/>
            <w:tcBorders>
              <w:top w:val="nil"/>
              <w:left w:val="nil"/>
              <w:bottom w:val="single" w:sz="4" w:space="0" w:color="auto"/>
              <w:right w:val="single" w:sz="4" w:space="0" w:color="auto"/>
            </w:tcBorders>
            <w:shd w:val="clear" w:color="auto" w:fill="auto"/>
            <w:noWrap/>
            <w:vAlign w:val="center"/>
            <w:hideMark/>
          </w:tcPr>
          <w:p w14:paraId="6AD4C98A"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2017</w:t>
            </w:r>
          </w:p>
        </w:tc>
      </w:tr>
      <w:tr w:rsidR="001002DC" w:rsidRPr="001002DC" w14:paraId="4076DDDC" w14:textId="77777777" w:rsidTr="005953AE">
        <w:trPr>
          <w:cantSplit/>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3B83D68"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X12</w:t>
            </w:r>
          </w:p>
        </w:tc>
        <w:tc>
          <w:tcPr>
            <w:tcW w:w="5302" w:type="dxa"/>
            <w:tcBorders>
              <w:top w:val="nil"/>
              <w:left w:val="nil"/>
              <w:bottom w:val="single" w:sz="4" w:space="0" w:color="auto"/>
              <w:right w:val="single" w:sz="4" w:space="0" w:color="auto"/>
            </w:tcBorders>
            <w:shd w:val="clear" w:color="auto" w:fill="auto"/>
            <w:noWrap/>
            <w:vAlign w:val="center"/>
            <w:hideMark/>
          </w:tcPr>
          <w:p w14:paraId="2E18B7B8" w14:textId="77777777" w:rsidR="001002DC" w:rsidRPr="001002DC" w:rsidRDefault="001002DC" w:rsidP="00F078D5">
            <w:pPr>
              <w:spacing w:after="0" w:line="240" w:lineRule="auto"/>
              <w:jc w:val="both"/>
              <w:rPr>
                <w:rFonts w:ascii="Candara" w:eastAsia="Times New Roman" w:hAnsi="Candara" w:cs="Times New Roman"/>
                <w:color w:val="000000"/>
              </w:rPr>
            </w:pPr>
            <w:r w:rsidRPr="001002DC">
              <w:rPr>
                <w:rFonts w:ascii="Candara" w:eastAsia="Times New Roman" w:hAnsi="Candara" w:cs="Times New Roman"/>
                <w:color w:val="000000"/>
              </w:rPr>
              <w:t>Número de estabelecimentos agropecuários que faz uso da agricultura familiar (Unidades)</w:t>
            </w:r>
          </w:p>
        </w:tc>
        <w:tc>
          <w:tcPr>
            <w:tcW w:w="2031" w:type="dxa"/>
            <w:tcBorders>
              <w:top w:val="nil"/>
              <w:left w:val="nil"/>
              <w:bottom w:val="single" w:sz="4" w:space="0" w:color="auto"/>
              <w:right w:val="single" w:sz="4" w:space="0" w:color="auto"/>
            </w:tcBorders>
            <w:shd w:val="clear" w:color="auto" w:fill="auto"/>
            <w:noWrap/>
            <w:vAlign w:val="center"/>
            <w:hideMark/>
          </w:tcPr>
          <w:p w14:paraId="054CD627"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IBGE-CENSO AGROPECUÁRIO</w:t>
            </w:r>
          </w:p>
        </w:tc>
        <w:tc>
          <w:tcPr>
            <w:tcW w:w="610" w:type="dxa"/>
            <w:tcBorders>
              <w:top w:val="nil"/>
              <w:left w:val="nil"/>
              <w:bottom w:val="single" w:sz="4" w:space="0" w:color="auto"/>
              <w:right w:val="single" w:sz="4" w:space="0" w:color="auto"/>
            </w:tcBorders>
            <w:shd w:val="clear" w:color="auto" w:fill="auto"/>
            <w:noWrap/>
            <w:vAlign w:val="center"/>
            <w:hideMark/>
          </w:tcPr>
          <w:p w14:paraId="6FC05481"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2017</w:t>
            </w:r>
          </w:p>
        </w:tc>
      </w:tr>
      <w:tr w:rsidR="001002DC" w:rsidRPr="001002DC" w14:paraId="4D8AF720" w14:textId="77777777" w:rsidTr="005953AE">
        <w:trPr>
          <w:cantSplit/>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B2A2AA6"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X13</w:t>
            </w:r>
          </w:p>
        </w:tc>
        <w:tc>
          <w:tcPr>
            <w:tcW w:w="5302" w:type="dxa"/>
            <w:tcBorders>
              <w:top w:val="nil"/>
              <w:left w:val="nil"/>
              <w:bottom w:val="single" w:sz="4" w:space="0" w:color="auto"/>
              <w:right w:val="single" w:sz="4" w:space="0" w:color="auto"/>
            </w:tcBorders>
            <w:shd w:val="clear" w:color="auto" w:fill="auto"/>
            <w:noWrap/>
            <w:vAlign w:val="center"/>
            <w:hideMark/>
          </w:tcPr>
          <w:p w14:paraId="0BB2E119" w14:textId="77777777" w:rsidR="001002DC" w:rsidRPr="001002DC" w:rsidRDefault="001002DC" w:rsidP="00F078D5">
            <w:pPr>
              <w:spacing w:after="0" w:line="240" w:lineRule="auto"/>
              <w:jc w:val="both"/>
              <w:rPr>
                <w:rFonts w:ascii="Candara" w:eastAsia="Times New Roman" w:hAnsi="Candara" w:cs="Times New Roman"/>
                <w:color w:val="000000"/>
              </w:rPr>
            </w:pPr>
            <w:r w:rsidRPr="001002DC">
              <w:rPr>
                <w:rFonts w:ascii="Candara" w:eastAsia="Times New Roman" w:hAnsi="Candara" w:cs="Times New Roman"/>
                <w:color w:val="000000"/>
              </w:rPr>
              <w:t>Número de estabelecimentos agropecuários que faz uso de adubação química (Unidades)</w:t>
            </w:r>
          </w:p>
        </w:tc>
        <w:tc>
          <w:tcPr>
            <w:tcW w:w="2031" w:type="dxa"/>
            <w:tcBorders>
              <w:top w:val="nil"/>
              <w:left w:val="nil"/>
              <w:bottom w:val="single" w:sz="4" w:space="0" w:color="auto"/>
              <w:right w:val="single" w:sz="4" w:space="0" w:color="auto"/>
            </w:tcBorders>
            <w:shd w:val="clear" w:color="auto" w:fill="auto"/>
            <w:noWrap/>
            <w:vAlign w:val="center"/>
            <w:hideMark/>
          </w:tcPr>
          <w:p w14:paraId="687237CC"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IBGE-CENSO AGROPECUÁRIO</w:t>
            </w:r>
          </w:p>
        </w:tc>
        <w:tc>
          <w:tcPr>
            <w:tcW w:w="610" w:type="dxa"/>
            <w:tcBorders>
              <w:top w:val="nil"/>
              <w:left w:val="nil"/>
              <w:bottom w:val="single" w:sz="4" w:space="0" w:color="auto"/>
              <w:right w:val="single" w:sz="4" w:space="0" w:color="auto"/>
            </w:tcBorders>
            <w:shd w:val="clear" w:color="auto" w:fill="auto"/>
            <w:noWrap/>
            <w:vAlign w:val="center"/>
            <w:hideMark/>
          </w:tcPr>
          <w:p w14:paraId="00D38466"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2017</w:t>
            </w:r>
          </w:p>
        </w:tc>
      </w:tr>
      <w:tr w:rsidR="001002DC" w:rsidRPr="001002DC" w14:paraId="0FD371B4" w14:textId="77777777" w:rsidTr="005953AE">
        <w:trPr>
          <w:cantSplit/>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73757B2"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X14</w:t>
            </w:r>
          </w:p>
        </w:tc>
        <w:tc>
          <w:tcPr>
            <w:tcW w:w="5302" w:type="dxa"/>
            <w:tcBorders>
              <w:top w:val="nil"/>
              <w:left w:val="nil"/>
              <w:bottom w:val="single" w:sz="4" w:space="0" w:color="auto"/>
              <w:right w:val="single" w:sz="4" w:space="0" w:color="auto"/>
            </w:tcBorders>
            <w:shd w:val="clear" w:color="auto" w:fill="auto"/>
            <w:noWrap/>
            <w:vAlign w:val="center"/>
            <w:hideMark/>
          </w:tcPr>
          <w:p w14:paraId="512C417F" w14:textId="77777777" w:rsidR="001002DC" w:rsidRPr="001002DC" w:rsidRDefault="001002DC" w:rsidP="00F078D5">
            <w:pPr>
              <w:spacing w:after="0" w:line="240" w:lineRule="auto"/>
              <w:jc w:val="both"/>
              <w:rPr>
                <w:rFonts w:ascii="Candara" w:eastAsia="Times New Roman" w:hAnsi="Candara" w:cs="Times New Roman"/>
                <w:color w:val="000000"/>
              </w:rPr>
            </w:pPr>
            <w:r w:rsidRPr="001002DC">
              <w:rPr>
                <w:rFonts w:ascii="Candara" w:eastAsia="Times New Roman" w:hAnsi="Candara" w:cs="Times New Roman"/>
                <w:color w:val="000000"/>
              </w:rPr>
              <w:t>Número de estabelecimentos agropecuários que faz uso de adubação orgânica (Unidades)</w:t>
            </w:r>
          </w:p>
        </w:tc>
        <w:tc>
          <w:tcPr>
            <w:tcW w:w="2031" w:type="dxa"/>
            <w:tcBorders>
              <w:top w:val="nil"/>
              <w:left w:val="nil"/>
              <w:bottom w:val="single" w:sz="4" w:space="0" w:color="auto"/>
              <w:right w:val="single" w:sz="4" w:space="0" w:color="auto"/>
            </w:tcBorders>
            <w:shd w:val="clear" w:color="auto" w:fill="auto"/>
            <w:noWrap/>
            <w:vAlign w:val="center"/>
            <w:hideMark/>
          </w:tcPr>
          <w:p w14:paraId="29D98C51"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IBGE-CENSO AGROPECUÁRIO</w:t>
            </w:r>
          </w:p>
        </w:tc>
        <w:tc>
          <w:tcPr>
            <w:tcW w:w="610" w:type="dxa"/>
            <w:tcBorders>
              <w:top w:val="nil"/>
              <w:left w:val="nil"/>
              <w:bottom w:val="single" w:sz="4" w:space="0" w:color="auto"/>
              <w:right w:val="single" w:sz="4" w:space="0" w:color="auto"/>
            </w:tcBorders>
            <w:shd w:val="clear" w:color="auto" w:fill="auto"/>
            <w:noWrap/>
            <w:vAlign w:val="center"/>
            <w:hideMark/>
          </w:tcPr>
          <w:p w14:paraId="19E8B77A"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2017</w:t>
            </w:r>
          </w:p>
        </w:tc>
      </w:tr>
      <w:tr w:rsidR="001002DC" w:rsidRPr="001002DC" w14:paraId="1EDCFA4E" w14:textId="77777777" w:rsidTr="005953AE">
        <w:trPr>
          <w:cantSplit/>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DBDCA93"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X15</w:t>
            </w:r>
          </w:p>
        </w:tc>
        <w:tc>
          <w:tcPr>
            <w:tcW w:w="5302" w:type="dxa"/>
            <w:tcBorders>
              <w:top w:val="nil"/>
              <w:left w:val="nil"/>
              <w:bottom w:val="single" w:sz="4" w:space="0" w:color="auto"/>
              <w:right w:val="single" w:sz="4" w:space="0" w:color="auto"/>
            </w:tcBorders>
            <w:shd w:val="clear" w:color="auto" w:fill="auto"/>
            <w:noWrap/>
            <w:vAlign w:val="center"/>
            <w:hideMark/>
          </w:tcPr>
          <w:p w14:paraId="35114E7B" w14:textId="77777777" w:rsidR="001002DC" w:rsidRPr="001002DC" w:rsidRDefault="001002DC" w:rsidP="00F078D5">
            <w:pPr>
              <w:spacing w:after="0" w:line="240" w:lineRule="auto"/>
              <w:jc w:val="both"/>
              <w:rPr>
                <w:rFonts w:ascii="Candara" w:eastAsia="Times New Roman" w:hAnsi="Candara" w:cs="Times New Roman"/>
                <w:color w:val="000000"/>
              </w:rPr>
            </w:pPr>
            <w:r w:rsidRPr="001002DC">
              <w:rPr>
                <w:rFonts w:ascii="Candara" w:eastAsia="Times New Roman" w:hAnsi="Candara" w:cs="Times New Roman"/>
                <w:color w:val="000000"/>
              </w:rPr>
              <w:t>Número de estabelecimentos agropecuários que faz uso de agrotóxicos (Unidades)</w:t>
            </w:r>
          </w:p>
        </w:tc>
        <w:tc>
          <w:tcPr>
            <w:tcW w:w="2031" w:type="dxa"/>
            <w:tcBorders>
              <w:top w:val="nil"/>
              <w:left w:val="nil"/>
              <w:bottom w:val="single" w:sz="4" w:space="0" w:color="auto"/>
              <w:right w:val="single" w:sz="4" w:space="0" w:color="auto"/>
            </w:tcBorders>
            <w:shd w:val="clear" w:color="auto" w:fill="auto"/>
            <w:noWrap/>
            <w:vAlign w:val="center"/>
            <w:hideMark/>
          </w:tcPr>
          <w:p w14:paraId="73FC9FCB"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IBGE-CENSO AGROPECUÁRIO</w:t>
            </w:r>
          </w:p>
        </w:tc>
        <w:tc>
          <w:tcPr>
            <w:tcW w:w="610" w:type="dxa"/>
            <w:tcBorders>
              <w:top w:val="nil"/>
              <w:left w:val="nil"/>
              <w:bottom w:val="single" w:sz="4" w:space="0" w:color="auto"/>
              <w:right w:val="single" w:sz="4" w:space="0" w:color="auto"/>
            </w:tcBorders>
            <w:shd w:val="clear" w:color="auto" w:fill="auto"/>
            <w:noWrap/>
            <w:vAlign w:val="center"/>
            <w:hideMark/>
          </w:tcPr>
          <w:p w14:paraId="3D8B2A27"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2017</w:t>
            </w:r>
          </w:p>
        </w:tc>
      </w:tr>
      <w:tr w:rsidR="001002DC" w:rsidRPr="001002DC" w14:paraId="500546FF" w14:textId="77777777" w:rsidTr="005953AE">
        <w:trPr>
          <w:cantSplit/>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E7B378A"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X16</w:t>
            </w:r>
          </w:p>
        </w:tc>
        <w:tc>
          <w:tcPr>
            <w:tcW w:w="5302" w:type="dxa"/>
            <w:tcBorders>
              <w:top w:val="nil"/>
              <w:left w:val="nil"/>
              <w:bottom w:val="single" w:sz="4" w:space="0" w:color="auto"/>
              <w:right w:val="single" w:sz="4" w:space="0" w:color="auto"/>
            </w:tcBorders>
            <w:shd w:val="clear" w:color="auto" w:fill="auto"/>
            <w:noWrap/>
            <w:vAlign w:val="center"/>
            <w:hideMark/>
          </w:tcPr>
          <w:p w14:paraId="780E5B42" w14:textId="77777777" w:rsidR="001002DC" w:rsidRPr="001002DC" w:rsidRDefault="001002DC" w:rsidP="00F078D5">
            <w:pPr>
              <w:spacing w:after="0" w:line="240" w:lineRule="auto"/>
              <w:jc w:val="both"/>
              <w:rPr>
                <w:rFonts w:ascii="Candara" w:eastAsia="Times New Roman" w:hAnsi="Candara" w:cs="Times New Roman"/>
                <w:color w:val="000000"/>
              </w:rPr>
            </w:pPr>
            <w:r w:rsidRPr="001002DC">
              <w:rPr>
                <w:rFonts w:ascii="Candara" w:eastAsia="Times New Roman" w:hAnsi="Candara" w:cs="Times New Roman"/>
                <w:color w:val="000000"/>
              </w:rPr>
              <w:t>Número de estabelecimentos agropecuários que faz uso de agricultura e/ou pecuária orgânica (Unidades)</w:t>
            </w:r>
          </w:p>
        </w:tc>
        <w:tc>
          <w:tcPr>
            <w:tcW w:w="2031" w:type="dxa"/>
            <w:tcBorders>
              <w:top w:val="nil"/>
              <w:left w:val="nil"/>
              <w:bottom w:val="single" w:sz="4" w:space="0" w:color="auto"/>
              <w:right w:val="single" w:sz="4" w:space="0" w:color="auto"/>
            </w:tcBorders>
            <w:shd w:val="clear" w:color="auto" w:fill="auto"/>
            <w:noWrap/>
            <w:vAlign w:val="center"/>
            <w:hideMark/>
          </w:tcPr>
          <w:p w14:paraId="59CFE0AC"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IBGE-CENSO AGROPECUÁRIO</w:t>
            </w:r>
          </w:p>
        </w:tc>
        <w:tc>
          <w:tcPr>
            <w:tcW w:w="610" w:type="dxa"/>
            <w:tcBorders>
              <w:top w:val="nil"/>
              <w:left w:val="nil"/>
              <w:bottom w:val="single" w:sz="4" w:space="0" w:color="auto"/>
              <w:right w:val="single" w:sz="4" w:space="0" w:color="auto"/>
            </w:tcBorders>
            <w:shd w:val="clear" w:color="auto" w:fill="auto"/>
            <w:noWrap/>
            <w:vAlign w:val="center"/>
            <w:hideMark/>
          </w:tcPr>
          <w:p w14:paraId="16EAFD54"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2017</w:t>
            </w:r>
          </w:p>
        </w:tc>
      </w:tr>
      <w:tr w:rsidR="001002DC" w:rsidRPr="001002DC" w14:paraId="6CEA7A2C" w14:textId="77777777" w:rsidTr="005953AE">
        <w:trPr>
          <w:cantSplit/>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581896A"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lastRenderedPageBreak/>
              <w:t>X17</w:t>
            </w:r>
          </w:p>
        </w:tc>
        <w:tc>
          <w:tcPr>
            <w:tcW w:w="5302" w:type="dxa"/>
            <w:tcBorders>
              <w:top w:val="nil"/>
              <w:left w:val="nil"/>
              <w:bottom w:val="single" w:sz="4" w:space="0" w:color="auto"/>
              <w:right w:val="single" w:sz="4" w:space="0" w:color="auto"/>
            </w:tcBorders>
            <w:shd w:val="clear" w:color="auto" w:fill="auto"/>
            <w:noWrap/>
            <w:vAlign w:val="center"/>
            <w:hideMark/>
          </w:tcPr>
          <w:p w14:paraId="05818D1D" w14:textId="77777777" w:rsidR="001002DC" w:rsidRPr="001002DC" w:rsidRDefault="001002DC" w:rsidP="00F078D5">
            <w:pPr>
              <w:spacing w:after="0" w:line="240" w:lineRule="auto"/>
              <w:jc w:val="both"/>
              <w:rPr>
                <w:rFonts w:ascii="Candara" w:eastAsia="Times New Roman" w:hAnsi="Candara" w:cs="Times New Roman"/>
                <w:color w:val="000000"/>
              </w:rPr>
            </w:pPr>
            <w:r w:rsidRPr="001002DC">
              <w:rPr>
                <w:rFonts w:ascii="Candara" w:eastAsia="Times New Roman" w:hAnsi="Candara" w:cs="Times New Roman"/>
                <w:color w:val="000000"/>
              </w:rPr>
              <w:t>Número de estabelecimentos agropecuários que faz uso de irrigação (Unidades)</w:t>
            </w:r>
          </w:p>
        </w:tc>
        <w:tc>
          <w:tcPr>
            <w:tcW w:w="2031" w:type="dxa"/>
            <w:tcBorders>
              <w:top w:val="nil"/>
              <w:left w:val="nil"/>
              <w:bottom w:val="single" w:sz="4" w:space="0" w:color="auto"/>
              <w:right w:val="single" w:sz="4" w:space="0" w:color="auto"/>
            </w:tcBorders>
            <w:shd w:val="clear" w:color="auto" w:fill="auto"/>
            <w:noWrap/>
            <w:vAlign w:val="center"/>
            <w:hideMark/>
          </w:tcPr>
          <w:p w14:paraId="560F50B3"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IBGE-CENSO AGROPECUÁRIO</w:t>
            </w:r>
          </w:p>
        </w:tc>
        <w:tc>
          <w:tcPr>
            <w:tcW w:w="610" w:type="dxa"/>
            <w:tcBorders>
              <w:top w:val="nil"/>
              <w:left w:val="nil"/>
              <w:bottom w:val="single" w:sz="4" w:space="0" w:color="auto"/>
              <w:right w:val="single" w:sz="4" w:space="0" w:color="auto"/>
            </w:tcBorders>
            <w:shd w:val="clear" w:color="auto" w:fill="auto"/>
            <w:noWrap/>
            <w:vAlign w:val="center"/>
            <w:hideMark/>
          </w:tcPr>
          <w:p w14:paraId="2497C197"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2017</w:t>
            </w:r>
          </w:p>
        </w:tc>
      </w:tr>
      <w:tr w:rsidR="001002DC" w:rsidRPr="001002DC" w14:paraId="47D36D6B" w14:textId="77777777" w:rsidTr="005953AE">
        <w:trPr>
          <w:cantSplit/>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A5DCC49"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X18</w:t>
            </w:r>
          </w:p>
        </w:tc>
        <w:tc>
          <w:tcPr>
            <w:tcW w:w="5302" w:type="dxa"/>
            <w:tcBorders>
              <w:top w:val="nil"/>
              <w:left w:val="nil"/>
              <w:bottom w:val="single" w:sz="4" w:space="0" w:color="auto"/>
              <w:right w:val="single" w:sz="4" w:space="0" w:color="auto"/>
            </w:tcBorders>
            <w:shd w:val="clear" w:color="auto" w:fill="auto"/>
            <w:noWrap/>
            <w:vAlign w:val="center"/>
            <w:hideMark/>
          </w:tcPr>
          <w:p w14:paraId="7B7318B5" w14:textId="77777777" w:rsidR="001002DC" w:rsidRPr="001002DC" w:rsidRDefault="001002DC" w:rsidP="00F078D5">
            <w:pPr>
              <w:spacing w:after="0" w:line="240" w:lineRule="auto"/>
              <w:jc w:val="both"/>
              <w:rPr>
                <w:rFonts w:ascii="Candara" w:eastAsia="Times New Roman" w:hAnsi="Candara" w:cs="Times New Roman"/>
                <w:color w:val="000000"/>
              </w:rPr>
            </w:pPr>
            <w:r w:rsidRPr="001002DC">
              <w:rPr>
                <w:rFonts w:ascii="Candara" w:eastAsia="Times New Roman" w:hAnsi="Candara" w:cs="Times New Roman"/>
                <w:color w:val="000000"/>
              </w:rPr>
              <w:t>Número de estabelecimentos agropecuários com nascentes protegidas por matas (Unidades)</w:t>
            </w:r>
          </w:p>
        </w:tc>
        <w:tc>
          <w:tcPr>
            <w:tcW w:w="2031" w:type="dxa"/>
            <w:tcBorders>
              <w:top w:val="nil"/>
              <w:left w:val="nil"/>
              <w:bottom w:val="single" w:sz="4" w:space="0" w:color="auto"/>
              <w:right w:val="single" w:sz="4" w:space="0" w:color="auto"/>
            </w:tcBorders>
            <w:shd w:val="clear" w:color="auto" w:fill="auto"/>
            <w:noWrap/>
            <w:vAlign w:val="center"/>
            <w:hideMark/>
          </w:tcPr>
          <w:p w14:paraId="0987D244"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IBGE-CENSO AGROPECUÁRIO</w:t>
            </w:r>
          </w:p>
        </w:tc>
        <w:tc>
          <w:tcPr>
            <w:tcW w:w="610" w:type="dxa"/>
            <w:tcBorders>
              <w:top w:val="nil"/>
              <w:left w:val="nil"/>
              <w:bottom w:val="single" w:sz="4" w:space="0" w:color="auto"/>
              <w:right w:val="single" w:sz="4" w:space="0" w:color="auto"/>
            </w:tcBorders>
            <w:shd w:val="clear" w:color="auto" w:fill="auto"/>
            <w:noWrap/>
            <w:vAlign w:val="center"/>
            <w:hideMark/>
          </w:tcPr>
          <w:p w14:paraId="3A9A2D95"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2017</w:t>
            </w:r>
          </w:p>
        </w:tc>
      </w:tr>
      <w:tr w:rsidR="001002DC" w:rsidRPr="001002DC" w14:paraId="77A6E9A6" w14:textId="77777777" w:rsidTr="005953AE">
        <w:trPr>
          <w:cantSplit/>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51975DE"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X19</w:t>
            </w:r>
          </w:p>
        </w:tc>
        <w:tc>
          <w:tcPr>
            <w:tcW w:w="5302" w:type="dxa"/>
            <w:tcBorders>
              <w:top w:val="nil"/>
              <w:left w:val="nil"/>
              <w:bottom w:val="single" w:sz="4" w:space="0" w:color="auto"/>
              <w:right w:val="single" w:sz="4" w:space="0" w:color="auto"/>
            </w:tcBorders>
            <w:shd w:val="clear" w:color="auto" w:fill="auto"/>
            <w:noWrap/>
            <w:vAlign w:val="center"/>
            <w:hideMark/>
          </w:tcPr>
          <w:p w14:paraId="0CCB90E1" w14:textId="77777777" w:rsidR="001002DC" w:rsidRPr="001002DC" w:rsidRDefault="001002DC" w:rsidP="00F078D5">
            <w:pPr>
              <w:spacing w:after="0" w:line="240" w:lineRule="auto"/>
              <w:jc w:val="both"/>
              <w:rPr>
                <w:rFonts w:ascii="Candara" w:eastAsia="Times New Roman" w:hAnsi="Candara" w:cs="Times New Roman"/>
                <w:color w:val="000000"/>
              </w:rPr>
            </w:pPr>
            <w:r w:rsidRPr="001002DC">
              <w:rPr>
                <w:rFonts w:ascii="Candara" w:eastAsia="Times New Roman" w:hAnsi="Candara" w:cs="Times New Roman"/>
                <w:color w:val="000000"/>
              </w:rPr>
              <w:t>Número de estabelecimentos agropecuários com rios ou riachos protegidos por matas (Unidades)</w:t>
            </w:r>
          </w:p>
        </w:tc>
        <w:tc>
          <w:tcPr>
            <w:tcW w:w="2031" w:type="dxa"/>
            <w:tcBorders>
              <w:top w:val="nil"/>
              <w:left w:val="nil"/>
              <w:bottom w:val="single" w:sz="4" w:space="0" w:color="auto"/>
              <w:right w:val="single" w:sz="4" w:space="0" w:color="auto"/>
            </w:tcBorders>
            <w:shd w:val="clear" w:color="auto" w:fill="auto"/>
            <w:noWrap/>
            <w:vAlign w:val="center"/>
            <w:hideMark/>
          </w:tcPr>
          <w:p w14:paraId="7881C94C"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IBGE-CENSO AGROPECUÁRIO</w:t>
            </w:r>
          </w:p>
        </w:tc>
        <w:tc>
          <w:tcPr>
            <w:tcW w:w="610" w:type="dxa"/>
            <w:tcBorders>
              <w:top w:val="nil"/>
              <w:left w:val="nil"/>
              <w:bottom w:val="single" w:sz="4" w:space="0" w:color="auto"/>
              <w:right w:val="single" w:sz="4" w:space="0" w:color="auto"/>
            </w:tcBorders>
            <w:shd w:val="clear" w:color="auto" w:fill="auto"/>
            <w:noWrap/>
            <w:vAlign w:val="center"/>
            <w:hideMark/>
          </w:tcPr>
          <w:p w14:paraId="26146657"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2017</w:t>
            </w:r>
          </w:p>
        </w:tc>
      </w:tr>
      <w:tr w:rsidR="001002DC" w:rsidRPr="001002DC" w14:paraId="66C2A5AD" w14:textId="77777777" w:rsidTr="005953AE">
        <w:trPr>
          <w:cantSplit/>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95E8189"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X20</w:t>
            </w:r>
          </w:p>
        </w:tc>
        <w:tc>
          <w:tcPr>
            <w:tcW w:w="5302" w:type="dxa"/>
            <w:tcBorders>
              <w:top w:val="nil"/>
              <w:left w:val="nil"/>
              <w:bottom w:val="single" w:sz="4" w:space="0" w:color="auto"/>
              <w:right w:val="single" w:sz="4" w:space="0" w:color="auto"/>
            </w:tcBorders>
            <w:shd w:val="clear" w:color="auto" w:fill="auto"/>
            <w:noWrap/>
            <w:vAlign w:val="center"/>
            <w:hideMark/>
          </w:tcPr>
          <w:p w14:paraId="199C44E8" w14:textId="77777777" w:rsidR="001002DC" w:rsidRPr="001002DC" w:rsidRDefault="001002DC" w:rsidP="00F078D5">
            <w:pPr>
              <w:spacing w:after="0" w:line="240" w:lineRule="auto"/>
              <w:jc w:val="both"/>
              <w:rPr>
                <w:rFonts w:ascii="Candara" w:eastAsia="Times New Roman" w:hAnsi="Candara" w:cs="Times New Roman"/>
                <w:color w:val="000000"/>
              </w:rPr>
            </w:pPr>
            <w:r w:rsidRPr="001002DC">
              <w:rPr>
                <w:rFonts w:ascii="Candara" w:eastAsia="Times New Roman" w:hAnsi="Candara" w:cs="Times New Roman"/>
                <w:color w:val="000000"/>
              </w:rPr>
              <w:t>Número de estabelecimentos agropecuários com poços tubulares profundos jorrantes (Unidades)</w:t>
            </w:r>
          </w:p>
        </w:tc>
        <w:tc>
          <w:tcPr>
            <w:tcW w:w="2031" w:type="dxa"/>
            <w:tcBorders>
              <w:top w:val="nil"/>
              <w:left w:val="nil"/>
              <w:bottom w:val="single" w:sz="4" w:space="0" w:color="auto"/>
              <w:right w:val="single" w:sz="4" w:space="0" w:color="auto"/>
            </w:tcBorders>
            <w:shd w:val="clear" w:color="auto" w:fill="auto"/>
            <w:noWrap/>
            <w:vAlign w:val="center"/>
            <w:hideMark/>
          </w:tcPr>
          <w:p w14:paraId="1B0C2D7C"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IBGE-CENSO AGROPECUÁRIO</w:t>
            </w:r>
          </w:p>
        </w:tc>
        <w:tc>
          <w:tcPr>
            <w:tcW w:w="610" w:type="dxa"/>
            <w:tcBorders>
              <w:top w:val="nil"/>
              <w:left w:val="nil"/>
              <w:bottom w:val="single" w:sz="4" w:space="0" w:color="auto"/>
              <w:right w:val="single" w:sz="4" w:space="0" w:color="auto"/>
            </w:tcBorders>
            <w:shd w:val="clear" w:color="auto" w:fill="auto"/>
            <w:noWrap/>
            <w:vAlign w:val="center"/>
            <w:hideMark/>
          </w:tcPr>
          <w:p w14:paraId="3D39A02D"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2017</w:t>
            </w:r>
          </w:p>
        </w:tc>
      </w:tr>
      <w:tr w:rsidR="001002DC" w:rsidRPr="001002DC" w14:paraId="04D92B8E" w14:textId="77777777" w:rsidTr="005953AE">
        <w:trPr>
          <w:cantSplit/>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45ADB0D"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X21</w:t>
            </w:r>
          </w:p>
        </w:tc>
        <w:tc>
          <w:tcPr>
            <w:tcW w:w="5302" w:type="dxa"/>
            <w:tcBorders>
              <w:top w:val="nil"/>
              <w:left w:val="nil"/>
              <w:bottom w:val="single" w:sz="4" w:space="0" w:color="auto"/>
              <w:right w:val="single" w:sz="4" w:space="0" w:color="auto"/>
            </w:tcBorders>
            <w:shd w:val="clear" w:color="auto" w:fill="auto"/>
            <w:noWrap/>
            <w:vAlign w:val="center"/>
            <w:hideMark/>
          </w:tcPr>
          <w:p w14:paraId="3C926F91" w14:textId="77777777" w:rsidR="001002DC" w:rsidRPr="001002DC" w:rsidRDefault="001002DC" w:rsidP="00F078D5">
            <w:pPr>
              <w:spacing w:after="0" w:line="240" w:lineRule="auto"/>
              <w:jc w:val="both"/>
              <w:rPr>
                <w:rFonts w:ascii="Candara" w:eastAsia="Times New Roman" w:hAnsi="Candara" w:cs="Times New Roman"/>
                <w:color w:val="000000"/>
              </w:rPr>
            </w:pPr>
            <w:r w:rsidRPr="001002DC">
              <w:rPr>
                <w:rFonts w:ascii="Candara" w:eastAsia="Times New Roman" w:hAnsi="Candara" w:cs="Times New Roman"/>
                <w:color w:val="000000"/>
              </w:rPr>
              <w:t>Número de estabelecimentos agropecuários com poços tubulares profundos não jorrantes (Unidades)</w:t>
            </w:r>
          </w:p>
        </w:tc>
        <w:tc>
          <w:tcPr>
            <w:tcW w:w="2031" w:type="dxa"/>
            <w:tcBorders>
              <w:top w:val="nil"/>
              <w:left w:val="nil"/>
              <w:bottom w:val="single" w:sz="4" w:space="0" w:color="auto"/>
              <w:right w:val="single" w:sz="4" w:space="0" w:color="auto"/>
            </w:tcBorders>
            <w:shd w:val="clear" w:color="auto" w:fill="auto"/>
            <w:noWrap/>
            <w:vAlign w:val="center"/>
            <w:hideMark/>
          </w:tcPr>
          <w:p w14:paraId="58CEF274"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IBGE-CENSO AGROPECUÁRIO</w:t>
            </w:r>
          </w:p>
        </w:tc>
        <w:tc>
          <w:tcPr>
            <w:tcW w:w="610" w:type="dxa"/>
            <w:tcBorders>
              <w:top w:val="nil"/>
              <w:left w:val="nil"/>
              <w:bottom w:val="single" w:sz="4" w:space="0" w:color="auto"/>
              <w:right w:val="single" w:sz="4" w:space="0" w:color="auto"/>
            </w:tcBorders>
            <w:shd w:val="clear" w:color="auto" w:fill="auto"/>
            <w:noWrap/>
            <w:vAlign w:val="center"/>
            <w:hideMark/>
          </w:tcPr>
          <w:p w14:paraId="163831BF"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2017</w:t>
            </w:r>
          </w:p>
        </w:tc>
      </w:tr>
      <w:tr w:rsidR="001002DC" w:rsidRPr="001002DC" w14:paraId="314B8602" w14:textId="77777777" w:rsidTr="005953AE">
        <w:trPr>
          <w:cantSplit/>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A689EC9"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X22</w:t>
            </w:r>
          </w:p>
        </w:tc>
        <w:tc>
          <w:tcPr>
            <w:tcW w:w="5302" w:type="dxa"/>
            <w:tcBorders>
              <w:top w:val="nil"/>
              <w:left w:val="nil"/>
              <w:bottom w:val="single" w:sz="4" w:space="0" w:color="auto"/>
              <w:right w:val="single" w:sz="4" w:space="0" w:color="auto"/>
            </w:tcBorders>
            <w:shd w:val="clear" w:color="auto" w:fill="auto"/>
            <w:noWrap/>
            <w:vAlign w:val="center"/>
            <w:hideMark/>
          </w:tcPr>
          <w:p w14:paraId="3AA04156" w14:textId="77777777" w:rsidR="001002DC" w:rsidRPr="001002DC" w:rsidRDefault="001002DC" w:rsidP="00F078D5">
            <w:pPr>
              <w:spacing w:after="0" w:line="240" w:lineRule="auto"/>
              <w:jc w:val="both"/>
              <w:rPr>
                <w:rFonts w:ascii="Candara" w:eastAsia="Times New Roman" w:hAnsi="Candara" w:cs="Times New Roman"/>
                <w:color w:val="000000"/>
              </w:rPr>
            </w:pPr>
            <w:r w:rsidRPr="001002DC">
              <w:rPr>
                <w:rFonts w:ascii="Candara" w:eastAsia="Times New Roman" w:hAnsi="Candara" w:cs="Times New Roman"/>
                <w:color w:val="000000"/>
              </w:rPr>
              <w:t>Número de estabelecimentos agropecuários que obtiveram receitas com recebimento de pagamento por serviços ambientais - Bolsa Verde e Programas Estaduais (Unidades)</w:t>
            </w:r>
          </w:p>
        </w:tc>
        <w:tc>
          <w:tcPr>
            <w:tcW w:w="2031" w:type="dxa"/>
            <w:tcBorders>
              <w:top w:val="nil"/>
              <w:left w:val="nil"/>
              <w:bottom w:val="single" w:sz="4" w:space="0" w:color="auto"/>
              <w:right w:val="single" w:sz="4" w:space="0" w:color="auto"/>
            </w:tcBorders>
            <w:shd w:val="clear" w:color="auto" w:fill="auto"/>
            <w:noWrap/>
            <w:vAlign w:val="center"/>
            <w:hideMark/>
          </w:tcPr>
          <w:p w14:paraId="30F7628D"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IBGE-CENSO AGROPECUÁRIO</w:t>
            </w:r>
          </w:p>
        </w:tc>
        <w:tc>
          <w:tcPr>
            <w:tcW w:w="610" w:type="dxa"/>
            <w:tcBorders>
              <w:top w:val="nil"/>
              <w:left w:val="nil"/>
              <w:bottom w:val="single" w:sz="4" w:space="0" w:color="auto"/>
              <w:right w:val="single" w:sz="4" w:space="0" w:color="auto"/>
            </w:tcBorders>
            <w:shd w:val="clear" w:color="auto" w:fill="auto"/>
            <w:noWrap/>
            <w:vAlign w:val="center"/>
            <w:hideMark/>
          </w:tcPr>
          <w:p w14:paraId="1D8C7AB0"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2017</w:t>
            </w:r>
          </w:p>
        </w:tc>
      </w:tr>
      <w:tr w:rsidR="001002DC" w:rsidRPr="001002DC" w14:paraId="3C726071" w14:textId="77777777" w:rsidTr="005953AE">
        <w:trPr>
          <w:cantSplit/>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960CCEC"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X23</w:t>
            </w:r>
          </w:p>
        </w:tc>
        <w:tc>
          <w:tcPr>
            <w:tcW w:w="5302" w:type="dxa"/>
            <w:tcBorders>
              <w:top w:val="nil"/>
              <w:left w:val="nil"/>
              <w:bottom w:val="single" w:sz="4" w:space="0" w:color="auto"/>
              <w:right w:val="single" w:sz="4" w:space="0" w:color="auto"/>
            </w:tcBorders>
            <w:shd w:val="clear" w:color="auto" w:fill="auto"/>
            <w:noWrap/>
            <w:vAlign w:val="center"/>
            <w:hideMark/>
          </w:tcPr>
          <w:p w14:paraId="51A25D8A" w14:textId="77777777" w:rsidR="001002DC" w:rsidRPr="001002DC" w:rsidRDefault="001002DC" w:rsidP="00F078D5">
            <w:pPr>
              <w:spacing w:after="0" w:line="240" w:lineRule="auto"/>
              <w:jc w:val="both"/>
              <w:rPr>
                <w:rFonts w:ascii="Candara" w:eastAsia="Times New Roman" w:hAnsi="Candara" w:cs="Times New Roman"/>
                <w:color w:val="000000"/>
              </w:rPr>
            </w:pPr>
            <w:r w:rsidRPr="001002DC">
              <w:rPr>
                <w:rFonts w:ascii="Candara" w:eastAsia="Times New Roman" w:hAnsi="Candara" w:cs="Times New Roman"/>
                <w:color w:val="000000"/>
              </w:rPr>
              <w:t>Variação percentual da área com pastagem no período de 1985 a 2021 (Hectares)</w:t>
            </w:r>
          </w:p>
        </w:tc>
        <w:tc>
          <w:tcPr>
            <w:tcW w:w="2031" w:type="dxa"/>
            <w:tcBorders>
              <w:top w:val="nil"/>
              <w:left w:val="nil"/>
              <w:bottom w:val="single" w:sz="4" w:space="0" w:color="auto"/>
              <w:right w:val="single" w:sz="4" w:space="0" w:color="auto"/>
            </w:tcBorders>
            <w:shd w:val="clear" w:color="auto" w:fill="auto"/>
            <w:noWrap/>
            <w:vAlign w:val="center"/>
            <w:hideMark/>
          </w:tcPr>
          <w:p w14:paraId="5CEB4EDF"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LAPIG-UFG</w:t>
            </w:r>
          </w:p>
        </w:tc>
        <w:tc>
          <w:tcPr>
            <w:tcW w:w="610" w:type="dxa"/>
            <w:tcBorders>
              <w:top w:val="nil"/>
              <w:left w:val="nil"/>
              <w:bottom w:val="single" w:sz="4" w:space="0" w:color="auto"/>
              <w:right w:val="single" w:sz="4" w:space="0" w:color="auto"/>
            </w:tcBorders>
            <w:shd w:val="clear" w:color="auto" w:fill="auto"/>
            <w:noWrap/>
            <w:vAlign w:val="center"/>
            <w:hideMark/>
          </w:tcPr>
          <w:p w14:paraId="4A3DB5C0"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1985-2021</w:t>
            </w:r>
          </w:p>
        </w:tc>
      </w:tr>
      <w:tr w:rsidR="001002DC" w:rsidRPr="001002DC" w14:paraId="3F03BEFC" w14:textId="77777777" w:rsidTr="005953AE">
        <w:trPr>
          <w:cantSplit/>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AEA92CA"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X24</w:t>
            </w:r>
          </w:p>
        </w:tc>
        <w:tc>
          <w:tcPr>
            <w:tcW w:w="5302" w:type="dxa"/>
            <w:tcBorders>
              <w:top w:val="nil"/>
              <w:left w:val="nil"/>
              <w:bottom w:val="single" w:sz="4" w:space="0" w:color="auto"/>
              <w:right w:val="single" w:sz="4" w:space="0" w:color="auto"/>
            </w:tcBorders>
            <w:shd w:val="clear" w:color="auto" w:fill="auto"/>
            <w:noWrap/>
            <w:vAlign w:val="center"/>
            <w:hideMark/>
          </w:tcPr>
          <w:p w14:paraId="640E0AA6" w14:textId="77777777" w:rsidR="001002DC" w:rsidRPr="001002DC" w:rsidRDefault="001002DC" w:rsidP="00F078D5">
            <w:pPr>
              <w:spacing w:after="0" w:line="240" w:lineRule="auto"/>
              <w:jc w:val="both"/>
              <w:rPr>
                <w:rFonts w:ascii="Candara" w:eastAsia="Times New Roman" w:hAnsi="Candara" w:cs="Times New Roman"/>
                <w:color w:val="000000"/>
              </w:rPr>
            </w:pPr>
            <w:r w:rsidRPr="001002DC">
              <w:rPr>
                <w:rFonts w:ascii="Candara" w:eastAsia="Times New Roman" w:hAnsi="Candara" w:cs="Times New Roman"/>
                <w:color w:val="000000"/>
              </w:rPr>
              <w:t>Variação percentual da área com floresta no período de 1985 a 2021 (Hectares)</w:t>
            </w:r>
          </w:p>
        </w:tc>
        <w:tc>
          <w:tcPr>
            <w:tcW w:w="2031" w:type="dxa"/>
            <w:tcBorders>
              <w:top w:val="nil"/>
              <w:left w:val="nil"/>
              <w:bottom w:val="single" w:sz="4" w:space="0" w:color="auto"/>
              <w:right w:val="single" w:sz="4" w:space="0" w:color="auto"/>
            </w:tcBorders>
            <w:shd w:val="clear" w:color="auto" w:fill="auto"/>
            <w:noWrap/>
            <w:vAlign w:val="center"/>
            <w:hideMark/>
          </w:tcPr>
          <w:p w14:paraId="09BB7626"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MAPBIOMAS BRASIL</w:t>
            </w:r>
          </w:p>
        </w:tc>
        <w:tc>
          <w:tcPr>
            <w:tcW w:w="610" w:type="dxa"/>
            <w:tcBorders>
              <w:top w:val="nil"/>
              <w:left w:val="nil"/>
              <w:bottom w:val="single" w:sz="4" w:space="0" w:color="auto"/>
              <w:right w:val="single" w:sz="4" w:space="0" w:color="auto"/>
            </w:tcBorders>
            <w:shd w:val="clear" w:color="auto" w:fill="auto"/>
            <w:noWrap/>
            <w:vAlign w:val="center"/>
            <w:hideMark/>
          </w:tcPr>
          <w:p w14:paraId="77B03C3C"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1985-2021</w:t>
            </w:r>
          </w:p>
        </w:tc>
      </w:tr>
      <w:tr w:rsidR="001002DC" w:rsidRPr="001002DC" w14:paraId="35806BA1" w14:textId="77777777" w:rsidTr="005953AE">
        <w:trPr>
          <w:cantSplit/>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DC2A6B0"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X25</w:t>
            </w:r>
          </w:p>
        </w:tc>
        <w:tc>
          <w:tcPr>
            <w:tcW w:w="5302" w:type="dxa"/>
            <w:tcBorders>
              <w:top w:val="nil"/>
              <w:left w:val="nil"/>
              <w:bottom w:val="single" w:sz="4" w:space="0" w:color="auto"/>
              <w:right w:val="single" w:sz="4" w:space="0" w:color="auto"/>
            </w:tcBorders>
            <w:shd w:val="clear" w:color="auto" w:fill="auto"/>
            <w:noWrap/>
            <w:vAlign w:val="center"/>
            <w:hideMark/>
          </w:tcPr>
          <w:p w14:paraId="7F8158F1" w14:textId="77777777" w:rsidR="001002DC" w:rsidRPr="001002DC" w:rsidRDefault="001002DC" w:rsidP="00F078D5">
            <w:pPr>
              <w:spacing w:after="0" w:line="240" w:lineRule="auto"/>
              <w:jc w:val="both"/>
              <w:rPr>
                <w:rFonts w:ascii="Candara" w:eastAsia="Times New Roman" w:hAnsi="Candara" w:cs="Times New Roman"/>
                <w:color w:val="000000"/>
              </w:rPr>
            </w:pPr>
            <w:r w:rsidRPr="001002DC">
              <w:rPr>
                <w:rFonts w:ascii="Candara" w:eastAsia="Times New Roman" w:hAnsi="Candara" w:cs="Times New Roman"/>
                <w:color w:val="000000"/>
              </w:rPr>
              <w:t xml:space="preserve">Variação percentual da área cultivada com lavoura temporária de 1985 a 2021 (Hectares) </w:t>
            </w:r>
          </w:p>
        </w:tc>
        <w:tc>
          <w:tcPr>
            <w:tcW w:w="2031" w:type="dxa"/>
            <w:tcBorders>
              <w:top w:val="nil"/>
              <w:left w:val="nil"/>
              <w:bottom w:val="single" w:sz="4" w:space="0" w:color="auto"/>
              <w:right w:val="single" w:sz="4" w:space="0" w:color="auto"/>
            </w:tcBorders>
            <w:shd w:val="clear" w:color="auto" w:fill="auto"/>
            <w:noWrap/>
            <w:vAlign w:val="center"/>
            <w:hideMark/>
          </w:tcPr>
          <w:p w14:paraId="203E1FCC"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MAPBIOMAS BRASIL</w:t>
            </w:r>
          </w:p>
        </w:tc>
        <w:tc>
          <w:tcPr>
            <w:tcW w:w="610" w:type="dxa"/>
            <w:tcBorders>
              <w:top w:val="nil"/>
              <w:left w:val="nil"/>
              <w:bottom w:val="single" w:sz="4" w:space="0" w:color="auto"/>
              <w:right w:val="single" w:sz="4" w:space="0" w:color="auto"/>
            </w:tcBorders>
            <w:shd w:val="clear" w:color="auto" w:fill="auto"/>
            <w:noWrap/>
            <w:vAlign w:val="center"/>
            <w:hideMark/>
          </w:tcPr>
          <w:p w14:paraId="0A568D89"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1985-2021</w:t>
            </w:r>
          </w:p>
        </w:tc>
      </w:tr>
      <w:tr w:rsidR="001002DC" w:rsidRPr="001002DC" w14:paraId="3687C917" w14:textId="77777777" w:rsidTr="005953AE">
        <w:trPr>
          <w:cantSplit/>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AADD56F"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X26</w:t>
            </w:r>
          </w:p>
        </w:tc>
        <w:tc>
          <w:tcPr>
            <w:tcW w:w="5302" w:type="dxa"/>
            <w:tcBorders>
              <w:top w:val="nil"/>
              <w:left w:val="nil"/>
              <w:bottom w:val="single" w:sz="4" w:space="0" w:color="auto"/>
              <w:right w:val="single" w:sz="4" w:space="0" w:color="auto"/>
            </w:tcBorders>
            <w:shd w:val="clear" w:color="auto" w:fill="auto"/>
            <w:noWrap/>
            <w:vAlign w:val="center"/>
            <w:hideMark/>
          </w:tcPr>
          <w:p w14:paraId="19E1C3EA" w14:textId="77777777" w:rsidR="001002DC" w:rsidRPr="001002DC" w:rsidRDefault="001002DC" w:rsidP="00F078D5">
            <w:pPr>
              <w:spacing w:after="0" w:line="240" w:lineRule="auto"/>
              <w:jc w:val="both"/>
              <w:rPr>
                <w:rFonts w:ascii="Candara" w:eastAsia="Times New Roman" w:hAnsi="Candara" w:cs="Times New Roman"/>
                <w:color w:val="000000"/>
              </w:rPr>
            </w:pPr>
            <w:r w:rsidRPr="001002DC">
              <w:rPr>
                <w:rFonts w:ascii="Candara" w:eastAsia="Times New Roman" w:hAnsi="Candara" w:cs="Times New Roman"/>
                <w:color w:val="000000"/>
              </w:rPr>
              <w:t>Área cultivada com lavoura perene no ano de 2021 (Hectares)</w:t>
            </w:r>
          </w:p>
        </w:tc>
        <w:tc>
          <w:tcPr>
            <w:tcW w:w="2031" w:type="dxa"/>
            <w:tcBorders>
              <w:top w:val="nil"/>
              <w:left w:val="nil"/>
              <w:bottom w:val="single" w:sz="4" w:space="0" w:color="auto"/>
              <w:right w:val="single" w:sz="4" w:space="0" w:color="auto"/>
            </w:tcBorders>
            <w:shd w:val="clear" w:color="auto" w:fill="auto"/>
            <w:noWrap/>
            <w:vAlign w:val="center"/>
            <w:hideMark/>
          </w:tcPr>
          <w:p w14:paraId="0525B184"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MAPBIOMAS BRASIL</w:t>
            </w:r>
          </w:p>
        </w:tc>
        <w:tc>
          <w:tcPr>
            <w:tcW w:w="610" w:type="dxa"/>
            <w:tcBorders>
              <w:top w:val="nil"/>
              <w:left w:val="nil"/>
              <w:bottom w:val="single" w:sz="4" w:space="0" w:color="auto"/>
              <w:right w:val="single" w:sz="4" w:space="0" w:color="auto"/>
            </w:tcBorders>
            <w:shd w:val="clear" w:color="auto" w:fill="auto"/>
            <w:noWrap/>
            <w:vAlign w:val="center"/>
            <w:hideMark/>
          </w:tcPr>
          <w:p w14:paraId="1217CFB3"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2021</w:t>
            </w:r>
          </w:p>
        </w:tc>
      </w:tr>
      <w:tr w:rsidR="001002DC" w:rsidRPr="001002DC" w14:paraId="2F01C9F9" w14:textId="77777777" w:rsidTr="005953AE">
        <w:trPr>
          <w:cantSplit/>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23A40A3"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X27</w:t>
            </w:r>
          </w:p>
        </w:tc>
        <w:tc>
          <w:tcPr>
            <w:tcW w:w="5302" w:type="dxa"/>
            <w:tcBorders>
              <w:top w:val="nil"/>
              <w:left w:val="nil"/>
              <w:bottom w:val="single" w:sz="4" w:space="0" w:color="auto"/>
              <w:right w:val="single" w:sz="4" w:space="0" w:color="auto"/>
            </w:tcBorders>
            <w:shd w:val="clear" w:color="auto" w:fill="auto"/>
            <w:noWrap/>
            <w:vAlign w:val="center"/>
            <w:hideMark/>
          </w:tcPr>
          <w:p w14:paraId="5FCE796A" w14:textId="77777777" w:rsidR="001002DC" w:rsidRPr="001002DC" w:rsidRDefault="001002DC" w:rsidP="00F078D5">
            <w:pPr>
              <w:spacing w:after="0" w:line="240" w:lineRule="auto"/>
              <w:jc w:val="both"/>
              <w:rPr>
                <w:rFonts w:ascii="Candara" w:eastAsia="Times New Roman" w:hAnsi="Candara" w:cs="Times New Roman"/>
                <w:color w:val="000000"/>
              </w:rPr>
            </w:pPr>
            <w:r w:rsidRPr="001002DC">
              <w:rPr>
                <w:rFonts w:ascii="Candara" w:eastAsia="Times New Roman" w:hAnsi="Candara" w:cs="Times New Roman"/>
                <w:color w:val="000000"/>
              </w:rPr>
              <w:t xml:space="preserve">Variação percentual da área de Corpos D`água - Rios, lagos, represas, reservatórios e outros corpos d'água de 1985 a 2021 (Hectares) </w:t>
            </w:r>
          </w:p>
        </w:tc>
        <w:tc>
          <w:tcPr>
            <w:tcW w:w="2031" w:type="dxa"/>
            <w:tcBorders>
              <w:top w:val="nil"/>
              <w:left w:val="nil"/>
              <w:bottom w:val="single" w:sz="4" w:space="0" w:color="auto"/>
              <w:right w:val="single" w:sz="4" w:space="0" w:color="auto"/>
            </w:tcBorders>
            <w:shd w:val="clear" w:color="auto" w:fill="auto"/>
            <w:noWrap/>
            <w:vAlign w:val="center"/>
            <w:hideMark/>
          </w:tcPr>
          <w:p w14:paraId="0F14CD4C"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MAPBIOMAS BRASIL</w:t>
            </w:r>
          </w:p>
        </w:tc>
        <w:tc>
          <w:tcPr>
            <w:tcW w:w="610" w:type="dxa"/>
            <w:tcBorders>
              <w:top w:val="nil"/>
              <w:left w:val="nil"/>
              <w:bottom w:val="single" w:sz="4" w:space="0" w:color="auto"/>
              <w:right w:val="single" w:sz="4" w:space="0" w:color="auto"/>
            </w:tcBorders>
            <w:shd w:val="clear" w:color="auto" w:fill="auto"/>
            <w:noWrap/>
            <w:vAlign w:val="center"/>
            <w:hideMark/>
          </w:tcPr>
          <w:p w14:paraId="2C14A4C4"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1985-2021</w:t>
            </w:r>
          </w:p>
        </w:tc>
      </w:tr>
    </w:tbl>
    <w:p w14:paraId="72AE15F8" w14:textId="77777777" w:rsidR="001002DC" w:rsidRPr="00220ECE" w:rsidRDefault="001002DC" w:rsidP="001002DC">
      <w:pPr>
        <w:tabs>
          <w:tab w:val="left" w:pos="2505"/>
        </w:tabs>
        <w:spacing w:after="0" w:line="240" w:lineRule="auto"/>
        <w:jc w:val="both"/>
        <w:rPr>
          <w:rFonts w:ascii="Candara" w:hAnsi="Candara" w:cs="Times New Roman"/>
          <w:sz w:val="20"/>
          <w:szCs w:val="20"/>
        </w:rPr>
      </w:pPr>
      <w:r w:rsidRPr="00220ECE">
        <w:rPr>
          <w:rFonts w:ascii="Candara" w:hAnsi="Candara" w:cs="Times New Roman"/>
          <w:sz w:val="20"/>
          <w:szCs w:val="20"/>
        </w:rPr>
        <w:t xml:space="preserve">Fonte: Elaborado pelos autores a partir de fontes diversas (2023).    </w:t>
      </w:r>
      <w:r w:rsidRPr="00220ECE">
        <w:rPr>
          <w:rFonts w:ascii="Candara" w:hAnsi="Candara" w:cs="Times New Roman"/>
          <w:sz w:val="20"/>
          <w:szCs w:val="20"/>
        </w:rPr>
        <w:tab/>
      </w:r>
    </w:p>
    <w:p w14:paraId="6C3A9542" w14:textId="77777777" w:rsidR="001002DC" w:rsidRDefault="001002DC" w:rsidP="001002DC">
      <w:pPr>
        <w:pBdr>
          <w:top w:val="nil"/>
          <w:left w:val="nil"/>
          <w:bottom w:val="nil"/>
          <w:right w:val="nil"/>
          <w:between w:val="nil"/>
        </w:pBdr>
        <w:spacing w:after="0" w:line="360" w:lineRule="auto"/>
        <w:jc w:val="both"/>
        <w:rPr>
          <w:rFonts w:ascii="Candara" w:eastAsia="Candara" w:hAnsi="Candara" w:cs="Candara"/>
          <w:color w:val="000000"/>
          <w:sz w:val="28"/>
          <w:szCs w:val="28"/>
        </w:rPr>
      </w:pPr>
    </w:p>
    <w:p w14:paraId="3CF05385" w14:textId="3EB6EBA4" w:rsidR="00590FBF" w:rsidRDefault="00654EAC" w:rsidP="00C42C8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P</w:t>
      </w:r>
      <w:r w:rsidRPr="001002DC">
        <w:rPr>
          <w:rFonts w:ascii="Candara" w:eastAsia="Candara" w:hAnsi="Candara" w:cs="Candara"/>
          <w:color w:val="000000"/>
          <w:sz w:val="24"/>
          <w:szCs w:val="24"/>
        </w:rPr>
        <w:t xml:space="preserve">ara realizar o tratamento estatístico desse conjunto de variáveis, fez-se o uso do software IBM SPSS Statistics (versão 21). Por meio deste procedimento foi possível fazer inferências para melhor interpretação da análise fatorial e de agrupamentos. </w:t>
      </w:r>
    </w:p>
    <w:p w14:paraId="1D9C4310" w14:textId="114D8250" w:rsidR="001002DC" w:rsidRPr="00E010E1" w:rsidRDefault="00C42C86" w:rsidP="00E010E1">
      <w:pPr>
        <w:pStyle w:val="PargrafodaLista"/>
        <w:numPr>
          <w:ilvl w:val="0"/>
          <w:numId w:val="2"/>
        </w:numPr>
        <w:pBdr>
          <w:top w:val="nil"/>
          <w:left w:val="nil"/>
          <w:bottom w:val="nil"/>
          <w:right w:val="nil"/>
          <w:between w:val="nil"/>
        </w:pBdr>
        <w:tabs>
          <w:tab w:val="left" w:pos="1134"/>
        </w:tabs>
        <w:spacing w:after="120" w:line="360" w:lineRule="auto"/>
        <w:ind w:left="0" w:firstLine="851"/>
        <w:jc w:val="both"/>
        <w:rPr>
          <w:rFonts w:ascii="Candara" w:eastAsia="Candara" w:hAnsi="Candara" w:cs="Candara"/>
          <w:color w:val="000000"/>
          <w:sz w:val="28"/>
          <w:szCs w:val="28"/>
        </w:rPr>
      </w:pPr>
      <w:r w:rsidRPr="00E010E1">
        <w:rPr>
          <w:rFonts w:ascii="Candara" w:eastAsia="Candara" w:hAnsi="Candara" w:cs="Candara"/>
          <w:color w:val="000000"/>
          <w:sz w:val="28"/>
          <w:szCs w:val="28"/>
        </w:rPr>
        <w:t xml:space="preserve">RESULTADOS E DISCUSSÕES  </w:t>
      </w:r>
    </w:p>
    <w:p w14:paraId="495482D4" w14:textId="1E90C61A" w:rsidR="001002DC" w:rsidRPr="00E010E1" w:rsidRDefault="001002DC" w:rsidP="00E010E1">
      <w:pPr>
        <w:pBdr>
          <w:top w:val="nil"/>
          <w:left w:val="nil"/>
          <w:bottom w:val="nil"/>
          <w:right w:val="nil"/>
          <w:between w:val="nil"/>
        </w:pBdr>
        <w:spacing w:after="120" w:line="360" w:lineRule="auto"/>
        <w:ind w:firstLine="851"/>
        <w:jc w:val="both"/>
        <w:rPr>
          <w:rFonts w:ascii="Candara" w:eastAsia="Candara" w:hAnsi="Candara" w:cs="Candara"/>
          <w:color w:val="000000"/>
          <w:sz w:val="24"/>
          <w:szCs w:val="24"/>
        </w:rPr>
      </w:pPr>
      <w:r w:rsidRPr="00E010E1">
        <w:rPr>
          <w:rFonts w:ascii="Candara" w:eastAsia="Candara" w:hAnsi="Candara" w:cs="Candara"/>
          <w:color w:val="000000"/>
          <w:sz w:val="24"/>
          <w:szCs w:val="24"/>
        </w:rPr>
        <w:t xml:space="preserve">4.1 Análise Fatorial </w:t>
      </w:r>
    </w:p>
    <w:p w14:paraId="47514D2E" w14:textId="6B5B010C" w:rsidR="001002DC" w:rsidRPr="001002DC" w:rsidRDefault="00B068C1" w:rsidP="001002D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lastRenderedPageBreak/>
        <w:t>O</w:t>
      </w:r>
      <w:r w:rsidR="001002DC" w:rsidRPr="001002DC">
        <w:rPr>
          <w:rFonts w:ascii="Candara" w:eastAsia="Candara" w:hAnsi="Candara" w:cs="Candara"/>
          <w:color w:val="000000"/>
          <w:sz w:val="24"/>
          <w:szCs w:val="24"/>
        </w:rPr>
        <w:t>s testes de esfericidade de Bartlett e de adequação Kaiser-Meyer-</w:t>
      </w:r>
      <w:proofErr w:type="spellStart"/>
      <w:r w:rsidR="001002DC" w:rsidRPr="001002DC">
        <w:rPr>
          <w:rFonts w:ascii="Candara" w:eastAsia="Candara" w:hAnsi="Candara" w:cs="Candara"/>
          <w:color w:val="000000"/>
          <w:sz w:val="24"/>
          <w:szCs w:val="24"/>
        </w:rPr>
        <w:t>Olkin</w:t>
      </w:r>
      <w:proofErr w:type="spellEnd"/>
      <w:r w:rsidR="001002DC" w:rsidRPr="001002DC">
        <w:rPr>
          <w:rFonts w:ascii="Candara" w:eastAsia="Candara" w:hAnsi="Candara" w:cs="Candara"/>
          <w:color w:val="000000"/>
          <w:sz w:val="24"/>
          <w:szCs w:val="24"/>
        </w:rPr>
        <w:t xml:space="preserve"> (KMO)</w:t>
      </w:r>
      <w:r w:rsidR="00605AD2">
        <w:rPr>
          <w:rFonts w:ascii="Candara" w:eastAsia="Candara" w:hAnsi="Candara" w:cs="Candara"/>
          <w:color w:val="000000"/>
          <w:sz w:val="24"/>
          <w:szCs w:val="24"/>
        </w:rPr>
        <w:t xml:space="preserve"> </w:t>
      </w:r>
      <w:r w:rsidR="001002DC" w:rsidRPr="001002DC">
        <w:rPr>
          <w:rFonts w:ascii="Candara" w:eastAsia="Candara" w:hAnsi="Candara" w:cs="Candara"/>
          <w:color w:val="000000"/>
          <w:sz w:val="24"/>
          <w:szCs w:val="24"/>
        </w:rPr>
        <w:t>revelaram consistência, pois o valor calculado do KMO= 0,803 ficou bem acima do recomendado na literatura (0,500).</w:t>
      </w:r>
      <w:r w:rsidR="002B780E">
        <w:rPr>
          <w:rFonts w:ascii="Candara" w:eastAsia="Candara" w:hAnsi="Candara" w:cs="Candara"/>
          <w:color w:val="000000"/>
          <w:sz w:val="24"/>
          <w:szCs w:val="24"/>
        </w:rPr>
        <w:t xml:space="preserve"> </w:t>
      </w:r>
      <w:r w:rsidR="001002DC" w:rsidRPr="001002DC">
        <w:rPr>
          <w:rFonts w:ascii="Candara" w:eastAsia="Candara" w:hAnsi="Candara" w:cs="Candara"/>
          <w:color w:val="000000"/>
          <w:sz w:val="24"/>
          <w:szCs w:val="24"/>
        </w:rPr>
        <w:t>Já o teste de Bartlett</w:t>
      </w:r>
      <w:r w:rsidR="00D82EFE">
        <w:rPr>
          <w:rFonts w:ascii="Candara" w:eastAsia="Candara" w:hAnsi="Candara" w:cs="Candara"/>
          <w:color w:val="000000"/>
          <w:sz w:val="24"/>
          <w:szCs w:val="24"/>
        </w:rPr>
        <w:t xml:space="preserve"> </w:t>
      </w:r>
      <w:r w:rsidR="001002DC" w:rsidRPr="001002DC">
        <w:rPr>
          <w:rFonts w:ascii="Candara" w:eastAsia="Candara" w:hAnsi="Candara" w:cs="Candara"/>
          <w:color w:val="000000"/>
          <w:sz w:val="24"/>
          <w:szCs w:val="24"/>
        </w:rPr>
        <w:t>rejeit</w:t>
      </w:r>
      <w:r w:rsidR="00D82EFE">
        <w:rPr>
          <w:rFonts w:ascii="Candara" w:eastAsia="Candara" w:hAnsi="Candara" w:cs="Candara"/>
          <w:color w:val="000000"/>
          <w:sz w:val="24"/>
          <w:szCs w:val="24"/>
        </w:rPr>
        <w:t xml:space="preserve">ou </w:t>
      </w:r>
      <w:r w:rsidR="001002DC" w:rsidRPr="001002DC">
        <w:rPr>
          <w:rFonts w:ascii="Candara" w:eastAsia="Candara" w:hAnsi="Candara" w:cs="Candara"/>
          <w:color w:val="000000"/>
          <w:sz w:val="24"/>
          <w:szCs w:val="24"/>
        </w:rPr>
        <w:t>a hipótese nula de que a matriz de correlação seja uma matriz identidade</w:t>
      </w:r>
      <w:r w:rsidR="00605AD2">
        <w:rPr>
          <w:rFonts w:ascii="Candara" w:eastAsia="Candara" w:hAnsi="Candara" w:cs="Candara"/>
          <w:color w:val="000000"/>
          <w:sz w:val="24"/>
          <w:szCs w:val="24"/>
        </w:rPr>
        <w:t xml:space="preserve">. </w:t>
      </w:r>
    </w:p>
    <w:p w14:paraId="150AB707" w14:textId="47005BE1" w:rsidR="001002DC" w:rsidRDefault="001002DC" w:rsidP="001002D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1002DC">
        <w:rPr>
          <w:rFonts w:ascii="Candara" w:eastAsia="Candara" w:hAnsi="Candara" w:cs="Candara"/>
          <w:color w:val="000000"/>
          <w:sz w:val="24"/>
          <w:szCs w:val="24"/>
        </w:rPr>
        <w:t>A partir do critério de autovalor (raiz latente) foram extraídos sete fatores que</w:t>
      </w:r>
      <w:r w:rsidR="00D82EFE">
        <w:rPr>
          <w:rFonts w:ascii="Candara" w:eastAsia="Candara" w:hAnsi="Candara" w:cs="Candara"/>
          <w:color w:val="000000"/>
          <w:sz w:val="24"/>
          <w:szCs w:val="24"/>
        </w:rPr>
        <w:t xml:space="preserve"> </w:t>
      </w:r>
      <w:r w:rsidRPr="001002DC">
        <w:rPr>
          <w:rFonts w:ascii="Candara" w:eastAsia="Candara" w:hAnsi="Candara" w:cs="Candara"/>
          <w:color w:val="000000"/>
          <w:sz w:val="24"/>
          <w:szCs w:val="24"/>
        </w:rPr>
        <w:t>em conjunto</w:t>
      </w:r>
      <w:r w:rsidR="00D82EFE">
        <w:rPr>
          <w:rFonts w:ascii="Candara" w:eastAsia="Candara" w:hAnsi="Candara" w:cs="Candara"/>
          <w:color w:val="000000"/>
          <w:sz w:val="24"/>
          <w:szCs w:val="24"/>
        </w:rPr>
        <w:t xml:space="preserve"> </w:t>
      </w:r>
      <w:r w:rsidR="00D82EFE" w:rsidRPr="001002DC">
        <w:rPr>
          <w:rFonts w:ascii="Candara" w:eastAsia="Candara" w:hAnsi="Candara" w:cs="Candara"/>
          <w:color w:val="000000"/>
          <w:sz w:val="24"/>
          <w:szCs w:val="24"/>
        </w:rPr>
        <w:t>explicam</w:t>
      </w:r>
      <w:r w:rsidRPr="001002DC">
        <w:rPr>
          <w:rFonts w:ascii="Candara" w:eastAsia="Candara" w:hAnsi="Candara" w:cs="Candara"/>
          <w:color w:val="000000"/>
          <w:sz w:val="24"/>
          <w:szCs w:val="24"/>
        </w:rPr>
        <w:t>, 86,80% da variância total das variáveis selecionadas, conforme Tabela 1.</w:t>
      </w:r>
      <w:r w:rsidR="00D82EFE">
        <w:rPr>
          <w:rFonts w:ascii="Candara" w:eastAsia="Candara" w:hAnsi="Candara" w:cs="Candara"/>
          <w:color w:val="000000"/>
          <w:sz w:val="24"/>
          <w:szCs w:val="24"/>
        </w:rPr>
        <w:t xml:space="preserve"> </w:t>
      </w:r>
    </w:p>
    <w:p w14:paraId="70AD67CE" w14:textId="77777777" w:rsidR="002B780E" w:rsidRPr="001002DC" w:rsidRDefault="002B780E" w:rsidP="001002D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5FA8004D" w14:textId="77777777" w:rsidR="001002DC" w:rsidRDefault="001002DC" w:rsidP="002B780E">
      <w:pPr>
        <w:pBdr>
          <w:top w:val="nil"/>
          <w:left w:val="nil"/>
          <w:bottom w:val="nil"/>
          <w:right w:val="nil"/>
          <w:between w:val="nil"/>
        </w:pBdr>
        <w:spacing w:after="0" w:line="240" w:lineRule="auto"/>
        <w:jc w:val="both"/>
        <w:rPr>
          <w:rFonts w:ascii="Candara" w:eastAsia="Candara" w:hAnsi="Candara" w:cs="Candara"/>
          <w:color w:val="000000"/>
          <w:sz w:val="24"/>
          <w:szCs w:val="24"/>
        </w:rPr>
      </w:pPr>
      <w:r w:rsidRPr="001002DC">
        <w:rPr>
          <w:rFonts w:ascii="Candara" w:eastAsia="Candara" w:hAnsi="Candara" w:cs="Candara"/>
          <w:color w:val="000000"/>
          <w:sz w:val="24"/>
          <w:szCs w:val="24"/>
        </w:rPr>
        <w:t xml:space="preserve">Tabela 1 - Autovalores, variância explicada por fator e variância acumulada dos municípios da mesorregião Oeste do Paraná. </w:t>
      </w:r>
    </w:p>
    <w:tbl>
      <w:tblPr>
        <w:tblW w:w="5000" w:type="pct"/>
        <w:tblCellMar>
          <w:left w:w="70" w:type="dxa"/>
          <w:right w:w="70" w:type="dxa"/>
        </w:tblCellMar>
        <w:tblLook w:val="04A0" w:firstRow="1" w:lastRow="0" w:firstColumn="1" w:lastColumn="0" w:noHBand="0" w:noVBand="1"/>
      </w:tblPr>
      <w:tblGrid>
        <w:gridCol w:w="765"/>
        <w:gridCol w:w="1464"/>
        <w:gridCol w:w="3441"/>
        <w:gridCol w:w="2834"/>
      </w:tblGrid>
      <w:tr w:rsidR="001002DC" w:rsidRPr="001002DC" w14:paraId="6E2C0147" w14:textId="77777777" w:rsidTr="00F078D5">
        <w:trPr>
          <w:trHeight w:val="20"/>
        </w:trPr>
        <w:tc>
          <w:tcPr>
            <w:tcW w:w="450" w:type="pct"/>
            <w:tcBorders>
              <w:top w:val="single" w:sz="8" w:space="0" w:color="auto"/>
              <w:left w:val="nil"/>
              <w:bottom w:val="single" w:sz="4" w:space="0" w:color="auto"/>
              <w:right w:val="single" w:sz="4" w:space="0" w:color="auto"/>
            </w:tcBorders>
            <w:shd w:val="clear" w:color="auto" w:fill="auto"/>
            <w:vAlign w:val="center"/>
            <w:hideMark/>
          </w:tcPr>
          <w:p w14:paraId="6429BF1C" w14:textId="77777777" w:rsidR="001002DC" w:rsidRPr="001002DC" w:rsidRDefault="001002DC" w:rsidP="00F078D5">
            <w:pPr>
              <w:spacing w:after="0" w:line="240" w:lineRule="auto"/>
              <w:jc w:val="center"/>
              <w:rPr>
                <w:rFonts w:ascii="Candara" w:eastAsia="Times New Roman" w:hAnsi="Candara" w:cs="Times New Roman"/>
                <w:b/>
                <w:bCs/>
                <w:color w:val="000000"/>
              </w:rPr>
            </w:pPr>
            <w:r w:rsidRPr="001002DC">
              <w:rPr>
                <w:rFonts w:ascii="Candara" w:eastAsia="Times New Roman" w:hAnsi="Candara" w:cs="Times New Roman"/>
                <w:b/>
                <w:bCs/>
                <w:color w:val="000000"/>
              </w:rPr>
              <w:t>Fator</w:t>
            </w:r>
          </w:p>
        </w:tc>
        <w:tc>
          <w:tcPr>
            <w:tcW w:w="861" w:type="pct"/>
            <w:tcBorders>
              <w:top w:val="single" w:sz="8" w:space="0" w:color="auto"/>
              <w:left w:val="nil"/>
              <w:bottom w:val="single" w:sz="4" w:space="0" w:color="auto"/>
              <w:right w:val="single" w:sz="4" w:space="0" w:color="auto"/>
            </w:tcBorders>
            <w:shd w:val="clear" w:color="auto" w:fill="auto"/>
            <w:vAlign w:val="center"/>
            <w:hideMark/>
          </w:tcPr>
          <w:p w14:paraId="3095936D" w14:textId="77777777" w:rsidR="001002DC" w:rsidRPr="001002DC" w:rsidRDefault="001002DC" w:rsidP="00F078D5">
            <w:pPr>
              <w:spacing w:after="0" w:line="240" w:lineRule="auto"/>
              <w:jc w:val="center"/>
              <w:rPr>
                <w:rFonts w:ascii="Candara" w:eastAsia="Times New Roman" w:hAnsi="Candara" w:cs="Times New Roman"/>
                <w:b/>
                <w:bCs/>
                <w:color w:val="000000"/>
              </w:rPr>
            </w:pPr>
            <w:r w:rsidRPr="001002DC">
              <w:rPr>
                <w:rFonts w:ascii="Candara" w:eastAsia="Times New Roman" w:hAnsi="Candara" w:cs="Times New Roman"/>
                <w:b/>
                <w:bCs/>
                <w:color w:val="000000"/>
              </w:rPr>
              <w:t>Autovalores</w:t>
            </w:r>
          </w:p>
        </w:tc>
        <w:tc>
          <w:tcPr>
            <w:tcW w:w="2023" w:type="pct"/>
            <w:tcBorders>
              <w:top w:val="single" w:sz="8" w:space="0" w:color="auto"/>
              <w:left w:val="nil"/>
              <w:bottom w:val="single" w:sz="4" w:space="0" w:color="auto"/>
              <w:right w:val="single" w:sz="4" w:space="0" w:color="auto"/>
            </w:tcBorders>
            <w:shd w:val="clear" w:color="auto" w:fill="auto"/>
            <w:vAlign w:val="center"/>
            <w:hideMark/>
          </w:tcPr>
          <w:p w14:paraId="754598E8" w14:textId="77777777" w:rsidR="001002DC" w:rsidRPr="001002DC" w:rsidRDefault="001002DC" w:rsidP="00F078D5">
            <w:pPr>
              <w:spacing w:after="0" w:line="240" w:lineRule="auto"/>
              <w:jc w:val="center"/>
              <w:rPr>
                <w:rFonts w:ascii="Candara" w:eastAsia="Times New Roman" w:hAnsi="Candara" w:cs="Times New Roman"/>
                <w:b/>
                <w:bCs/>
                <w:color w:val="000000"/>
              </w:rPr>
            </w:pPr>
            <w:r w:rsidRPr="001002DC">
              <w:rPr>
                <w:rFonts w:ascii="Candara" w:eastAsia="Times New Roman" w:hAnsi="Candara" w:cs="Times New Roman"/>
                <w:b/>
                <w:bCs/>
                <w:color w:val="000000"/>
              </w:rPr>
              <w:t xml:space="preserve">Variância </w:t>
            </w:r>
            <w:r w:rsidRPr="001002DC">
              <w:rPr>
                <w:rFonts w:ascii="Candara" w:hAnsi="Candara" w:cs="Times New Roman"/>
                <w:b/>
                <w:bCs/>
                <w14:ligatures w14:val="standardContextual"/>
              </w:rPr>
              <w:t>explicada pelo fator</w:t>
            </w:r>
            <w:r w:rsidRPr="001002DC">
              <w:rPr>
                <w:rFonts w:ascii="Candara" w:eastAsia="Times New Roman" w:hAnsi="Candara" w:cs="Times New Roman"/>
                <w:b/>
                <w:bCs/>
                <w:color w:val="000000"/>
              </w:rPr>
              <w:t xml:space="preserve"> (%)</w:t>
            </w:r>
          </w:p>
        </w:tc>
        <w:tc>
          <w:tcPr>
            <w:tcW w:w="1666" w:type="pct"/>
            <w:tcBorders>
              <w:top w:val="single" w:sz="8" w:space="0" w:color="auto"/>
              <w:left w:val="nil"/>
              <w:bottom w:val="single" w:sz="4" w:space="0" w:color="auto"/>
              <w:right w:val="nil"/>
            </w:tcBorders>
            <w:shd w:val="clear" w:color="auto" w:fill="auto"/>
            <w:vAlign w:val="center"/>
            <w:hideMark/>
          </w:tcPr>
          <w:p w14:paraId="0A07F418" w14:textId="77777777" w:rsidR="001002DC" w:rsidRPr="001002DC" w:rsidRDefault="001002DC" w:rsidP="00F078D5">
            <w:pPr>
              <w:spacing w:after="0" w:line="240" w:lineRule="auto"/>
              <w:jc w:val="center"/>
              <w:rPr>
                <w:rFonts w:ascii="Candara" w:eastAsia="Times New Roman" w:hAnsi="Candara" w:cs="Times New Roman"/>
                <w:b/>
                <w:bCs/>
                <w:color w:val="000000"/>
              </w:rPr>
            </w:pPr>
            <w:r w:rsidRPr="001002DC">
              <w:rPr>
                <w:rFonts w:ascii="Candara" w:eastAsia="Times New Roman" w:hAnsi="Candara" w:cs="Times New Roman"/>
                <w:b/>
                <w:bCs/>
                <w:color w:val="000000"/>
              </w:rPr>
              <w:t>Variância acumulada (%)</w:t>
            </w:r>
          </w:p>
        </w:tc>
      </w:tr>
      <w:tr w:rsidR="001002DC" w:rsidRPr="001002DC" w14:paraId="1616425F" w14:textId="77777777" w:rsidTr="00F078D5">
        <w:trPr>
          <w:trHeight w:val="20"/>
        </w:trPr>
        <w:tc>
          <w:tcPr>
            <w:tcW w:w="450" w:type="pct"/>
            <w:tcBorders>
              <w:top w:val="nil"/>
              <w:left w:val="nil"/>
              <w:bottom w:val="single" w:sz="4" w:space="0" w:color="auto"/>
              <w:right w:val="single" w:sz="4" w:space="0" w:color="auto"/>
            </w:tcBorders>
            <w:shd w:val="clear" w:color="auto" w:fill="auto"/>
            <w:noWrap/>
            <w:vAlign w:val="center"/>
            <w:hideMark/>
          </w:tcPr>
          <w:p w14:paraId="2939E25A"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F1</w:t>
            </w:r>
          </w:p>
        </w:tc>
        <w:tc>
          <w:tcPr>
            <w:tcW w:w="861" w:type="pct"/>
            <w:tcBorders>
              <w:top w:val="nil"/>
              <w:left w:val="nil"/>
              <w:bottom w:val="single" w:sz="4" w:space="0" w:color="auto"/>
              <w:right w:val="single" w:sz="4" w:space="0" w:color="auto"/>
            </w:tcBorders>
            <w:shd w:val="clear" w:color="auto" w:fill="auto"/>
            <w:noWrap/>
            <w:vAlign w:val="center"/>
            <w:hideMark/>
          </w:tcPr>
          <w:p w14:paraId="2CAD5D5B"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11,054</w:t>
            </w:r>
          </w:p>
        </w:tc>
        <w:tc>
          <w:tcPr>
            <w:tcW w:w="2023" w:type="pct"/>
            <w:tcBorders>
              <w:top w:val="nil"/>
              <w:left w:val="nil"/>
              <w:bottom w:val="single" w:sz="4" w:space="0" w:color="auto"/>
              <w:right w:val="single" w:sz="4" w:space="0" w:color="auto"/>
            </w:tcBorders>
            <w:shd w:val="clear" w:color="auto" w:fill="auto"/>
            <w:noWrap/>
            <w:vAlign w:val="center"/>
            <w:hideMark/>
          </w:tcPr>
          <w:p w14:paraId="11E32A8D"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40,941</w:t>
            </w:r>
          </w:p>
        </w:tc>
        <w:tc>
          <w:tcPr>
            <w:tcW w:w="1666" w:type="pct"/>
            <w:tcBorders>
              <w:top w:val="nil"/>
              <w:left w:val="nil"/>
              <w:bottom w:val="single" w:sz="4" w:space="0" w:color="auto"/>
              <w:right w:val="nil"/>
            </w:tcBorders>
            <w:shd w:val="clear" w:color="auto" w:fill="auto"/>
            <w:noWrap/>
            <w:vAlign w:val="center"/>
            <w:hideMark/>
          </w:tcPr>
          <w:p w14:paraId="52E4296E"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40,941</w:t>
            </w:r>
          </w:p>
        </w:tc>
      </w:tr>
      <w:tr w:rsidR="001002DC" w:rsidRPr="001002DC" w14:paraId="145D09FF" w14:textId="77777777" w:rsidTr="00F078D5">
        <w:trPr>
          <w:trHeight w:val="20"/>
        </w:trPr>
        <w:tc>
          <w:tcPr>
            <w:tcW w:w="450" w:type="pct"/>
            <w:tcBorders>
              <w:top w:val="nil"/>
              <w:left w:val="nil"/>
              <w:bottom w:val="single" w:sz="4" w:space="0" w:color="auto"/>
              <w:right w:val="single" w:sz="4" w:space="0" w:color="auto"/>
            </w:tcBorders>
            <w:shd w:val="clear" w:color="auto" w:fill="auto"/>
            <w:noWrap/>
            <w:vAlign w:val="center"/>
            <w:hideMark/>
          </w:tcPr>
          <w:p w14:paraId="6EFCEF14"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F2</w:t>
            </w:r>
          </w:p>
        </w:tc>
        <w:tc>
          <w:tcPr>
            <w:tcW w:w="861" w:type="pct"/>
            <w:tcBorders>
              <w:top w:val="nil"/>
              <w:left w:val="nil"/>
              <w:bottom w:val="single" w:sz="4" w:space="0" w:color="auto"/>
              <w:right w:val="single" w:sz="4" w:space="0" w:color="auto"/>
            </w:tcBorders>
            <w:shd w:val="clear" w:color="auto" w:fill="auto"/>
            <w:noWrap/>
            <w:vAlign w:val="center"/>
            <w:hideMark/>
          </w:tcPr>
          <w:p w14:paraId="786CD7C9"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3,227</w:t>
            </w:r>
          </w:p>
        </w:tc>
        <w:tc>
          <w:tcPr>
            <w:tcW w:w="2023" w:type="pct"/>
            <w:tcBorders>
              <w:top w:val="nil"/>
              <w:left w:val="nil"/>
              <w:bottom w:val="single" w:sz="4" w:space="0" w:color="auto"/>
              <w:right w:val="single" w:sz="4" w:space="0" w:color="auto"/>
            </w:tcBorders>
            <w:shd w:val="clear" w:color="auto" w:fill="auto"/>
            <w:noWrap/>
            <w:vAlign w:val="center"/>
            <w:hideMark/>
          </w:tcPr>
          <w:p w14:paraId="029F2E3D"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11,953</w:t>
            </w:r>
          </w:p>
        </w:tc>
        <w:tc>
          <w:tcPr>
            <w:tcW w:w="1666" w:type="pct"/>
            <w:tcBorders>
              <w:top w:val="nil"/>
              <w:left w:val="nil"/>
              <w:bottom w:val="single" w:sz="4" w:space="0" w:color="auto"/>
              <w:right w:val="nil"/>
            </w:tcBorders>
            <w:shd w:val="clear" w:color="auto" w:fill="auto"/>
            <w:noWrap/>
            <w:vAlign w:val="center"/>
            <w:hideMark/>
          </w:tcPr>
          <w:p w14:paraId="2FBD8326"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52,894</w:t>
            </w:r>
          </w:p>
        </w:tc>
      </w:tr>
      <w:tr w:rsidR="001002DC" w:rsidRPr="001002DC" w14:paraId="75A83D8F" w14:textId="77777777" w:rsidTr="00F078D5">
        <w:trPr>
          <w:trHeight w:val="20"/>
        </w:trPr>
        <w:tc>
          <w:tcPr>
            <w:tcW w:w="450" w:type="pct"/>
            <w:tcBorders>
              <w:top w:val="nil"/>
              <w:left w:val="nil"/>
              <w:bottom w:val="single" w:sz="4" w:space="0" w:color="auto"/>
              <w:right w:val="single" w:sz="4" w:space="0" w:color="auto"/>
            </w:tcBorders>
            <w:shd w:val="clear" w:color="auto" w:fill="auto"/>
            <w:noWrap/>
            <w:vAlign w:val="center"/>
            <w:hideMark/>
          </w:tcPr>
          <w:p w14:paraId="5055472A"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F3</w:t>
            </w:r>
          </w:p>
        </w:tc>
        <w:tc>
          <w:tcPr>
            <w:tcW w:w="861" w:type="pct"/>
            <w:tcBorders>
              <w:top w:val="nil"/>
              <w:left w:val="nil"/>
              <w:bottom w:val="single" w:sz="4" w:space="0" w:color="auto"/>
              <w:right w:val="single" w:sz="4" w:space="0" w:color="auto"/>
            </w:tcBorders>
            <w:shd w:val="clear" w:color="auto" w:fill="auto"/>
            <w:noWrap/>
            <w:vAlign w:val="center"/>
            <w:hideMark/>
          </w:tcPr>
          <w:p w14:paraId="7297F3B1"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2,329</w:t>
            </w:r>
          </w:p>
        </w:tc>
        <w:tc>
          <w:tcPr>
            <w:tcW w:w="2023" w:type="pct"/>
            <w:tcBorders>
              <w:top w:val="nil"/>
              <w:left w:val="nil"/>
              <w:bottom w:val="single" w:sz="4" w:space="0" w:color="auto"/>
              <w:right w:val="single" w:sz="4" w:space="0" w:color="auto"/>
            </w:tcBorders>
            <w:shd w:val="clear" w:color="auto" w:fill="auto"/>
            <w:noWrap/>
            <w:vAlign w:val="center"/>
            <w:hideMark/>
          </w:tcPr>
          <w:p w14:paraId="4A6CBA8C"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8,625</w:t>
            </w:r>
          </w:p>
        </w:tc>
        <w:tc>
          <w:tcPr>
            <w:tcW w:w="1666" w:type="pct"/>
            <w:tcBorders>
              <w:top w:val="nil"/>
              <w:left w:val="nil"/>
              <w:bottom w:val="single" w:sz="4" w:space="0" w:color="auto"/>
              <w:right w:val="nil"/>
            </w:tcBorders>
            <w:shd w:val="clear" w:color="auto" w:fill="auto"/>
            <w:noWrap/>
            <w:vAlign w:val="center"/>
            <w:hideMark/>
          </w:tcPr>
          <w:p w14:paraId="483D6067"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61,518</w:t>
            </w:r>
          </w:p>
        </w:tc>
      </w:tr>
      <w:tr w:rsidR="001002DC" w:rsidRPr="001002DC" w14:paraId="3CBFC2F4" w14:textId="77777777" w:rsidTr="00F078D5">
        <w:trPr>
          <w:trHeight w:val="20"/>
        </w:trPr>
        <w:tc>
          <w:tcPr>
            <w:tcW w:w="450" w:type="pct"/>
            <w:tcBorders>
              <w:top w:val="nil"/>
              <w:left w:val="nil"/>
              <w:bottom w:val="single" w:sz="4" w:space="0" w:color="auto"/>
              <w:right w:val="single" w:sz="4" w:space="0" w:color="auto"/>
            </w:tcBorders>
            <w:shd w:val="clear" w:color="auto" w:fill="auto"/>
            <w:noWrap/>
            <w:vAlign w:val="center"/>
            <w:hideMark/>
          </w:tcPr>
          <w:p w14:paraId="524E979A"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F4</w:t>
            </w:r>
          </w:p>
        </w:tc>
        <w:tc>
          <w:tcPr>
            <w:tcW w:w="861" w:type="pct"/>
            <w:tcBorders>
              <w:top w:val="nil"/>
              <w:left w:val="nil"/>
              <w:bottom w:val="single" w:sz="4" w:space="0" w:color="auto"/>
              <w:right w:val="single" w:sz="4" w:space="0" w:color="auto"/>
            </w:tcBorders>
            <w:shd w:val="clear" w:color="auto" w:fill="auto"/>
            <w:noWrap/>
            <w:vAlign w:val="center"/>
            <w:hideMark/>
          </w:tcPr>
          <w:p w14:paraId="2C1AC424"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2,295</w:t>
            </w:r>
          </w:p>
        </w:tc>
        <w:tc>
          <w:tcPr>
            <w:tcW w:w="2023" w:type="pct"/>
            <w:tcBorders>
              <w:top w:val="nil"/>
              <w:left w:val="nil"/>
              <w:bottom w:val="single" w:sz="4" w:space="0" w:color="auto"/>
              <w:right w:val="single" w:sz="4" w:space="0" w:color="auto"/>
            </w:tcBorders>
            <w:shd w:val="clear" w:color="auto" w:fill="auto"/>
            <w:noWrap/>
            <w:vAlign w:val="center"/>
            <w:hideMark/>
          </w:tcPr>
          <w:p w14:paraId="19E360B6"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8,501</w:t>
            </w:r>
          </w:p>
        </w:tc>
        <w:tc>
          <w:tcPr>
            <w:tcW w:w="1666" w:type="pct"/>
            <w:tcBorders>
              <w:top w:val="nil"/>
              <w:left w:val="nil"/>
              <w:bottom w:val="single" w:sz="4" w:space="0" w:color="auto"/>
              <w:right w:val="nil"/>
            </w:tcBorders>
            <w:shd w:val="clear" w:color="auto" w:fill="auto"/>
            <w:noWrap/>
            <w:vAlign w:val="center"/>
            <w:hideMark/>
          </w:tcPr>
          <w:p w14:paraId="4301F278"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70,019</w:t>
            </w:r>
          </w:p>
        </w:tc>
      </w:tr>
      <w:tr w:rsidR="001002DC" w:rsidRPr="001002DC" w14:paraId="02ADFB86" w14:textId="77777777" w:rsidTr="00F078D5">
        <w:trPr>
          <w:trHeight w:val="20"/>
        </w:trPr>
        <w:tc>
          <w:tcPr>
            <w:tcW w:w="450" w:type="pct"/>
            <w:tcBorders>
              <w:top w:val="nil"/>
              <w:left w:val="nil"/>
              <w:bottom w:val="single" w:sz="4" w:space="0" w:color="auto"/>
              <w:right w:val="single" w:sz="4" w:space="0" w:color="auto"/>
            </w:tcBorders>
            <w:shd w:val="clear" w:color="auto" w:fill="auto"/>
            <w:noWrap/>
            <w:vAlign w:val="center"/>
            <w:hideMark/>
          </w:tcPr>
          <w:p w14:paraId="23A6F0EB"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F5</w:t>
            </w:r>
          </w:p>
        </w:tc>
        <w:tc>
          <w:tcPr>
            <w:tcW w:w="861" w:type="pct"/>
            <w:tcBorders>
              <w:top w:val="nil"/>
              <w:left w:val="nil"/>
              <w:bottom w:val="single" w:sz="4" w:space="0" w:color="auto"/>
              <w:right w:val="single" w:sz="4" w:space="0" w:color="auto"/>
            </w:tcBorders>
            <w:shd w:val="clear" w:color="auto" w:fill="auto"/>
            <w:noWrap/>
            <w:vAlign w:val="center"/>
            <w:hideMark/>
          </w:tcPr>
          <w:p w14:paraId="56753EE3"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1,765</w:t>
            </w:r>
          </w:p>
        </w:tc>
        <w:tc>
          <w:tcPr>
            <w:tcW w:w="2023" w:type="pct"/>
            <w:tcBorders>
              <w:top w:val="nil"/>
              <w:left w:val="nil"/>
              <w:bottom w:val="single" w:sz="4" w:space="0" w:color="auto"/>
              <w:right w:val="single" w:sz="4" w:space="0" w:color="auto"/>
            </w:tcBorders>
            <w:shd w:val="clear" w:color="auto" w:fill="auto"/>
            <w:noWrap/>
            <w:vAlign w:val="center"/>
            <w:hideMark/>
          </w:tcPr>
          <w:p w14:paraId="6AFA6A4C"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6,537</w:t>
            </w:r>
          </w:p>
        </w:tc>
        <w:tc>
          <w:tcPr>
            <w:tcW w:w="1666" w:type="pct"/>
            <w:tcBorders>
              <w:top w:val="nil"/>
              <w:left w:val="nil"/>
              <w:bottom w:val="single" w:sz="4" w:space="0" w:color="auto"/>
              <w:right w:val="nil"/>
            </w:tcBorders>
            <w:shd w:val="clear" w:color="auto" w:fill="auto"/>
            <w:noWrap/>
            <w:vAlign w:val="center"/>
            <w:hideMark/>
          </w:tcPr>
          <w:p w14:paraId="23CCCBAA"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76,556</w:t>
            </w:r>
          </w:p>
        </w:tc>
      </w:tr>
      <w:tr w:rsidR="001002DC" w:rsidRPr="001002DC" w14:paraId="4E9205E6" w14:textId="77777777" w:rsidTr="00F078D5">
        <w:trPr>
          <w:trHeight w:val="20"/>
        </w:trPr>
        <w:tc>
          <w:tcPr>
            <w:tcW w:w="450" w:type="pct"/>
            <w:tcBorders>
              <w:top w:val="nil"/>
              <w:left w:val="nil"/>
              <w:bottom w:val="single" w:sz="4" w:space="0" w:color="auto"/>
              <w:right w:val="single" w:sz="4" w:space="0" w:color="auto"/>
            </w:tcBorders>
            <w:shd w:val="clear" w:color="auto" w:fill="auto"/>
            <w:noWrap/>
            <w:vAlign w:val="center"/>
            <w:hideMark/>
          </w:tcPr>
          <w:p w14:paraId="6796F116"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F6</w:t>
            </w:r>
          </w:p>
        </w:tc>
        <w:tc>
          <w:tcPr>
            <w:tcW w:w="861" w:type="pct"/>
            <w:tcBorders>
              <w:top w:val="nil"/>
              <w:left w:val="nil"/>
              <w:bottom w:val="single" w:sz="4" w:space="0" w:color="auto"/>
              <w:right w:val="single" w:sz="4" w:space="0" w:color="auto"/>
            </w:tcBorders>
            <w:shd w:val="clear" w:color="auto" w:fill="auto"/>
            <w:noWrap/>
            <w:vAlign w:val="center"/>
            <w:hideMark/>
          </w:tcPr>
          <w:p w14:paraId="24ABB5AF"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1,421</w:t>
            </w:r>
          </w:p>
        </w:tc>
        <w:tc>
          <w:tcPr>
            <w:tcW w:w="2023" w:type="pct"/>
            <w:tcBorders>
              <w:top w:val="nil"/>
              <w:left w:val="nil"/>
              <w:bottom w:val="single" w:sz="4" w:space="0" w:color="auto"/>
              <w:right w:val="single" w:sz="4" w:space="0" w:color="auto"/>
            </w:tcBorders>
            <w:shd w:val="clear" w:color="auto" w:fill="auto"/>
            <w:noWrap/>
            <w:vAlign w:val="center"/>
            <w:hideMark/>
          </w:tcPr>
          <w:p w14:paraId="6A65B923"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5,264</w:t>
            </w:r>
          </w:p>
        </w:tc>
        <w:tc>
          <w:tcPr>
            <w:tcW w:w="1666" w:type="pct"/>
            <w:tcBorders>
              <w:top w:val="nil"/>
              <w:left w:val="nil"/>
              <w:bottom w:val="single" w:sz="4" w:space="0" w:color="auto"/>
              <w:right w:val="nil"/>
            </w:tcBorders>
            <w:shd w:val="clear" w:color="auto" w:fill="auto"/>
            <w:noWrap/>
            <w:vAlign w:val="center"/>
            <w:hideMark/>
          </w:tcPr>
          <w:p w14:paraId="5B7C6741"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81,820</w:t>
            </w:r>
          </w:p>
        </w:tc>
      </w:tr>
      <w:tr w:rsidR="001002DC" w:rsidRPr="001002DC" w14:paraId="758D702A" w14:textId="77777777" w:rsidTr="00F078D5">
        <w:trPr>
          <w:trHeight w:val="20"/>
        </w:trPr>
        <w:tc>
          <w:tcPr>
            <w:tcW w:w="450" w:type="pct"/>
            <w:tcBorders>
              <w:top w:val="nil"/>
              <w:left w:val="nil"/>
              <w:bottom w:val="single" w:sz="8" w:space="0" w:color="auto"/>
              <w:right w:val="single" w:sz="4" w:space="0" w:color="auto"/>
            </w:tcBorders>
            <w:shd w:val="clear" w:color="auto" w:fill="auto"/>
            <w:noWrap/>
            <w:vAlign w:val="center"/>
            <w:hideMark/>
          </w:tcPr>
          <w:p w14:paraId="52F927DD"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F7</w:t>
            </w:r>
          </w:p>
        </w:tc>
        <w:tc>
          <w:tcPr>
            <w:tcW w:w="861" w:type="pct"/>
            <w:tcBorders>
              <w:top w:val="nil"/>
              <w:left w:val="nil"/>
              <w:bottom w:val="single" w:sz="8" w:space="0" w:color="auto"/>
              <w:right w:val="single" w:sz="4" w:space="0" w:color="auto"/>
            </w:tcBorders>
            <w:shd w:val="clear" w:color="auto" w:fill="auto"/>
            <w:noWrap/>
            <w:vAlign w:val="center"/>
            <w:hideMark/>
          </w:tcPr>
          <w:p w14:paraId="3B7B24EC"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1,343</w:t>
            </w:r>
          </w:p>
        </w:tc>
        <w:tc>
          <w:tcPr>
            <w:tcW w:w="2023" w:type="pct"/>
            <w:tcBorders>
              <w:top w:val="nil"/>
              <w:left w:val="nil"/>
              <w:bottom w:val="single" w:sz="8" w:space="0" w:color="auto"/>
              <w:right w:val="single" w:sz="4" w:space="0" w:color="auto"/>
            </w:tcBorders>
            <w:shd w:val="clear" w:color="auto" w:fill="auto"/>
            <w:noWrap/>
            <w:vAlign w:val="center"/>
            <w:hideMark/>
          </w:tcPr>
          <w:p w14:paraId="7E445131"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4,974</w:t>
            </w:r>
          </w:p>
        </w:tc>
        <w:tc>
          <w:tcPr>
            <w:tcW w:w="1666" w:type="pct"/>
            <w:tcBorders>
              <w:top w:val="nil"/>
              <w:left w:val="nil"/>
              <w:bottom w:val="single" w:sz="8" w:space="0" w:color="auto"/>
              <w:right w:val="nil"/>
            </w:tcBorders>
            <w:shd w:val="clear" w:color="auto" w:fill="auto"/>
            <w:noWrap/>
            <w:vAlign w:val="center"/>
            <w:hideMark/>
          </w:tcPr>
          <w:p w14:paraId="1DEBAE61" w14:textId="77777777" w:rsidR="001002DC" w:rsidRPr="001002DC" w:rsidRDefault="001002DC" w:rsidP="00F078D5">
            <w:pPr>
              <w:spacing w:after="0" w:line="240" w:lineRule="auto"/>
              <w:jc w:val="center"/>
              <w:rPr>
                <w:rFonts w:ascii="Candara" w:eastAsia="Times New Roman" w:hAnsi="Candara" w:cs="Times New Roman"/>
                <w:color w:val="000000"/>
              </w:rPr>
            </w:pPr>
            <w:r w:rsidRPr="001002DC">
              <w:rPr>
                <w:rFonts w:ascii="Candara" w:eastAsia="Times New Roman" w:hAnsi="Candara" w:cs="Times New Roman"/>
                <w:color w:val="000000"/>
              </w:rPr>
              <w:t>86,793</w:t>
            </w:r>
          </w:p>
        </w:tc>
      </w:tr>
    </w:tbl>
    <w:p w14:paraId="37FA8DB2" w14:textId="4E14EC8D" w:rsidR="001002DC" w:rsidRPr="001002DC" w:rsidRDefault="001002DC" w:rsidP="002B780E">
      <w:pPr>
        <w:pBdr>
          <w:top w:val="nil"/>
          <w:left w:val="nil"/>
          <w:bottom w:val="nil"/>
          <w:right w:val="nil"/>
          <w:between w:val="nil"/>
        </w:pBdr>
        <w:spacing w:after="0" w:line="360" w:lineRule="auto"/>
        <w:jc w:val="both"/>
        <w:rPr>
          <w:rFonts w:ascii="Candara" w:eastAsia="Candara" w:hAnsi="Candara" w:cs="Candara"/>
          <w:color w:val="000000"/>
          <w:sz w:val="24"/>
          <w:szCs w:val="24"/>
        </w:rPr>
      </w:pPr>
      <w:r w:rsidRPr="001002DC">
        <w:rPr>
          <w:rFonts w:ascii="Candara" w:hAnsi="Candara" w:cs="Times New Roman"/>
          <w:sz w:val="20"/>
          <w:szCs w:val="20"/>
        </w:rPr>
        <w:t>Fonte: Elaborado pelos autores (2023).</w:t>
      </w:r>
    </w:p>
    <w:p w14:paraId="770F0B16" w14:textId="77777777" w:rsidR="001002DC" w:rsidRDefault="001002DC" w:rsidP="001002D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2CC77891" w14:textId="3FFAE7B7" w:rsidR="00EE2858" w:rsidRPr="00EE2858" w:rsidRDefault="00EE2858" w:rsidP="00EE285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EE2858">
        <w:rPr>
          <w:rFonts w:ascii="Candara" w:eastAsia="Candara" w:hAnsi="Candara" w:cs="Candara"/>
          <w:color w:val="000000"/>
          <w:sz w:val="24"/>
          <w:szCs w:val="24"/>
        </w:rPr>
        <w:t>A Tabela 2 apresenta as cargas fatoriais e as comunalidades para os fatores selecionados após a rotação. Para a interpretação dos fatores foram consideradas as cargas fatoriais com valores superiores a 0,50 (em negrito).</w:t>
      </w:r>
      <w:r w:rsidR="00B76476">
        <w:rPr>
          <w:rFonts w:ascii="Candara" w:eastAsia="Candara" w:hAnsi="Candara" w:cs="Candara"/>
          <w:color w:val="000000"/>
          <w:sz w:val="24"/>
          <w:szCs w:val="24"/>
        </w:rPr>
        <w:t xml:space="preserve"> </w:t>
      </w:r>
      <w:r w:rsidRPr="00EE2858">
        <w:rPr>
          <w:rFonts w:ascii="Candara" w:eastAsia="Candara" w:hAnsi="Candara" w:cs="Candara"/>
          <w:color w:val="000000"/>
          <w:sz w:val="24"/>
          <w:szCs w:val="24"/>
        </w:rPr>
        <w:t xml:space="preserve">As comunalidades apresentaram valores acima de 0,60, revelando que todas as variáveis usadas na análise fatorial atendem níveis aceitáveis de explicação. </w:t>
      </w:r>
    </w:p>
    <w:p w14:paraId="220EFEC3" w14:textId="0A8D7045" w:rsidR="001002DC" w:rsidRDefault="00EE2858" w:rsidP="00B76476">
      <w:pPr>
        <w:pBdr>
          <w:top w:val="nil"/>
          <w:left w:val="nil"/>
          <w:bottom w:val="nil"/>
          <w:right w:val="nil"/>
          <w:between w:val="nil"/>
        </w:pBdr>
        <w:spacing w:after="0" w:line="240" w:lineRule="auto"/>
        <w:jc w:val="both"/>
        <w:rPr>
          <w:rFonts w:ascii="Candara" w:eastAsia="Candara" w:hAnsi="Candara" w:cs="Candara"/>
          <w:color w:val="000000"/>
          <w:sz w:val="24"/>
          <w:szCs w:val="24"/>
        </w:rPr>
      </w:pPr>
      <w:r w:rsidRPr="00EE2858">
        <w:rPr>
          <w:rFonts w:ascii="Candara" w:eastAsia="Candara" w:hAnsi="Candara" w:cs="Candara"/>
          <w:color w:val="000000"/>
          <w:sz w:val="24"/>
          <w:szCs w:val="24"/>
        </w:rPr>
        <w:t>Tabela 2 - Matriz dos componentes rotacionados e comunalidades dos municípios da mesorregião Oeste do Paraná.</w:t>
      </w:r>
    </w:p>
    <w:tbl>
      <w:tblPr>
        <w:tblW w:w="5000" w:type="pct"/>
        <w:tblCellMar>
          <w:left w:w="70" w:type="dxa"/>
          <w:right w:w="70" w:type="dxa"/>
        </w:tblCellMar>
        <w:tblLook w:val="04A0" w:firstRow="1" w:lastRow="0" w:firstColumn="1" w:lastColumn="0" w:noHBand="0" w:noVBand="1"/>
      </w:tblPr>
      <w:tblGrid>
        <w:gridCol w:w="609"/>
        <w:gridCol w:w="895"/>
        <w:gridCol w:w="895"/>
        <w:gridCol w:w="895"/>
        <w:gridCol w:w="895"/>
        <w:gridCol w:w="895"/>
        <w:gridCol w:w="895"/>
        <w:gridCol w:w="895"/>
        <w:gridCol w:w="1630"/>
      </w:tblGrid>
      <w:tr w:rsidR="00EE2858" w:rsidRPr="00EE2858" w14:paraId="79D6C40B" w14:textId="77777777" w:rsidTr="00F078D5">
        <w:trPr>
          <w:trHeight w:val="20"/>
        </w:trPr>
        <w:tc>
          <w:tcPr>
            <w:tcW w:w="356" w:type="pct"/>
            <w:vMerge w:val="restart"/>
            <w:tcBorders>
              <w:top w:val="single" w:sz="8" w:space="0" w:color="auto"/>
              <w:left w:val="nil"/>
              <w:right w:val="single" w:sz="4" w:space="0" w:color="auto"/>
            </w:tcBorders>
            <w:shd w:val="clear" w:color="auto" w:fill="auto"/>
            <w:noWrap/>
            <w:vAlign w:val="center"/>
            <w:hideMark/>
          </w:tcPr>
          <w:p w14:paraId="5E58FA65" w14:textId="77777777" w:rsidR="00EE2858" w:rsidRPr="00EE2858" w:rsidRDefault="00EE2858" w:rsidP="00F078D5">
            <w:pPr>
              <w:spacing w:after="0" w:line="240" w:lineRule="auto"/>
              <w:rPr>
                <w:rFonts w:ascii="Candara" w:eastAsia="Times New Roman" w:hAnsi="Candara" w:cs="Times New Roman"/>
              </w:rPr>
            </w:pPr>
            <w:r w:rsidRPr="00EE2858">
              <w:rPr>
                <w:rFonts w:ascii="Candara" w:eastAsia="Times New Roman" w:hAnsi="Candara" w:cs="Times New Roman"/>
              </w:rPr>
              <w:t> </w:t>
            </w:r>
            <w:r w:rsidRPr="00EE2858">
              <w:rPr>
                <w:rFonts w:ascii="Candara" w:eastAsia="Times New Roman" w:hAnsi="Candara" w:cs="Times New Roman"/>
                <w:b/>
                <w:bCs/>
              </w:rPr>
              <w:t>Cód.</w:t>
            </w:r>
          </w:p>
        </w:tc>
        <w:tc>
          <w:tcPr>
            <w:tcW w:w="3723" w:type="pct"/>
            <w:gridSpan w:val="7"/>
            <w:tcBorders>
              <w:top w:val="single" w:sz="8" w:space="0" w:color="auto"/>
              <w:left w:val="nil"/>
              <w:bottom w:val="single" w:sz="4" w:space="0" w:color="auto"/>
              <w:right w:val="single" w:sz="4" w:space="0" w:color="auto"/>
            </w:tcBorders>
            <w:shd w:val="clear" w:color="auto" w:fill="auto"/>
            <w:noWrap/>
            <w:vAlign w:val="center"/>
            <w:hideMark/>
          </w:tcPr>
          <w:p w14:paraId="168AD102"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Fatores</w:t>
            </w:r>
          </w:p>
        </w:tc>
        <w:tc>
          <w:tcPr>
            <w:tcW w:w="921" w:type="pct"/>
            <w:vMerge w:val="restart"/>
            <w:tcBorders>
              <w:top w:val="single" w:sz="8" w:space="0" w:color="auto"/>
              <w:left w:val="nil"/>
              <w:right w:val="nil"/>
            </w:tcBorders>
            <w:shd w:val="clear" w:color="auto" w:fill="auto"/>
            <w:noWrap/>
            <w:vAlign w:val="center"/>
            <w:hideMark/>
          </w:tcPr>
          <w:p w14:paraId="6680E4CF" w14:textId="77777777" w:rsidR="00EE2858" w:rsidRPr="00EE2858" w:rsidRDefault="00EE2858" w:rsidP="00F078D5">
            <w:pPr>
              <w:spacing w:after="0" w:line="240" w:lineRule="auto"/>
              <w:rPr>
                <w:rFonts w:ascii="Candara" w:eastAsia="Times New Roman" w:hAnsi="Candara" w:cs="Times New Roman"/>
              </w:rPr>
            </w:pPr>
            <w:r w:rsidRPr="00EE2858">
              <w:rPr>
                <w:rFonts w:ascii="Candara" w:eastAsia="Times New Roman" w:hAnsi="Candara" w:cs="Times New Roman"/>
              </w:rPr>
              <w:t> </w:t>
            </w:r>
            <w:r w:rsidRPr="00EE2858">
              <w:rPr>
                <w:rFonts w:ascii="Candara" w:eastAsia="Times New Roman" w:hAnsi="Candara" w:cs="Times New Roman"/>
                <w:b/>
                <w:bCs/>
              </w:rPr>
              <w:t>Comunalidades</w:t>
            </w:r>
          </w:p>
        </w:tc>
      </w:tr>
      <w:tr w:rsidR="00EE2858" w:rsidRPr="00EE2858" w14:paraId="707A0A21" w14:textId="77777777" w:rsidTr="00F078D5">
        <w:trPr>
          <w:trHeight w:val="20"/>
        </w:trPr>
        <w:tc>
          <w:tcPr>
            <w:tcW w:w="356" w:type="pct"/>
            <w:vMerge/>
            <w:tcBorders>
              <w:left w:val="nil"/>
              <w:bottom w:val="single" w:sz="4" w:space="0" w:color="auto"/>
              <w:right w:val="single" w:sz="4" w:space="0" w:color="auto"/>
            </w:tcBorders>
            <w:shd w:val="clear" w:color="auto" w:fill="auto"/>
            <w:noWrap/>
            <w:vAlign w:val="center"/>
            <w:hideMark/>
          </w:tcPr>
          <w:p w14:paraId="3F2BDAF3" w14:textId="77777777" w:rsidR="00EE2858" w:rsidRPr="00EE2858" w:rsidRDefault="00EE2858" w:rsidP="00F078D5">
            <w:pPr>
              <w:spacing w:after="0" w:line="240" w:lineRule="auto"/>
              <w:rPr>
                <w:rFonts w:ascii="Candara" w:eastAsia="Times New Roman" w:hAnsi="Candara" w:cs="Times New Roman"/>
                <w:b/>
                <w:bCs/>
              </w:rPr>
            </w:pPr>
          </w:p>
        </w:tc>
        <w:tc>
          <w:tcPr>
            <w:tcW w:w="532" w:type="pct"/>
            <w:tcBorders>
              <w:top w:val="nil"/>
              <w:left w:val="nil"/>
              <w:bottom w:val="single" w:sz="4" w:space="0" w:color="auto"/>
              <w:right w:val="single" w:sz="4" w:space="0" w:color="auto"/>
            </w:tcBorders>
            <w:shd w:val="clear" w:color="auto" w:fill="auto"/>
            <w:noWrap/>
            <w:vAlign w:val="center"/>
            <w:hideMark/>
          </w:tcPr>
          <w:p w14:paraId="107B66FC"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F1</w:t>
            </w:r>
          </w:p>
        </w:tc>
        <w:tc>
          <w:tcPr>
            <w:tcW w:w="532" w:type="pct"/>
            <w:tcBorders>
              <w:top w:val="nil"/>
              <w:left w:val="nil"/>
              <w:bottom w:val="single" w:sz="4" w:space="0" w:color="auto"/>
              <w:right w:val="single" w:sz="4" w:space="0" w:color="auto"/>
            </w:tcBorders>
            <w:shd w:val="clear" w:color="auto" w:fill="auto"/>
            <w:noWrap/>
            <w:vAlign w:val="center"/>
            <w:hideMark/>
          </w:tcPr>
          <w:p w14:paraId="692A88B1"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F2</w:t>
            </w:r>
          </w:p>
        </w:tc>
        <w:tc>
          <w:tcPr>
            <w:tcW w:w="532" w:type="pct"/>
            <w:tcBorders>
              <w:top w:val="nil"/>
              <w:left w:val="nil"/>
              <w:bottom w:val="single" w:sz="4" w:space="0" w:color="auto"/>
              <w:right w:val="single" w:sz="4" w:space="0" w:color="auto"/>
            </w:tcBorders>
            <w:shd w:val="clear" w:color="auto" w:fill="auto"/>
            <w:noWrap/>
            <w:vAlign w:val="center"/>
            <w:hideMark/>
          </w:tcPr>
          <w:p w14:paraId="1FCAE284"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F3</w:t>
            </w:r>
          </w:p>
        </w:tc>
        <w:tc>
          <w:tcPr>
            <w:tcW w:w="532" w:type="pct"/>
            <w:tcBorders>
              <w:top w:val="nil"/>
              <w:left w:val="nil"/>
              <w:bottom w:val="single" w:sz="4" w:space="0" w:color="auto"/>
              <w:right w:val="single" w:sz="4" w:space="0" w:color="auto"/>
            </w:tcBorders>
            <w:shd w:val="clear" w:color="auto" w:fill="auto"/>
            <w:noWrap/>
            <w:vAlign w:val="center"/>
            <w:hideMark/>
          </w:tcPr>
          <w:p w14:paraId="4560B13A"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F4</w:t>
            </w:r>
          </w:p>
        </w:tc>
        <w:tc>
          <w:tcPr>
            <w:tcW w:w="532" w:type="pct"/>
            <w:tcBorders>
              <w:top w:val="nil"/>
              <w:left w:val="nil"/>
              <w:bottom w:val="single" w:sz="4" w:space="0" w:color="auto"/>
              <w:right w:val="single" w:sz="4" w:space="0" w:color="auto"/>
            </w:tcBorders>
            <w:shd w:val="clear" w:color="auto" w:fill="auto"/>
            <w:noWrap/>
            <w:vAlign w:val="center"/>
            <w:hideMark/>
          </w:tcPr>
          <w:p w14:paraId="297BDEA8"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F5</w:t>
            </w:r>
          </w:p>
        </w:tc>
        <w:tc>
          <w:tcPr>
            <w:tcW w:w="532" w:type="pct"/>
            <w:tcBorders>
              <w:top w:val="nil"/>
              <w:left w:val="nil"/>
              <w:bottom w:val="single" w:sz="4" w:space="0" w:color="auto"/>
              <w:right w:val="single" w:sz="4" w:space="0" w:color="auto"/>
            </w:tcBorders>
            <w:shd w:val="clear" w:color="auto" w:fill="auto"/>
            <w:noWrap/>
            <w:vAlign w:val="center"/>
            <w:hideMark/>
          </w:tcPr>
          <w:p w14:paraId="10198BAE"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F6</w:t>
            </w:r>
          </w:p>
        </w:tc>
        <w:tc>
          <w:tcPr>
            <w:tcW w:w="532" w:type="pct"/>
            <w:tcBorders>
              <w:top w:val="nil"/>
              <w:left w:val="nil"/>
              <w:bottom w:val="single" w:sz="4" w:space="0" w:color="auto"/>
              <w:right w:val="single" w:sz="4" w:space="0" w:color="auto"/>
            </w:tcBorders>
            <w:shd w:val="clear" w:color="auto" w:fill="auto"/>
            <w:noWrap/>
            <w:vAlign w:val="center"/>
            <w:hideMark/>
          </w:tcPr>
          <w:p w14:paraId="3F1051FA"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F7</w:t>
            </w:r>
          </w:p>
        </w:tc>
        <w:tc>
          <w:tcPr>
            <w:tcW w:w="921" w:type="pct"/>
            <w:vMerge/>
            <w:tcBorders>
              <w:left w:val="nil"/>
              <w:bottom w:val="single" w:sz="4" w:space="0" w:color="auto"/>
              <w:right w:val="nil"/>
            </w:tcBorders>
            <w:shd w:val="clear" w:color="auto" w:fill="auto"/>
            <w:noWrap/>
            <w:vAlign w:val="center"/>
            <w:hideMark/>
          </w:tcPr>
          <w:p w14:paraId="7025AD66" w14:textId="77777777" w:rsidR="00EE2858" w:rsidRPr="00EE2858" w:rsidRDefault="00EE2858" w:rsidP="00F078D5">
            <w:pPr>
              <w:spacing w:after="0" w:line="240" w:lineRule="auto"/>
              <w:rPr>
                <w:rFonts w:ascii="Candara" w:eastAsia="Times New Roman" w:hAnsi="Candara" w:cs="Times New Roman"/>
                <w:b/>
                <w:bCs/>
              </w:rPr>
            </w:pPr>
          </w:p>
        </w:tc>
      </w:tr>
      <w:tr w:rsidR="00EE2858" w:rsidRPr="00EE2858" w14:paraId="6012BC33" w14:textId="77777777" w:rsidTr="00F078D5">
        <w:trPr>
          <w:trHeight w:val="20"/>
        </w:trPr>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14E3795F"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lastRenderedPageBreak/>
              <w:t>X1</w:t>
            </w:r>
          </w:p>
        </w:tc>
        <w:tc>
          <w:tcPr>
            <w:tcW w:w="532" w:type="pct"/>
            <w:tcBorders>
              <w:top w:val="nil"/>
              <w:left w:val="nil"/>
              <w:bottom w:val="single" w:sz="4" w:space="0" w:color="auto"/>
              <w:right w:val="single" w:sz="4" w:space="0" w:color="auto"/>
            </w:tcBorders>
            <w:shd w:val="clear" w:color="auto" w:fill="auto"/>
            <w:noWrap/>
            <w:vAlign w:val="center"/>
            <w:hideMark/>
          </w:tcPr>
          <w:p w14:paraId="75B3DBD8"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0,895</w:t>
            </w:r>
          </w:p>
        </w:tc>
        <w:tc>
          <w:tcPr>
            <w:tcW w:w="532" w:type="pct"/>
            <w:tcBorders>
              <w:top w:val="nil"/>
              <w:left w:val="nil"/>
              <w:bottom w:val="single" w:sz="4" w:space="0" w:color="auto"/>
              <w:right w:val="single" w:sz="4" w:space="0" w:color="auto"/>
            </w:tcBorders>
            <w:shd w:val="clear" w:color="auto" w:fill="auto"/>
            <w:noWrap/>
            <w:vAlign w:val="center"/>
            <w:hideMark/>
          </w:tcPr>
          <w:p w14:paraId="1005DF5D"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0,099</w:t>
            </w:r>
          </w:p>
        </w:tc>
        <w:tc>
          <w:tcPr>
            <w:tcW w:w="532" w:type="pct"/>
            <w:tcBorders>
              <w:top w:val="nil"/>
              <w:left w:val="nil"/>
              <w:bottom w:val="single" w:sz="4" w:space="0" w:color="auto"/>
              <w:right w:val="single" w:sz="4" w:space="0" w:color="auto"/>
            </w:tcBorders>
            <w:shd w:val="clear" w:color="auto" w:fill="auto"/>
            <w:noWrap/>
            <w:vAlign w:val="center"/>
            <w:hideMark/>
          </w:tcPr>
          <w:p w14:paraId="4C56A9DB"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-0,055</w:t>
            </w:r>
          </w:p>
        </w:tc>
        <w:tc>
          <w:tcPr>
            <w:tcW w:w="532" w:type="pct"/>
            <w:tcBorders>
              <w:top w:val="nil"/>
              <w:left w:val="nil"/>
              <w:bottom w:val="single" w:sz="4" w:space="0" w:color="auto"/>
              <w:right w:val="single" w:sz="4" w:space="0" w:color="auto"/>
            </w:tcBorders>
            <w:shd w:val="clear" w:color="auto" w:fill="auto"/>
            <w:noWrap/>
            <w:vAlign w:val="center"/>
            <w:hideMark/>
          </w:tcPr>
          <w:p w14:paraId="33BF23CE"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0,197</w:t>
            </w:r>
          </w:p>
        </w:tc>
        <w:tc>
          <w:tcPr>
            <w:tcW w:w="532" w:type="pct"/>
            <w:tcBorders>
              <w:top w:val="nil"/>
              <w:left w:val="nil"/>
              <w:bottom w:val="single" w:sz="4" w:space="0" w:color="auto"/>
              <w:right w:val="single" w:sz="4" w:space="0" w:color="auto"/>
            </w:tcBorders>
            <w:shd w:val="clear" w:color="auto" w:fill="auto"/>
            <w:noWrap/>
            <w:vAlign w:val="center"/>
            <w:hideMark/>
          </w:tcPr>
          <w:p w14:paraId="46CD693B"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0,301</w:t>
            </w:r>
          </w:p>
        </w:tc>
        <w:tc>
          <w:tcPr>
            <w:tcW w:w="532" w:type="pct"/>
            <w:tcBorders>
              <w:top w:val="nil"/>
              <w:left w:val="nil"/>
              <w:bottom w:val="single" w:sz="4" w:space="0" w:color="auto"/>
              <w:right w:val="single" w:sz="4" w:space="0" w:color="auto"/>
            </w:tcBorders>
            <w:shd w:val="clear" w:color="auto" w:fill="auto"/>
            <w:noWrap/>
            <w:vAlign w:val="center"/>
            <w:hideMark/>
          </w:tcPr>
          <w:p w14:paraId="514ADCA4"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0,132</w:t>
            </w:r>
          </w:p>
        </w:tc>
        <w:tc>
          <w:tcPr>
            <w:tcW w:w="532" w:type="pct"/>
            <w:tcBorders>
              <w:top w:val="nil"/>
              <w:left w:val="nil"/>
              <w:bottom w:val="single" w:sz="4" w:space="0" w:color="auto"/>
              <w:right w:val="single" w:sz="4" w:space="0" w:color="auto"/>
            </w:tcBorders>
            <w:shd w:val="clear" w:color="auto" w:fill="auto"/>
            <w:noWrap/>
            <w:vAlign w:val="center"/>
            <w:hideMark/>
          </w:tcPr>
          <w:p w14:paraId="3FFF621C"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0,025</w:t>
            </w:r>
          </w:p>
        </w:tc>
        <w:tc>
          <w:tcPr>
            <w:tcW w:w="921" w:type="pct"/>
            <w:tcBorders>
              <w:top w:val="nil"/>
              <w:left w:val="nil"/>
              <w:bottom w:val="single" w:sz="4" w:space="0" w:color="auto"/>
              <w:right w:val="nil"/>
            </w:tcBorders>
            <w:shd w:val="clear" w:color="auto" w:fill="auto"/>
            <w:noWrap/>
            <w:vAlign w:val="center"/>
            <w:hideMark/>
          </w:tcPr>
          <w:p w14:paraId="4363A08B"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0,961</w:t>
            </w:r>
          </w:p>
        </w:tc>
      </w:tr>
      <w:tr w:rsidR="00EE2858" w:rsidRPr="00EE2858" w14:paraId="0CBB6AA1" w14:textId="77777777" w:rsidTr="00F078D5">
        <w:trPr>
          <w:trHeight w:val="20"/>
        </w:trPr>
        <w:tc>
          <w:tcPr>
            <w:tcW w:w="356" w:type="pct"/>
            <w:tcBorders>
              <w:top w:val="nil"/>
              <w:left w:val="nil"/>
              <w:bottom w:val="single" w:sz="4" w:space="0" w:color="auto"/>
              <w:right w:val="single" w:sz="4" w:space="0" w:color="auto"/>
            </w:tcBorders>
            <w:shd w:val="clear" w:color="auto" w:fill="auto"/>
            <w:noWrap/>
            <w:vAlign w:val="center"/>
            <w:hideMark/>
          </w:tcPr>
          <w:p w14:paraId="49CAEA36"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X2</w:t>
            </w:r>
          </w:p>
        </w:tc>
        <w:tc>
          <w:tcPr>
            <w:tcW w:w="532" w:type="pct"/>
            <w:tcBorders>
              <w:top w:val="nil"/>
              <w:left w:val="nil"/>
              <w:bottom w:val="single" w:sz="4" w:space="0" w:color="auto"/>
              <w:right w:val="single" w:sz="4" w:space="0" w:color="auto"/>
            </w:tcBorders>
            <w:shd w:val="clear" w:color="auto" w:fill="auto"/>
            <w:noWrap/>
            <w:vAlign w:val="center"/>
            <w:hideMark/>
          </w:tcPr>
          <w:p w14:paraId="0887F2DC"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0,825</w:t>
            </w:r>
          </w:p>
        </w:tc>
        <w:tc>
          <w:tcPr>
            <w:tcW w:w="532" w:type="pct"/>
            <w:tcBorders>
              <w:top w:val="nil"/>
              <w:left w:val="nil"/>
              <w:bottom w:val="single" w:sz="4" w:space="0" w:color="auto"/>
              <w:right w:val="single" w:sz="4" w:space="0" w:color="auto"/>
            </w:tcBorders>
            <w:shd w:val="clear" w:color="auto" w:fill="auto"/>
            <w:noWrap/>
            <w:vAlign w:val="center"/>
            <w:hideMark/>
          </w:tcPr>
          <w:p w14:paraId="627CA235"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0,241</w:t>
            </w:r>
          </w:p>
        </w:tc>
        <w:tc>
          <w:tcPr>
            <w:tcW w:w="532" w:type="pct"/>
            <w:tcBorders>
              <w:top w:val="nil"/>
              <w:left w:val="nil"/>
              <w:bottom w:val="single" w:sz="4" w:space="0" w:color="auto"/>
              <w:right w:val="single" w:sz="4" w:space="0" w:color="auto"/>
            </w:tcBorders>
            <w:shd w:val="clear" w:color="auto" w:fill="auto"/>
            <w:noWrap/>
            <w:vAlign w:val="center"/>
            <w:hideMark/>
          </w:tcPr>
          <w:p w14:paraId="6267C59C"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0,328</w:t>
            </w:r>
          </w:p>
        </w:tc>
        <w:tc>
          <w:tcPr>
            <w:tcW w:w="532" w:type="pct"/>
            <w:tcBorders>
              <w:top w:val="nil"/>
              <w:left w:val="nil"/>
              <w:bottom w:val="single" w:sz="4" w:space="0" w:color="auto"/>
              <w:right w:val="single" w:sz="4" w:space="0" w:color="auto"/>
            </w:tcBorders>
            <w:shd w:val="clear" w:color="auto" w:fill="auto"/>
            <w:noWrap/>
            <w:vAlign w:val="center"/>
            <w:hideMark/>
          </w:tcPr>
          <w:p w14:paraId="4214E343"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0,018</w:t>
            </w:r>
          </w:p>
        </w:tc>
        <w:tc>
          <w:tcPr>
            <w:tcW w:w="532" w:type="pct"/>
            <w:tcBorders>
              <w:top w:val="nil"/>
              <w:left w:val="nil"/>
              <w:bottom w:val="single" w:sz="4" w:space="0" w:color="auto"/>
              <w:right w:val="single" w:sz="4" w:space="0" w:color="auto"/>
            </w:tcBorders>
            <w:shd w:val="clear" w:color="auto" w:fill="auto"/>
            <w:noWrap/>
            <w:vAlign w:val="center"/>
            <w:hideMark/>
          </w:tcPr>
          <w:p w14:paraId="365F6944"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-0,025</w:t>
            </w:r>
          </w:p>
        </w:tc>
        <w:tc>
          <w:tcPr>
            <w:tcW w:w="532" w:type="pct"/>
            <w:tcBorders>
              <w:top w:val="nil"/>
              <w:left w:val="nil"/>
              <w:bottom w:val="single" w:sz="4" w:space="0" w:color="auto"/>
              <w:right w:val="single" w:sz="4" w:space="0" w:color="auto"/>
            </w:tcBorders>
            <w:shd w:val="clear" w:color="auto" w:fill="auto"/>
            <w:noWrap/>
            <w:vAlign w:val="center"/>
            <w:hideMark/>
          </w:tcPr>
          <w:p w14:paraId="05562D13"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-0,190</w:t>
            </w:r>
          </w:p>
        </w:tc>
        <w:tc>
          <w:tcPr>
            <w:tcW w:w="532" w:type="pct"/>
            <w:tcBorders>
              <w:top w:val="nil"/>
              <w:left w:val="nil"/>
              <w:bottom w:val="single" w:sz="4" w:space="0" w:color="auto"/>
              <w:right w:val="single" w:sz="4" w:space="0" w:color="auto"/>
            </w:tcBorders>
            <w:shd w:val="clear" w:color="auto" w:fill="auto"/>
            <w:noWrap/>
            <w:vAlign w:val="center"/>
            <w:hideMark/>
          </w:tcPr>
          <w:p w14:paraId="560BDD6F"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-0,175</w:t>
            </w:r>
          </w:p>
        </w:tc>
        <w:tc>
          <w:tcPr>
            <w:tcW w:w="921" w:type="pct"/>
            <w:tcBorders>
              <w:top w:val="nil"/>
              <w:left w:val="nil"/>
              <w:bottom w:val="single" w:sz="4" w:space="0" w:color="auto"/>
              <w:right w:val="nil"/>
            </w:tcBorders>
            <w:shd w:val="clear" w:color="auto" w:fill="auto"/>
            <w:noWrap/>
            <w:vAlign w:val="center"/>
            <w:hideMark/>
          </w:tcPr>
          <w:p w14:paraId="203AD99F"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0,914</w:t>
            </w:r>
          </w:p>
        </w:tc>
      </w:tr>
      <w:tr w:rsidR="00EE2858" w:rsidRPr="00EE2858" w14:paraId="33C4C809" w14:textId="77777777" w:rsidTr="00F078D5">
        <w:trPr>
          <w:trHeight w:val="20"/>
        </w:trPr>
        <w:tc>
          <w:tcPr>
            <w:tcW w:w="356" w:type="pct"/>
            <w:tcBorders>
              <w:top w:val="nil"/>
              <w:left w:val="nil"/>
              <w:bottom w:val="single" w:sz="4" w:space="0" w:color="auto"/>
              <w:right w:val="single" w:sz="4" w:space="0" w:color="auto"/>
            </w:tcBorders>
            <w:shd w:val="clear" w:color="auto" w:fill="auto"/>
            <w:noWrap/>
            <w:vAlign w:val="center"/>
            <w:hideMark/>
          </w:tcPr>
          <w:p w14:paraId="0CF64901"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X3</w:t>
            </w:r>
          </w:p>
        </w:tc>
        <w:tc>
          <w:tcPr>
            <w:tcW w:w="532" w:type="pct"/>
            <w:tcBorders>
              <w:top w:val="nil"/>
              <w:left w:val="nil"/>
              <w:bottom w:val="single" w:sz="4" w:space="0" w:color="auto"/>
              <w:right w:val="single" w:sz="4" w:space="0" w:color="auto"/>
            </w:tcBorders>
            <w:shd w:val="clear" w:color="auto" w:fill="auto"/>
            <w:noWrap/>
            <w:vAlign w:val="center"/>
            <w:hideMark/>
          </w:tcPr>
          <w:p w14:paraId="5F5B6CC6"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0,831</w:t>
            </w:r>
          </w:p>
        </w:tc>
        <w:tc>
          <w:tcPr>
            <w:tcW w:w="532" w:type="pct"/>
            <w:tcBorders>
              <w:top w:val="nil"/>
              <w:left w:val="nil"/>
              <w:bottom w:val="single" w:sz="4" w:space="0" w:color="auto"/>
              <w:right w:val="single" w:sz="4" w:space="0" w:color="auto"/>
            </w:tcBorders>
            <w:shd w:val="clear" w:color="auto" w:fill="auto"/>
            <w:noWrap/>
            <w:vAlign w:val="center"/>
            <w:hideMark/>
          </w:tcPr>
          <w:p w14:paraId="5168D7B9"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0,409</w:t>
            </w:r>
          </w:p>
        </w:tc>
        <w:tc>
          <w:tcPr>
            <w:tcW w:w="532" w:type="pct"/>
            <w:tcBorders>
              <w:top w:val="nil"/>
              <w:left w:val="nil"/>
              <w:bottom w:val="single" w:sz="4" w:space="0" w:color="auto"/>
              <w:right w:val="single" w:sz="4" w:space="0" w:color="auto"/>
            </w:tcBorders>
            <w:shd w:val="clear" w:color="auto" w:fill="auto"/>
            <w:noWrap/>
            <w:vAlign w:val="center"/>
            <w:hideMark/>
          </w:tcPr>
          <w:p w14:paraId="3E28AE59"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-0,089</w:t>
            </w:r>
          </w:p>
        </w:tc>
        <w:tc>
          <w:tcPr>
            <w:tcW w:w="532" w:type="pct"/>
            <w:tcBorders>
              <w:top w:val="nil"/>
              <w:left w:val="nil"/>
              <w:bottom w:val="single" w:sz="4" w:space="0" w:color="auto"/>
              <w:right w:val="single" w:sz="4" w:space="0" w:color="auto"/>
            </w:tcBorders>
            <w:shd w:val="clear" w:color="auto" w:fill="auto"/>
            <w:noWrap/>
            <w:vAlign w:val="center"/>
            <w:hideMark/>
          </w:tcPr>
          <w:p w14:paraId="39B55384"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0,134</w:t>
            </w:r>
          </w:p>
        </w:tc>
        <w:tc>
          <w:tcPr>
            <w:tcW w:w="532" w:type="pct"/>
            <w:tcBorders>
              <w:top w:val="nil"/>
              <w:left w:val="nil"/>
              <w:bottom w:val="single" w:sz="4" w:space="0" w:color="auto"/>
              <w:right w:val="single" w:sz="4" w:space="0" w:color="auto"/>
            </w:tcBorders>
            <w:shd w:val="clear" w:color="auto" w:fill="auto"/>
            <w:noWrap/>
            <w:vAlign w:val="center"/>
            <w:hideMark/>
          </w:tcPr>
          <w:p w14:paraId="7C51B7DB"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0,003</w:t>
            </w:r>
          </w:p>
        </w:tc>
        <w:tc>
          <w:tcPr>
            <w:tcW w:w="532" w:type="pct"/>
            <w:tcBorders>
              <w:top w:val="nil"/>
              <w:left w:val="nil"/>
              <w:bottom w:val="single" w:sz="4" w:space="0" w:color="auto"/>
              <w:right w:val="single" w:sz="4" w:space="0" w:color="auto"/>
            </w:tcBorders>
            <w:shd w:val="clear" w:color="auto" w:fill="auto"/>
            <w:noWrap/>
            <w:vAlign w:val="center"/>
            <w:hideMark/>
          </w:tcPr>
          <w:p w14:paraId="660742A5"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0,016</w:t>
            </w:r>
          </w:p>
        </w:tc>
        <w:tc>
          <w:tcPr>
            <w:tcW w:w="532" w:type="pct"/>
            <w:tcBorders>
              <w:top w:val="nil"/>
              <w:left w:val="nil"/>
              <w:bottom w:val="single" w:sz="4" w:space="0" w:color="auto"/>
              <w:right w:val="single" w:sz="4" w:space="0" w:color="auto"/>
            </w:tcBorders>
            <w:shd w:val="clear" w:color="auto" w:fill="auto"/>
            <w:noWrap/>
            <w:vAlign w:val="center"/>
            <w:hideMark/>
          </w:tcPr>
          <w:p w14:paraId="3F9497F9"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-0,018</w:t>
            </w:r>
          </w:p>
        </w:tc>
        <w:tc>
          <w:tcPr>
            <w:tcW w:w="921" w:type="pct"/>
            <w:tcBorders>
              <w:top w:val="nil"/>
              <w:left w:val="nil"/>
              <w:bottom w:val="single" w:sz="4" w:space="0" w:color="auto"/>
              <w:right w:val="nil"/>
            </w:tcBorders>
            <w:shd w:val="clear" w:color="auto" w:fill="auto"/>
            <w:noWrap/>
            <w:vAlign w:val="center"/>
            <w:hideMark/>
          </w:tcPr>
          <w:p w14:paraId="4296F1BD"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0,885</w:t>
            </w:r>
          </w:p>
        </w:tc>
      </w:tr>
      <w:tr w:rsidR="00EE2858" w:rsidRPr="00EE2858" w14:paraId="671CE294" w14:textId="77777777" w:rsidTr="00F078D5">
        <w:trPr>
          <w:trHeight w:val="20"/>
        </w:trPr>
        <w:tc>
          <w:tcPr>
            <w:tcW w:w="356" w:type="pct"/>
            <w:tcBorders>
              <w:top w:val="nil"/>
              <w:left w:val="nil"/>
              <w:bottom w:val="single" w:sz="4" w:space="0" w:color="auto"/>
              <w:right w:val="single" w:sz="4" w:space="0" w:color="auto"/>
            </w:tcBorders>
            <w:shd w:val="clear" w:color="auto" w:fill="auto"/>
            <w:noWrap/>
            <w:vAlign w:val="center"/>
            <w:hideMark/>
          </w:tcPr>
          <w:p w14:paraId="1F3ADC16"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X4</w:t>
            </w:r>
          </w:p>
        </w:tc>
        <w:tc>
          <w:tcPr>
            <w:tcW w:w="532" w:type="pct"/>
            <w:tcBorders>
              <w:top w:val="nil"/>
              <w:left w:val="nil"/>
              <w:bottom w:val="single" w:sz="4" w:space="0" w:color="auto"/>
              <w:right w:val="single" w:sz="4" w:space="0" w:color="auto"/>
            </w:tcBorders>
            <w:shd w:val="clear" w:color="auto" w:fill="auto"/>
            <w:noWrap/>
            <w:vAlign w:val="center"/>
            <w:hideMark/>
          </w:tcPr>
          <w:p w14:paraId="3019F12A"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0,847</w:t>
            </w:r>
          </w:p>
        </w:tc>
        <w:tc>
          <w:tcPr>
            <w:tcW w:w="532" w:type="pct"/>
            <w:tcBorders>
              <w:top w:val="nil"/>
              <w:left w:val="nil"/>
              <w:bottom w:val="single" w:sz="4" w:space="0" w:color="auto"/>
              <w:right w:val="single" w:sz="4" w:space="0" w:color="auto"/>
            </w:tcBorders>
            <w:shd w:val="clear" w:color="auto" w:fill="auto"/>
            <w:noWrap/>
            <w:vAlign w:val="center"/>
            <w:hideMark/>
          </w:tcPr>
          <w:p w14:paraId="6E45A26F"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0,281</w:t>
            </w:r>
          </w:p>
        </w:tc>
        <w:tc>
          <w:tcPr>
            <w:tcW w:w="532" w:type="pct"/>
            <w:tcBorders>
              <w:top w:val="nil"/>
              <w:left w:val="nil"/>
              <w:bottom w:val="single" w:sz="4" w:space="0" w:color="auto"/>
              <w:right w:val="single" w:sz="4" w:space="0" w:color="auto"/>
            </w:tcBorders>
            <w:shd w:val="clear" w:color="auto" w:fill="auto"/>
            <w:noWrap/>
            <w:vAlign w:val="center"/>
            <w:hideMark/>
          </w:tcPr>
          <w:p w14:paraId="007575CA"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0,067</w:t>
            </w:r>
          </w:p>
        </w:tc>
        <w:tc>
          <w:tcPr>
            <w:tcW w:w="532" w:type="pct"/>
            <w:tcBorders>
              <w:top w:val="nil"/>
              <w:left w:val="nil"/>
              <w:bottom w:val="single" w:sz="4" w:space="0" w:color="auto"/>
              <w:right w:val="single" w:sz="4" w:space="0" w:color="auto"/>
            </w:tcBorders>
            <w:shd w:val="clear" w:color="auto" w:fill="auto"/>
            <w:noWrap/>
            <w:vAlign w:val="center"/>
            <w:hideMark/>
          </w:tcPr>
          <w:p w14:paraId="3534646E"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0,238</w:t>
            </w:r>
          </w:p>
        </w:tc>
        <w:tc>
          <w:tcPr>
            <w:tcW w:w="532" w:type="pct"/>
            <w:tcBorders>
              <w:top w:val="nil"/>
              <w:left w:val="nil"/>
              <w:bottom w:val="single" w:sz="4" w:space="0" w:color="auto"/>
              <w:right w:val="single" w:sz="4" w:space="0" w:color="auto"/>
            </w:tcBorders>
            <w:shd w:val="clear" w:color="auto" w:fill="auto"/>
            <w:noWrap/>
            <w:vAlign w:val="center"/>
            <w:hideMark/>
          </w:tcPr>
          <w:p w14:paraId="35FDA395"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0,203</w:t>
            </w:r>
          </w:p>
        </w:tc>
        <w:tc>
          <w:tcPr>
            <w:tcW w:w="532" w:type="pct"/>
            <w:tcBorders>
              <w:top w:val="nil"/>
              <w:left w:val="nil"/>
              <w:bottom w:val="single" w:sz="4" w:space="0" w:color="auto"/>
              <w:right w:val="single" w:sz="4" w:space="0" w:color="auto"/>
            </w:tcBorders>
            <w:shd w:val="clear" w:color="auto" w:fill="auto"/>
            <w:noWrap/>
            <w:vAlign w:val="center"/>
            <w:hideMark/>
          </w:tcPr>
          <w:p w14:paraId="5E796561"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0,116</w:t>
            </w:r>
          </w:p>
        </w:tc>
        <w:tc>
          <w:tcPr>
            <w:tcW w:w="532" w:type="pct"/>
            <w:tcBorders>
              <w:top w:val="nil"/>
              <w:left w:val="nil"/>
              <w:bottom w:val="single" w:sz="4" w:space="0" w:color="auto"/>
              <w:right w:val="single" w:sz="4" w:space="0" w:color="auto"/>
            </w:tcBorders>
            <w:shd w:val="clear" w:color="auto" w:fill="auto"/>
            <w:noWrap/>
            <w:vAlign w:val="center"/>
            <w:hideMark/>
          </w:tcPr>
          <w:p w14:paraId="72331F17"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-0,003</w:t>
            </w:r>
          </w:p>
        </w:tc>
        <w:tc>
          <w:tcPr>
            <w:tcW w:w="921" w:type="pct"/>
            <w:tcBorders>
              <w:top w:val="nil"/>
              <w:left w:val="nil"/>
              <w:bottom w:val="single" w:sz="4" w:space="0" w:color="auto"/>
              <w:right w:val="nil"/>
            </w:tcBorders>
            <w:shd w:val="clear" w:color="auto" w:fill="auto"/>
            <w:noWrap/>
            <w:vAlign w:val="center"/>
            <w:hideMark/>
          </w:tcPr>
          <w:p w14:paraId="2E3CA1EE"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0,913</w:t>
            </w:r>
          </w:p>
        </w:tc>
      </w:tr>
      <w:tr w:rsidR="00EE2858" w:rsidRPr="00EE2858" w14:paraId="38405DE7" w14:textId="77777777" w:rsidTr="00F078D5">
        <w:trPr>
          <w:trHeight w:val="20"/>
        </w:trPr>
        <w:tc>
          <w:tcPr>
            <w:tcW w:w="356" w:type="pct"/>
            <w:tcBorders>
              <w:top w:val="nil"/>
              <w:left w:val="nil"/>
              <w:bottom w:val="single" w:sz="4" w:space="0" w:color="auto"/>
              <w:right w:val="single" w:sz="4" w:space="0" w:color="auto"/>
            </w:tcBorders>
            <w:shd w:val="clear" w:color="auto" w:fill="auto"/>
            <w:noWrap/>
            <w:vAlign w:val="center"/>
            <w:hideMark/>
          </w:tcPr>
          <w:p w14:paraId="5A2D2DAB"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X5</w:t>
            </w:r>
          </w:p>
        </w:tc>
        <w:tc>
          <w:tcPr>
            <w:tcW w:w="532" w:type="pct"/>
            <w:tcBorders>
              <w:top w:val="nil"/>
              <w:left w:val="nil"/>
              <w:bottom w:val="single" w:sz="4" w:space="0" w:color="auto"/>
              <w:right w:val="single" w:sz="4" w:space="0" w:color="auto"/>
            </w:tcBorders>
            <w:shd w:val="clear" w:color="auto" w:fill="auto"/>
            <w:noWrap/>
            <w:vAlign w:val="center"/>
            <w:hideMark/>
          </w:tcPr>
          <w:p w14:paraId="123DD429" w14:textId="77777777" w:rsidR="00EE2858" w:rsidRPr="00B76476" w:rsidRDefault="00EE2858" w:rsidP="00F078D5">
            <w:pPr>
              <w:spacing w:after="0" w:line="240" w:lineRule="auto"/>
              <w:jc w:val="center"/>
              <w:rPr>
                <w:rFonts w:ascii="Candara" w:eastAsia="Times New Roman" w:hAnsi="Candara" w:cs="Times New Roman"/>
                <w:b/>
                <w:bCs/>
              </w:rPr>
            </w:pPr>
            <w:r w:rsidRPr="00B76476">
              <w:rPr>
                <w:rFonts w:ascii="Candara" w:eastAsia="Times New Roman" w:hAnsi="Candara" w:cs="Times New Roman"/>
                <w:b/>
                <w:bCs/>
              </w:rPr>
              <w:t>0,623</w:t>
            </w:r>
          </w:p>
        </w:tc>
        <w:tc>
          <w:tcPr>
            <w:tcW w:w="532" w:type="pct"/>
            <w:tcBorders>
              <w:top w:val="nil"/>
              <w:left w:val="nil"/>
              <w:bottom w:val="single" w:sz="4" w:space="0" w:color="auto"/>
              <w:right w:val="single" w:sz="4" w:space="0" w:color="auto"/>
            </w:tcBorders>
            <w:shd w:val="clear" w:color="auto" w:fill="auto"/>
            <w:noWrap/>
            <w:vAlign w:val="center"/>
            <w:hideMark/>
          </w:tcPr>
          <w:p w14:paraId="6900F6F8"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0,399</w:t>
            </w:r>
          </w:p>
        </w:tc>
        <w:tc>
          <w:tcPr>
            <w:tcW w:w="532" w:type="pct"/>
            <w:tcBorders>
              <w:top w:val="nil"/>
              <w:left w:val="nil"/>
              <w:bottom w:val="single" w:sz="4" w:space="0" w:color="auto"/>
              <w:right w:val="single" w:sz="4" w:space="0" w:color="auto"/>
            </w:tcBorders>
            <w:shd w:val="clear" w:color="auto" w:fill="auto"/>
            <w:noWrap/>
            <w:vAlign w:val="center"/>
            <w:hideMark/>
          </w:tcPr>
          <w:p w14:paraId="650F6C45"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0,070</w:t>
            </w:r>
          </w:p>
        </w:tc>
        <w:tc>
          <w:tcPr>
            <w:tcW w:w="532" w:type="pct"/>
            <w:tcBorders>
              <w:top w:val="nil"/>
              <w:left w:val="nil"/>
              <w:bottom w:val="single" w:sz="4" w:space="0" w:color="auto"/>
              <w:right w:val="single" w:sz="4" w:space="0" w:color="auto"/>
            </w:tcBorders>
            <w:shd w:val="clear" w:color="auto" w:fill="auto"/>
            <w:noWrap/>
            <w:vAlign w:val="center"/>
            <w:hideMark/>
          </w:tcPr>
          <w:p w14:paraId="1BB98DA7" w14:textId="77777777" w:rsidR="00EE2858" w:rsidRPr="00B76476" w:rsidRDefault="00EE2858" w:rsidP="00F078D5">
            <w:pPr>
              <w:spacing w:after="0" w:line="240" w:lineRule="auto"/>
              <w:jc w:val="center"/>
              <w:rPr>
                <w:rFonts w:ascii="Candara" w:eastAsia="Times New Roman" w:hAnsi="Candara" w:cs="Times New Roman"/>
              </w:rPr>
            </w:pPr>
            <w:r w:rsidRPr="00B76476">
              <w:rPr>
                <w:rFonts w:ascii="Candara" w:eastAsia="Times New Roman" w:hAnsi="Candara" w:cs="Times New Roman"/>
              </w:rPr>
              <w:t>0,508</w:t>
            </w:r>
          </w:p>
        </w:tc>
        <w:tc>
          <w:tcPr>
            <w:tcW w:w="532" w:type="pct"/>
            <w:tcBorders>
              <w:top w:val="nil"/>
              <w:left w:val="nil"/>
              <w:bottom w:val="single" w:sz="4" w:space="0" w:color="auto"/>
              <w:right w:val="single" w:sz="4" w:space="0" w:color="auto"/>
            </w:tcBorders>
            <w:shd w:val="clear" w:color="auto" w:fill="auto"/>
            <w:noWrap/>
            <w:vAlign w:val="center"/>
            <w:hideMark/>
          </w:tcPr>
          <w:p w14:paraId="387BF970"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0,021</w:t>
            </w:r>
          </w:p>
        </w:tc>
        <w:tc>
          <w:tcPr>
            <w:tcW w:w="532" w:type="pct"/>
            <w:tcBorders>
              <w:top w:val="nil"/>
              <w:left w:val="nil"/>
              <w:bottom w:val="single" w:sz="4" w:space="0" w:color="auto"/>
              <w:right w:val="single" w:sz="4" w:space="0" w:color="auto"/>
            </w:tcBorders>
            <w:shd w:val="clear" w:color="auto" w:fill="auto"/>
            <w:noWrap/>
            <w:vAlign w:val="center"/>
            <w:hideMark/>
          </w:tcPr>
          <w:p w14:paraId="071D1941"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-0,187</w:t>
            </w:r>
          </w:p>
        </w:tc>
        <w:tc>
          <w:tcPr>
            <w:tcW w:w="532" w:type="pct"/>
            <w:tcBorders>
              <w:top w:val="nil"/>
              <w:left w:val="nil"/>
              <w:bottom w:val="single" w:sz="4" w:space="0" w:color="auto"/>
              <w:right w:val="single" w:sz="4" w:space="0" w:color="auto"/>
            </w:tcBorders>
            <w:shd w:val="clear" w:color="auto" w:fill="auto"/>
            <w:noWrap/>
            <w:vAlign w:val="center"/>
            <w:hideMark/>
          </w:tcPr>
          <w:p w14:paraId="025E84BF"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0,048</w:t>
            </w:r>
          </w:p>
        </w:tc>
        <w:tc>
          <w:tcPr>
            <w:tcW w:w="921" w:type="pct"/>
            <w:tcBorders>
              <w:top w:val="nil"/>
              <w:left w:val="nil"/>
              <w:bottom w:val="single" w:sz="4" w:space="0" w:color="auto"/>
              <w:right w:val="nil"/>
            </w:tcBorders>
            <w:shd w:val="clear" w:color="auto" w:fill="auto"/>
            <w:noWrap/>
            <w:vAlign w:val="center"/>
            <w:hideMark/>
          </w:tcPr>
          <w:p w14:paraId="7F17345A"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0,848</w:t>
            </w:r>
          </w:p>
        </w:tc>
      </w:tr>
      <w:tr w:rsidR="00EE2858" w:rsidRPr="00EE2858" w14:paraId="64C9601E" w14:textId="77777777" w:rsidTr="00F078D5">
        <w:trPr>
          <w:trHeight w:val="20"/>
        </w:trPr>
        <w:tc>
          <w:tcPr>
            <w:tcW w:w="356" w:type="pct"/>
            <w:tcBorders>
              <w:top w:val="nil"/>
              <w:left w:val="nil"/>
              <w:bottom w:val="single" w:sz="4" w:space="0" w:color="auto"/>
              <w:right w:val="single" w:sz="4" w:space="0" w:color="auto"/>
            </w:tcBorders>
            <w:shd w:val="clear" w:color="auto" w:fill="auto"/>
            <w:noWrap/>
            <w:vAlign w:val="center"/>
            <w:hideMark/>
          </w:tcPr>
          <w:p w14:paraId="185F4568"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X6</w:t>
            </w:r>
          </w:p>
        </w:tc>
        <w:tc>
          <w:tcPr>
            <w:tcW w:w="532" w:type="pct"/>
            <w:tcBorders>
              <w:top w:val="nil"/>
              <w:left w:val="nil"/>
              <w:bottom w:val="single" w:sz="4" w:space="0" w:color="auto"/>
              <w:right w:val="single" w:sz="4" w:space="0" w:color="auto"/>
            </w:tcBorders>
            <w:shd w:val="clear" w:color="auto" w:fill="auto"/>
            <w:noWrap/>
            <w:vAlign w:val="center"/>
            <w:hideMark/>
          </w:tcPr>
          <w:p w14:paraId="19F65C22"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0,448</w:t>
            </w:r>
          </w:p>
        </w:tc>
        <w:tc>
          <w:tcPr>
            <w:tcW w:w="532" w:type="pct"/>
            <w:tcBorders>
              <w:top w:val="nil"/>
              <w:left w:val="nil"/>
              <w:bottom w:val="single" w:sz="4" w:space="0" w:color="auto"/>
              <w:right w:val="single" w:sz="4" w:space="0" w:color="auto"/>
            </w:tcBorders>
            <w:shd w:val="clear" w:color="auto" w:fill="auto"/>
            <w:noWrap/>
            <w:vAlign w:val="center"/>
            <w:hideMark/>
          </w:tcPr>
          <w:p w14:paraId="1B39446B"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0,799</w:t>
            </w:r>
          </w:p>
        </w:tc>
        <w:tc>
          <w:tcPr>
            <w:tcW w:w="532" w:type="pct"/>
            <w:tcBorders>
              <w:top w:val="nil"/>
              <w:left w:val="nil"/>
              <w:bottom w:val="single" w:sz="4" w:space="0" w:color="auto"/>
              <w:right w:val="single" w:sz="4" w:space="0" w:color="auto"/>
            </w:tcBorders>
            <w:shd w:val="clear" w:color="auto" w:fill="auto"/>
            <w:noWrap/>
            <w:vAlign w:val="center"/>
            <w:hideMark/>
          </w:tcPr>
          <w:p w14:paraId="7F027BF5"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0,116</w:t>
            </w:r>
          </w:p>
        </w:tc>
        <w:tc>
          <w:tcPr>
            <w:tcW w:w="532" w:type="pct"/>
            <w:tcBorders>
              <w:top w:val="nil"/>
              <w:left w:val="nil"/>
              <w:bottom w:val="single" w:sz="4" w:space="0" w:color="auto"/>
              <w:right w:val="single" w:sz="4" w:space="0" w:color="auto"/>
            </w:tcBorders>
            <w:shd w:val="clear" w:color="auto" w:fill="auto"/>
            <w:noWrap/>
            <w:vAlign w:val="center"/>
            <w:hideMark/>
          </w:tcPr>
          <w:p w14:paraId="1D5A63F6"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0,160</w:t>
            </w:r>
          </w:p>
        </w:tc>
        <w:tc>
          <w:tcPr>
            <w:tcW w:w="532" w:type="pct"/>
            <w:tcBorders>
              <w:top w:val="nil"/>
              <w:left w:val="nil"/>
              <w:bottom w:val="single" w:sz="4" w:space="0" w:color="auto"/>
              <w:right w:val="single" w:sz="4" w:space="0" w:color="auto"/>
            </w:tcBorders>
            <w:shd w:val="clear" w:color="auto" w:fill="auto"/>
            <w:noWrap/>
            <w:vAlign w:val="center"/>
            <w:hideMark/>
          </w:tcPr>
          <w:p w14:paraId="2FB994E2"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-0,064</w:t>
            </w:r>
          </w:p>
        </w:tc>
        <w:tc>
          <w:tcPr>
            <w:tcW w:w="532" w:type="pct"/>
            <w:tcBorders>
              <w:top w:val="nil"/>
              <w:left w:val="nil"/>
              <w:bottom w:val="single" w:sz="4" w:space="0" w:color="auto"/>
              <w:right w:val="single" w:sz="4" w:space="0" w:color="auto"/>
            </w:tcBorders>
            <w:shd w:val="clear" w:color="auto" w:fill="auto"/>
            <w:noWrap/>
            <w:vAlign w:val="center"/>
            <w:hideMark/>
          </w:tcPr>
          <w:p w14:paraId="7D9164A2"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-0,072</w:t>
            </w:r>
          </w:p>
        </w:tc>
        <w:tc>
          <w:tcPr>
            <w:tcW w:w="532" w:type="pct"/>
            <w:tcBorders>
              <w:top w:val="nil"/>
              <w:left w:val="nil"/>
              <w:bottom w:val="single" w:sz="4" w:space="0" w:color="auto"/>
              <w:right w:val="single" w:sz="4" w:space="0" w:color="auto"/>
            </w:tcBorders>
            <w:shd w:val="clear" w:color="auto" w:fill="auto"/>
            <w:noWrap/>
            <w:vAlign w:val="center"/>
            <w:hideMark/>
          </w:tcPr>
          <w:p w14:paraId="4DCEA671"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0,117</w:t>
            </w:r>
          </w:p>
        </w:tc>
        <w:tc>
          <w:tcPr>
            <w:tcW w:w="921" w:type="pct"/>
            <w:tcBorders>
              <w:top w:val="nil"/>
              <w:left w:val="nil"/>
              <w:bottom w:val="single" w:sz="4" w:space="0" w:color="auto"/>
              <w:right w:val="nil"/>
            </w:tcBorders>
            <w:shd w:val="clear" w:color="auto" w:fill="auto"/>
            <w:noWrap/>
            <w:vAlign w:val="center"/>
            <w:hideMark/>
          </w:tcPr>
          <w:p w14:paraId="0BD4262E"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0,902</w:t>
            </w:r>
          </w:p>
        </w:tc>
      </w:tr>
      <w:tr w:rsidR="00EE2858" w:rsidRPr="00EE2858" w14:paraId="6F935B2E" w14:textId="77777777" w:rsidTr="00F078D5">
        <w:trPr>
          <w:trHeight w:val="20"/>
        </w:trPr>
        <w:tc>
          <w:tcPr>
            <w:tcW w:w="356" w:type="pct"/>
            <w:tcBorders>
              <w:top w:val="nil"/>
              <w:left w:val="nil"/>
              <w:bottom w:val="single" w:sz="4" w:space="0" w:color="auto"/>
              <w:right w:val="single" w:sz="4" w:space="0" w:color="auto"/>
            </w:tcBorders>
            <w:shd w:val="clear" w:color="auto" w:fill="auto"/>
            <w:noWrap/>
            <w:vAlign w:val="center"/>
            <w:hideMark/>
          </w:tcPr>
          <w:p w14:paraId="1C793B96"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X7</w:t>
            </w:r>
          </w:p>
        </w:tc>
        <w:tc>
          <w:tcPr>
            <w:tcW w:w="532" w:type="pct"/>
            <w:tcBorders>
              <w:top w:val="nil"/>
              <w:left w:val="nil"/>
              <w:bottom w:val="single" w:sz="4" w:space="0" w:color="auto"/>
              <w:right w:val="single" w:sz="4" w:space="0" w:color="auto"/>
            </w:tcBorders>
            <w:shd w:val="clear" w:color="auto" w:fill="auto"/>
            <w:noWrap/>
            <w:vAlign w:val="center"/>
            <w:hideMark/>
          </w:tcPr>
          <w:p w14:paraId="71EFB76A"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0,414</w:t>
            </w:r>
          </w:p>
        </w:tc>
        <w:tc>
          <w:tcPr>
            <w:tcW w:w="532" w:type="pct"/>
            <w:tcBorders>
              <w:top w:val="nil"/>
              <w:left w:val="nil"/>
              <w:bottom w:val="single" w:sz="4" w:space="0" w:color="auto"/>
              <w:right w:val="single" w:sz="4" w:space="0" w:color="auto"/>
            </w:tcBorders>
            <w:shd w:val="clear" w:color="auto" w:fill="auto"/>
            <w:noWrap/>
            <w:vAlign w:val="center"/>
            <w:hideMark/>
          </w:tcPr>
          <w:p w14:paraId="145C5A1E"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0,803</w:t>
            </w:r>
          </w:p>
        </w:tc>
        <w:tc>
          <w:tcPr>
            <w:tcW w:w="532" w:type="pct"/>
            <w:tcBorders>
              <w:top w:val="nil"/>
              <w:left w:val="nil"/>
              <w:bottom w:val="single" w:sz="4" w:space="0" w:color="auto"/>
              <w:right w:val="single" w:sz="4" w:space="0" w:color="auto"/>
            </w:tcBorders>
            <w:shd w:val="clear" w:color="auto" w:fill="auto"/>
            <w:noWrap/>
            <w:vAlign w:val="center"/>
            <w:hideMark/>
          </w:tcPr>
          <w:p w14:paraId="35F9E713"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-0,139</w:t>
            </w:r>
          </w:p>
        </w:tc>
        <w:tc>
          <w:tcPr>
            <w:tcW w:w="532" w:type="pct"/>
            <w:tcBorders>
              <w:top w:val="nil"/>
              <w:left w:val="nil"/>
              <w:bottom w:val="single" w:sz="4" w:space="0" w:color="auto"/>
              <w:right w:val="single" w:sz="4" w:space="0" w:color="auto"/>
            </w:tcBorders>
            <w:shd w:val="clear" w:color="auto" w:fill="auto"/>
            <w:noWrap/>
            <w:vAlign w:val="center"/>
            <w:hideMark/>
          </w:tcPr>
          <w:p w14:paraId="4F2283E4"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-0,050</w:t>
            </w:r>
          </w:p>
        </w:tc>
        <w:tc>
          <w:tcPr>
            <w:tcW w:w="532" w:type="pct"/>
            <w:tcBorders>
              <w:top w:val="nil"/>
              <w:left w:val="nil"/>
              <w:bottom w:val="single" w:sz="4" w:space="0" w:color="auto"/>
              <w:right w:val="single" w:sz="4" w:space="0" w:color="auto"/>
            </w:tcBorders>
            <w:shd w:val="clear" w:color="auto" w:fill="auto"/>
            <w:noWrap/>
            <w:vAlign w:val="center"/>
            <w:hideMark/>
          </w:tcPr>
          <w:p w14:paraId="7A2AA04F"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0,240</w:t>
            </w:r>
          </w:p>
        </w:tc>
        <w:tc>
          <w:tcPr>
            <w:tcW w:w="532" w:type="pct"/>
            <w:tcBorders>
              <w:top w:val="nil"/>
              <w:left w:val="nil"/>
              <w:bottom w:val="single" w:sz="4" w:space="0" w:color="auto"/>
              <w:right w:val="single" w:sz="4" w:space="0" w:color="auto"/>
            </w:tcBorders>
            <w:shd w:val="clear" w:color="auto" w:fill="auto"/>
            <w:noWrap/>
            <w:vAlign w:val="center"/>
            <w:hideMark/>
          </w:tcPr>
          <w:p w14:paraId="5054F8C6"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0,070</w:t>
            </w:r>
          </w:p>
        </w:tc>
        <w:tc>
          <w:tcPr>
            <w:tcW w:w="532" w:type="pct"/>
            <w:tcBorders>
              <w:top w:val="nil"/>
              <w:left w:val="nil"/>
              <w:bottom w:val="single" w:sz="4" w:space="0" w:color="auto"/>
              <w:right w:val="single" w:sz="4" w:space="0" w:color="auto"/>
            </w:tcBorders>
            <w:shd w:val="clear" w:color="auto" w:fill="auto"/>
            <w:noWrap/>
            <w:vAlign w:val="center"/>
            <w:hideMark/>
          </w:tcPr>
          <w:p w14:paraId="66D8AA5B"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0,031</w:t>
            </w:r>
          </w:p>
        </w:tc>
        <w:tc>
          <w:tcPr>
            <w:tcW w:w="921" w:type="pct"/>
            <w:tcBorders>
              <w:top w:val="nil"/>
              <w:left w:val="nil"/>
              <w:bottom w:val="single" w:sz="4" w:space="0" w:color="auto"/>
              <w:right w:val="nil"/>
            </w:tcBorders>
            <w:shd w:val="clear" w:color="auto" w:fill="auto"/>
            <w:noWrap/>
            <w:vAlign w:val="center"/>
            <w:hideMark/>
          </w:tcPr>
          <w:p w14:paraId="210C4A84"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0,901</w:t>
            </w:r>
          </w:p>
        </w:tc>
      </w:tr>
      <w:tr w:rsidR="00EE2858" w:rsidRPr="00EE2858" w14:paraId="2595BF6E" w14:textId="77777777" w:rsidTr="00F078D5">
        <w:trPr>
          <w:trHeight w:val="20"/>
        </w:trPr>
        <w:tc>
          <w:tcPr>
            <w:tcW w:w="356" w:type="pct"/>
            <w:tcBorders>
              <w:top w:val="nil"/>
              <w:left w:val="nil"/>
              <w:bottom w:val="single" w:sz="4" w:space="0" w:color="auto"/>
              <w:right w:val="single" w:sz="4" w:space="0" w:color="auto"/>
            </w:tcBorders>
            <w:shd w:val="clear" w:color="auto" w:fill="auto"/>
            <w:noWrap/>
            <w:vAlign w:val="center"/>
            <w:hideMark/>
          </w:tcPr>
          <w:p w14:paraId="031DDA84"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X8</w:t>
            </w:r>
          </w:p>
        </w:tc>
        <w:tc>
          <w:tcPr>
            <w:tcW w:w="532" w:type="pct"/>
            <w:tcBorders>
              <w:top w:val="nil"/>
              <w:left w:val="nil"/>
              <w:bottom w:val="single" w:sz="4" w:space="0" w:color="auto"/>
              <w:right w:val="single" w:sz="4" w:space="0" w:color="auto"/>
            </w:tcBorders>
            <w:shd w:val="clear" w:color="auto" w:fill="auto"/>
            <w:noWrap/>
            <w:vAlign w:val="center"/>
            <w:hideMark/>
          </w:tcPr>
          <w:p w14:paraId="2B54B586"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0,272</w:t>
            </w:r>
          </w:p>
        </w:tc>
        <w:tc>
          <w:tcPr>
            <w:tcW w:w="532" w:type="pct"/>
            <w:tcBorders>
              <w:top w:val="nil"/>
              <w:left w:val="nil"/>
              <w:bottom w:val="single" w:sz="4" w:space="0" w:color="auto"/>
              <w:right w:val="single" w:sz="4" w:space="0" w:color="auto"/>
            </w:tcBorders>
            <w:shd w:val="clear" w:color="auto" w:fill="auto"/>
            <w:noWrap/>
            <w:vAlign w:val="center"/>
            <w:hideMark/>
          </w:tcPr>
          <w:p w14:paraId="6BC498AA"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0,878</w:t>
            </w:r>
          </w:p>
        </w:tc>
        <w:tc>
          <w:tcPr>
            <w:tcW w:w="532" w:type="pct"/>
            <w:tcBorders>
              <w:top w:val="nil"/>
              <w:left w:val="nil"/>
              <w:bottom w:val="single" w:sz="4" w:space="0" w:color="auto"/>
              <w:right w:val="single" w:sz="4" w:space="0" w:color="auto"/>
            </w:tcBorders>
            <w:shd w:val="clear" w:color="auto" w:fill="auto"/>
            <w:noWrap/>
            <w:vAlign w:val="center"/>
            <w:hideMark/>
          </w:tcPr>
          <w:p w14:paraId="7021B16F"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0,050</w:t>
            </w:r>
          </w:p>
        </w:tc>
        <w:tc>
          <w:tcPr>
            <w:tcW w:w="532" w:type="pct"/>
            <w:tcBorders>
              <w:top w:val="nil"/>
              <w:left w:val="nil"/>
              <w:bottom w:val="single" w:sz="4" w:space="0" w:color="auto"/>
              <w:right w:val="single" w:sz="4" w:space="0" w:color="auto"/>
            </w:tcBorders>
            <w:shd w:val="clear" w:color="auto" w:fill="auto"/>
            <w:noWrap/>
            <w:vAlign w:val="center"/>
            <w:hideMark/>
          </w:tcPr>
          <w:p w14:paraId="57A0DCF1"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0,230</w:t>
            </w:r>
          </w:p>
        </w:tc>
        <w:tc>
          <w:tcPr>
            <w:tcW w:w="532" w:type="pct"/>
            <w:tcBorders>
              <w:top w:val="nil"/>
              <w:left w:val="nil"/>
              <w:bottom w:val="single" w:sz="4" w:space="0" w:color="auto"/>
              <w:right w:val="single" w:sz="4" w:space="0" w:color="auto"/>
            </w:tcBorders>
            <w:shd w:val="clear" w:color="auto" w:fill="auto"/>
            <w:noWrap/>
            <w:vAlign w:val="center"/>
            <w:hideMark/>
          </w:tcPr>
          <w:p w14:paraId="5148FFDD"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-0,006</w:t>
            </w:r>
          </w:p>
        </w:tc>
        <w:tc>
          <w:tcPr>
            <w:tcW w:w="532" w:type="pct"/>
            <w:tcBorders>
              <w:top w:val="nil"/>
              <w:left w:val="nil"/>
              <w:bottom w:val="single" w:sz="4" w:space="0" w:color="auto"/>
              <w:right w:val="single" w:sz="4" w:space="0" w:color="auto"/>
            </w:tcBorders>
            <w:shd w:val="clear" w:color="auto" w:fill="auto"/>
            <w:noWrap/>
            <w:vAlign w:val="center"/>
            <w:hideMark/>
          </w:tcPr>
          <w:p w14:paraId="788C93DA"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0,006</w:t>
            </w:r>
          </w:p>
        </w:tc>
        <w:tc>
          <w:tcPr>
            <w:tcW w:w="532" w:type="pct"/>
            <w:tcBorders>
              <w:top w:val="nil"/>
              <w:left w:val="nil"/>
              <w:bottom w:val="single" w:sz="4" w:space="0" w:color="auto"/>
              <w:right w:val="single" w:sz="4" w:space="0" w:color="auto"/>
            </w:tcBorders>
            <w:shd w:val="clear" w:color="auto" w:fill="auto"/>
            <w:noWrap/>
            <w:vAlign w:val="center"/>
            <w:hideMark/>
          </w:tcPr>
          <w:p w14:paraId="441118D7"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0,013</w:t>
            </w:r>
          </w:p>
        </w:tc>
        <w:tc>
          <w:tcPr>
            <w:tcW w:w="921" w:type="pct"/>
            <w:tcBorders>
              <w:top w:val="nil"/>
              <w:left w:val="nil"/>
              <w:bottom w:val="single" w:sz="4" w:space="0" w:color="auto"/>
              <w:right w:val="nil"/>
            </w:tcBorders>
            <w:shd w:val="clear" w:color="auto" w:fill="auto"/>
            <w:noWrap/>
            <w:vAlign w:val="center"/>
            <w:hideMark/>
          </w:tcPr>
          <w:p w14:paraId="5EF2D9AE"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0,900</w:t>
            </w:r>
          </w:p>
        </w:tc>
      </w:tr>
      <w:tr w:rsidR="00EE2858" w:rsidRPr="00EE2858" w14:paraId="2B1467CD" w14:textId="77777777" w:rsidTr="00F078D5">
        <w:trPr>
          <w:trHeight w:val="20"/>
        </w:trPr>
        <w:tc>
          <w:tcPr>
            <w:tcW w:w="356" w:type="pct"/>
            <w:tcBorders>
              <w:top w:val="nil"/>
              <w:left w:val="nil"/>
              <w:bottom w:val="single" w:sz="4" w:space="0" w:color="auto"/>
              <w:right w:val="single" w:sz="4" w:space="0" w:color="auto"/>
            </w:tcBorders>
            <w:shd w:val="clear" w:color="auto" w:fill="auto"/>
            <w:noWrap/>
            <w:vAlign w:val="center"/>
            <w:hideMark/>
          </w:tcPr>
          <w:p w14:paraId="7CDDA2EB"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X9</w:t>
            </w:r>
          </w:p>
        </w:tc>
        <w:tc>
          <w:tcPr>
            <w:tcW w:w="532" w:type="pct"/>
            <w:tcBorders>
              <w:top w:val="nil"/>
              <w:left w:val="nil"/>
              <w:bottom w:val="single" w:sz="4" w:space="0" w:color="auto"/>
              <w:right w:val="single" w:sz="4" w:space="0" w:color="auto"/>
            </w:tcBorders>
            <w:shd w:val="clear" w:color="auto" w:fill="auto"/>
            <w:noWrap/>
            <w:vAlign w:val="center"/>
            <w:hideMark/>
          </w:tcPr>
          <w:p w14:paraId="5DC007E8"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0,222</w:t>
            </w:r>
          </w:p>
        </w:tc>
        <w:tc>
          <w:tcPr>
            <w:tcW w:w="532" w:type="pct"/>
            <w:tcBorders>
              <w:top w:val="nil"/>
              <w:left w:val="nil"/>
              <w:bottom w:val="single" w:sz="4" w:space="0" w:color="auto"/>
              <w:right w:val="single" w:sz="4" w:space="0" w:color="auto"/>
            </w:tcBorders>
            <w:shd w:val="clear" w:color="auto" w:fill="auto"/>
            <w:noWrap/>
            <w:vAlign w:val="center"/>
            <w:hideMark/>
          </w:tcPr>
          <w:p w14:paraId="2AFC36E9"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0,215</w:t>
            </w:r>
          </w:p>
        </w:tc>
        <w:tc>
          <w:tcPr>
            <w:tcW w:w="532" w:type="pct"/>
            <w:tcBorders>
              <w:top w:val="nil"/>
              <w:left w:val="nil"/>
              <w:bottom w:val="single" w:sz="4" w:space="0" w:color="auto"/>
              <w:right w:val="single" w:sz="4" w:space="0" w:color="auto"/>
            </w:tcBorders>
            <w:shd w:val="clear" w:color="auto" w:fill="auto"/>
            <w:noWrap/>
            <w:vAlign w:val="center"/>
            <w:hideMark/>
          </w:tcPr>
          <w:p w14:paraId="28D34424"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-0,006</w:t>
            </w:r>
          </w:p>
        </w:tc>
        <w:tc>
          <w:tcPr>
            <w:tcW w:w="532" w:type="pct"/>
            <w:tcBorders>
              <w:top w:val="nil"/>
              <w:left w:val="nil"/>
              <w:bottom w:val="single" w:sz="4" w:space="0" w:color="auto"/>
              <w:right w:val="single" w:sz="4" w:space="0" w:color="auto"/>
            </w:tcBorders>
            <w:shd w:val="clear" w:color="auto" w:fill="auto"/>
            <w:noWrap/>
            <w:vAlign w:val="center"/>
            <w:hideMark/>
          </w:tcPr>
          <w:p w14:paraId="4BE9D518"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0,881</w:t>
            </w:r>
          </w:p>
        </w:tc>
        <w:tc>
          <w:tcPr>
            <w:tcW w:w="532" w:type="pct"/>
            <w:tcBorders>
              <w:top w:val="nil"/>
              <w:left w:val="nil"/>
              <w:bottom w:val="single" w:sz="4" w:space="0" w:color="auto"/>
              <w:right w:val="single" w:sz="4" w:space="0" w:color="auto"/>
            </w:tcBorders>
            <w:shd w:val="clear" w:color="auto" w:fill="auto"/>
            <w:noWrap/>
            <w:vAlign w:val="center"/>
            <w:hideMark/>
          </w:tcPr>
          <w:p w14:paraId="64A0E683"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0,141</w:t>
            </w:r>
          </w:p>
        </w:tc>
        <w:tc>
          <w:tcPr>
            <w:tcW w:w="532" w:type="pct"/>
            <w:tcBorders>
              <w:top w:val="nil"/>
              <w:left w:val="nil"/>
              <w:bottom w:val="single" w:sz="4" w:space="0" w:color="auto"/>
              <w:right w:val="single" w:sz="4" w:space="0" w:color="auto"/>
            </w:tcBorders>
            <w:shd w:val="clear" w:color="auto" w:fill="auto"/>
            <w:noWrap/>
            <w:vAlign w:val="center"/>
            <w:hideMark/>
          </w:tcPr>
          <w:p w14:paraId="0BB825E8"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0,025</w:t>
            </w:r>
          </w:p>
        </w:tc>
        <w:tc>
          <w:tcPr>
            <w:tcW w:w="532" w:type="pct"/>
            <w:tcBorders>
              <w:top w:val="nil"/>
              <w:left w:val="nil"/>
              <w:bottom w:val="single" w:sz="4" w:space="0" w:color="auto"/>
              <w:right w:val="single" w:sz="4" w:space="0" w:color="auto"/>
            </w:tcBorders>
            <w:shd w:val="clear" w:color="auto" w:fill="auto"/>
            <w:noWrap/>
            <w:vAlign w:val="center"/>
            <w:hideMark/>
          </w:tcPr>
          <w:p w14:paraId="3292E17D"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-0,039</w:t>
            </w:r>
          </w:p>
        </w:tc>
        <w:tc>
          <w:tcPr>
            <w:tcW w:w="921" w:type="pct"/>
            <w:tcBorders>
              <w:top w:val="nil"/>
              <w:left w:val="nil"/>
              <w:bottom w:val="single" w:sz="4" w:space="0" w:color="auto"/>
              <w:right w:val="nil"/>
            </w:tcBorders>
            <w:shd w:val="clear" w:color="auto" w:fill="auto"/>
            <w:noWrap/>
            <w:vAlign w:val="center"/>
            <w:hideMark/>
          </w:tcPr>
          <w:p w14:paraId="47E158B1"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0,895</w:t>
            </w:r>
          </w:p>
        </w:tc>
      </w:tr>
      <w:tr w:rsidR="00EE2858" w:rsidRPr="00EE2858" w14:paraId="69F147E2" w14:textId="77777777" w:rsidTr="00F078D5">
        <w:trPr>
          <w:trHeight w:val="20"/>
        </w:trPr>
        <w:tc>
          <w:tcPr>
            <w:tcW w:w="356" w:type="pct"/>
            <w:tcBorders>
              <w:top w:val="nil"/>
              <w:left w:val="nil"/>
              <w:bottom w:val="single" w:sz="4" w:space="0" w:color="auto"/>
              <w:right w:val="single" w:sz="4" w:space="0" w:color="auto"/>
            </w:tcBorders>
            <w:shd w:val="clear" w:color="auto" w:fill="auto"/>
            <w:noWrap/>
            <w:vAlign w:val="center"/>
            <w:hideMark/>
          </w:tcPr>
          <w:p w14:paraId="48DEF3B8"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X10</w:t>
            </w:r>
          </w:p>
        </w:tc>
        <w:tc>
          <w:tcPr>
            <w:tcW w:w="532" w:type="pct"/>
            <w:tcBorders>
              <w:top w:val="nil"/>
              <w:left w:val="nil"/>
              <w:bottom w:val="single" w:sz="4" w:space="0" w:color="auto"/>
              <w:right w:val="single" w:sz="4" w:space="0" w:color="auto"/>
            </w:tcBorders>
            <w:shd w:val="clear" w:color="auto" w:fill="auto"/>
            <w:noWrap/>
            <w:vAlign w:val="center"/>
            <w:hideMark/>
          </w:tcPr>
          <w:p w14:paraId="2C38C84A"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0,338</w:t>
            </w:r>
          </w:p>
        </w:tc>
        <w:tc>
          <w:tcPr>
            <w:tcW w:w="532" w:type="pct"/>
            <w:tcBorders>
              <w:top w:val="nil"/>
              <w:left w:val="nil"/>
              <w:bottom w:val="single" w:sz="4" w:space="0" w:color="auto"/>
              <w:right w:val="single" w:sz="4" w:space="0" w:color="auto"/>
            </w:tcBorders>
            <w:shd w:val="clear" w:color="auto" w:fill="auto"/>
            <w:noWrap/>
            <w:vAlign w:val="center"/>
            <w:hideMark/>
          </w:tcPr>
          <w:p w14:paraId="19688EAF"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0,350</w:t>
            </w:r>
          </w:p>
        </w:tc>
        <w:tc>
          <w:tcPr>
            <w:tcW w:w="532" w:type="pct"/>
            <w:tcBorders>
              <w:top w:val="nil"/>
              <w:left w:val="nil"/>
              <w:bottom w:val="single" w:sz="4" w:space="0" w:color="auto"/>
              <w:right w:val="single" w:sz="4" w:space="0" w:color="auto"/>
            </w:tcBorders>
            <w:shd w:val="clear" w:color="auto" w:fill="auto"/>
            <w:noWrap/>
            <w:vAlign w:val="center"/>
            <w:hideMark/>
          </w:tcPr>
          <w:p w14:paraId="5B369435"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0,204</w:t>
            </w:r>
          </w:p>
        </w:tc>
        <w:tc>
          <w:tcPr>
            <w:tcW w:w="532" w:type="pct"/>
            <w:tcBorders>
              <w:top w:val="nil"/>
              <w:left w:val="nil"/>
              <w:bottom w:val="single" w:sz="4" w:space="0" w:color="auto"/>
              <w:right w:val="single" w:sz="4" w:space="0" w:color="auto"/>
            </w:tcBorders>
            <w:shd w:val="clear" w:color="auto" w:fill="auto"/>
            <w:noWrap/>
            <w:vAlign w:val="center"/>
            <w:hideMark/>
          </w:tcPr>
          <w:p w14:paraId="57E09DC7"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0,470</w:t>
            </w:r>
          </w:p>
        </w:tc>
        <w:tc>
          <w:tcPr>
            <w:tcW w:w="532" w:type="pct"/>
            <w:tcBorders>
              <w:top w:val="nil"/>
              <w:left w:val="nil"/>
              <w:bottom w:val="single" w:sz="4" w:space="0" w:color="auto"/>
              <w:right w:val="single" w:sz="4" w:space="0" w:color="auto"/>
            </w:tcBorders>
            <w:shd w:val="clear" w:color="auto" w:fill="auto"/>
            <w:noWrap/>
            <w:vAlign w:val="center"/>
            <w:hideMark/>
          </w:tcPr>
          <w:p w14:paraId="5F11C40B"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0,364</w:t>
            </w:r>
          </w:p>
        </w:tc>
        <w:tc>
          <w:tcPr>
            <w:tcW w:w="532" w:type="pct"/>
            <w:tcBorders>
              <w:top w:val="nil"/>
              <w:left w:val="nil"/>
              <w:bottom w:val="single" w:sz="4" w:space="0" w:color="auto"/>
              <w:right w:val="single" w:sz="4" w:space="0" w:color="auto"/>
            </w:tcBorders>
            <w:shd w:val="clear" w:color="auto" w:fill="auto"/>
            <w:noWrap/>
            <w:vAlign w:val="center"/>
            <w:hideMark/>
          </w:tcPr>
          <w:p w14:paraId="479AB14A"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-0,133</w:t>
            </w:r>
          </w:p>
        </w:tc>
        <w:tc>
          <w:tcPr>
            <w:tcW w:w="532" w:type="pct"/>
            <w:tcBorders>
              <w:top w:val="nil"/>
              <w:left w:val="nil"/>
              <w:bottom w:val="single" w:sz="4" w:space="0" w:color="auto"/>
              <w:right w:val="single" w:sz="4" w:space="0" w:color="auto"/>
            </w:tcBorders>
            <w:shd w:val="clear" w:color="auto" w:fill="auto"/>
            <w:noWrap/>
            <w:vAlign w:val="center"/>
            <w:hideMark/>
          </w:tcPr>
          <w:p w14:paraId="14902ED0"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-0,297</w:t>
            </w:r>
          </w:p>
        </w:tc>
        <w:tc>
          <w:tcPr>
            <w:tcW w:w="921" w:type="pct"/>
            <w:tcBorders>
              <w:top w:val="nil"/>
              <w:left w:val="nil"/>
              <w:bottom w:val="single" w:sz="4" w:space="0" w:color="auto"/>
              <w:right w:val="nil"/>
            </w:tcBorders>
            <w:shd w:val="clear" w:color="auto" w:fill="auto"/>
            <w:noWrap/>
            <w:vAlign w:val="center"/>
            <w:hideMark/>
          </w:tcPr>
          <w:p w14:paraId="7A60AD9D"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0,738</w:t>
            </w:r>
          </w:p>
        </w:tc>
      </w:tr>
      <w:tr w:rsidR="00EE2858" w:rsidRPr="00EE2858" w14:paraId="31BD44D0" w14:textId="77777777" w:rsidTr="00F078D5">
        <w:trPr>
          <w:trHeight w:val="20"/>
        </w:trPr>
        <w:tc>
          <w:tcPr>
            <w:tcW w:w="356" w:type="pct"/>
            <w:tcBorders>
              <w:top w:val="nil"/>
              <w:left w:val="nil"/>
              <w:bottom w:val="single" w:sz="4" w:space="0" w:color="auto"/>
              <w:right w:val="single" w:sz="4" w:space="0" w:color="auto"/>
            </w:tcBorders>
            <w:shd w:val="clear" w:color="auto" w:fill="auto"/>
            <w:noWrap/>
            <w:vAlign w:val="center"/>
            <w:hideMark/>
          </w:tcPr>
          <w:p w14:paraId="685FA003"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X11</w:t>
            </w:r>
          </w:p>
        </w:tc>
        <w:tc>
          <w:tcPr>
            <w:tcW w:w="532" w:type="pct"/>
            <w:tcBorders>
              <w:top w:val="nil"/>
              <w:left w:val="nil"/>
              <w:bottom w:val="single" w:sz="4" w:space="0" w:color="auto"/>
              <w:right w:val="single" w:sz="4" w:space="0" w:color="auto"/>
            </w:tcBorders>
            <w:shd w:val="clear" w:color="auto" w:fill="auto"/>
            <w:noWrap/>
            <w:vAlign w:val="center"/>
            <w:hideMark/>
          </w:tcPr>
          <w:p w14:paraId="378A770C"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0,864</w:t>
            </w:r>
          </w:p>
        </w:tc>
        <w:tc>
          <w:tcPr>
            <w:tcW w:w="532" w:type="pct"/>
            <w:tcBorders>
              <w:top w:val="nil"/>
              <w:left w:val="nil"/>
              <w:bottom w:val="single" w:sz="4" w:space="0" w:color="auto"/>
              <w:right w:val="single" w:sz="4" w:space="0" w:color="auto"/>
            </w:tcBorders>
            <w:shd w:val="clear" w:color="auto" w:fill="auto"/>
            <w:noWrap/>
            <w:vAlign w:val="center"/>
            <w:hideMark/>
          </w:tcPr>
          <w:p w14:paraId="5605C6AC"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0,108</w:t>
            </w:r>
          </w:p>
        </w:tc>
        <w:tc>
          <w:tcPr>
            <w:tcW w:w="532" w:type="pct"/>
            <w:tcBorders>
              <w:top w:val="nil"/>
              <w:left w:val="nil"/>
              <w:bottom w:val="single" w:sz="4" w:space="0" w:color="auto"/>
              <w:right w:val="single" w:sz="4" w:space="0" w:color="auto"/>
            </w:tcBorders>
            <w:shd w:val="clear" w:color="auto" w:fill="auto"/>
            <w:noWrap/>
            <w:vAlign w:val="center"/>
            <w:hideMark/>
          </w:tcPr>
          <w:p w14:paraId="36A3A0FB"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0,160</w:t>
            </w:r>
          </w:p>
        </w:tc>
        <w:tc>
          <w:tcPr>
            <w:tcW w:w="532" w:type="pct"/>
            <w:tcBorders>
              <w:top w:val="nil"/>
              <w:left w:val="nil"/>
              <w:bottom w:val="single" w:sz="4" w:space="0" w:color="auto"/>
              <w:right w:val="single" w:sz="4" w:space="0" w:color="auto"/>
            </w:tcBorders>
            <w:shd w:val="clear" w:color="auto" w:fill="auto"/>
            <w:noWrap/>
            <w:vAlign w:val="center"/>
            <w:hideMark/>
          </w:tcPr>
          <w:p w14:paraId="3E63979F"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0,323</w:t>
            </w:r>
          </w:p>
        </w:tc>
        <w:tc>
          <w:tcPr>
            <w:tcW w:w="532" w:type="pct"/>
            <w:tcBorders>
              <w:top w:val="nil"/>
              <w:left w:val="nil"/>
              <w:bottom w:val="single" w:sz="4" w:space="0" w:color="auto"/>
              <w:right w:val="single" w:sz="4" w:space="0" w:color="auto"/>
            </w:tcBorders>
            <w:shd w:val="clear" w:color="auto" w:fill="auto"/>
            <w:noWrap/>
            <w:vAlign w:val="center"/>
            <w:hideMark/>
          </w:tcPr>
          <w:p w14:paraId="0DBC91D2"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0,163</w:t>
            </w:r>
          </w:p>
        </w:tc>
        <w:tc>
          <w:tcPr>
            <w:tcW w:w="532" w:type="pct"/>
            <w:tcBorders>
              <w:top w:val="nil"/>
              <w:left w:val="nil"/>
              <w:bottom w:val="single" w:sz="4" w:space="0" w:color="auto"/>
              <w:right w:val="single" w:sz="4" w:space="0" w:color="auto"/>
            </w:tcBorders>
            <w:shd w:val="clear" w:color="auto" w:fill="auto"/>
            <w:noWrap/>
            <w:vAlign w:val="center"/>
            <w:hideMark/>
          </w:tcPr>
          <w:p w14:paraId="1632DDB7"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0,142</w:t>
            </w:r>
          </w:p>
        </w:tc>
        <w:tc>
          <w:tcPr>
            <w:tcW w:w="532" w:type="pct"/>
            <w:tcBorders>
              <w:top w:val="nil"/>
              <w:left w:val="nil"/>
              <w:bottom w:val="single" w:sz="4" w:space="0" w:color="auto"/>
              <w:right w:val="single" w:sz="4" w:space="0" w:color="auto"/>
            </w:tcBorders>
            <w:shd w:val="clear" w:color="auto" w:fill="auto"/>
            <w:noWrap/>
            <w:vAlign w:val="center"/>
            <w:hideMark/>
          </w:tcPr>
          <w:p w14:paraId="38706057"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-0,059</w:t>
            </w:r>
          </w:p>
        </w:tc>
        <w:tc>
          <w:tcPr>
            <w:tcW w:w="921" w:type="pct"/>
            <w:tcBorders>
              <w:top w:val="nil"/>
              <w:left w:val="nil"/>
              <w:bottom w:val="single" w:sz="4" w:space="0" w:color="auto"/>
              <w:right w:val="nil"/>
            </w:tcBorders>
            <w:shd w:val="clear" w:color="auto" w:fill="auto"/>
            <w:noWrap/>
            <w:vAlign w:val="center"/>
            <w:hideMark/>
          </w:tcPr>
          <w:p w14:paraId="4A2CBF8C"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0,938</w:t>
            </w:r>
          </w:p>
        </w:tc>
      </w:tr>
      <w:tr w:rsidR="00EE2858" w:rsidRPr="00EE2858" w14:paraId="3920BBD9" w14:textId="77777777" w:rsidTr="00F078D5">
        <w:trPr>
          <w:trHeight w:val="20"/>
        </w:trPr>
        <w:tc>
          <w:tcPr>
            <w:tcW w:w="356" w:type="pct"/>
            <w:tcBorders>
              <w:top w:val="nil"/>
              <w:left w:val="nil"/>
              <w:bottom w:val="single" w:sz="4" w:space="0" w:color="auto"/>
              <w:right w:val="single" w:sz="4" w:space="0" w:color="auto"/>
            </w:tcBorders>
            <w:shd w:val="clear" w:color="auto" w:fill="auto"/>
            <w:noWrap/>
            <w:vAlign w:val="center"/>
            <w:hideMark/>
          </w:tcPr>
          <w:p w14:paraId="4505A911"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X12</w:t>
            </w:r>
          </w:p>
        </w:tc>
        <w:tc>
          <w:tcPr>
            <w:tcW w:w="532" w:type="pct"/>
            <w:tcBorders>
              <w:top w:val="nil"/>
              <w:left w:val="nil"/>
              <w:bottom w:val="single" w:sz="4" w:space="0" w:color="auto"/>
              <w:right w:val="single" w:sz="4" w:space="0" w:color="auto"/>
            </w:tcBorders>
            <w:shd w:val="clear" w:color="auto" w:fill="auto"/>
            <w:noWrap/>
            <w:vAlign w:val="center"/>
            <w:hideMark/>
          </w:tcPr>
          <w:p w14:paraId="0533D249"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0,946</w:t>
            </w:r>
          </w:p>
        </w:tc>
        <w:tc>
          <w:tcPr>
            <w:tcW w:w="532" w:type="pct"/>
            <w:tcBorders>
              <w:top w:val="nil"/>
              <w:left w:val="nil"/>
              <w:bottom w:val="single" w:sz="4" w:space="0" w:color="auto"/>
              <w:right w:val="single" w:sz="4" w:space="0" w:color="auto"/>
            </w:tcBorders>
            <w:shd w:val="clear" w:color="auto" w:fill="auto"/>
            <w:noWrap/>
            <w:vAlign w:val="center"/>
            <w:hideMark/>
          </w:tcPr>
          <w:p w14:paraId="3016FD95"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0,192</w:t>
            </w:r>
          </w:p>
        </w:tc>
        <w:tc>
          <w:tcPr>
            <w:tcW w:w="532" w:type="pct"/>
            <w:tcBorders>
              <w:top w:val="nil"/>
              <w:left w:val="nil"/>
              <w:bottom w:val="single" w:sz="4" w:space="0" w:color="auto"/>
              <w:right w:val="single" w:sz="4" w:space="0" w:color="auto"/>
            </w:tcBorders>
            <w:shd w:val="clear" w:color="auto" w:fill="auto"/>
            <w:noWrap/>
            <w:vAlign w:val="center"/>
            <w:hideMark/>
          </w:tcPr>
          <w:p w14:paraId="7D0B0668"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0,112</w:t>
            </w:r>
          </w:p>
        </w:tc>
        <w:tc>
          <w:tcPr>
            <w:tcW w:w="532" w:type="pct"/>
            <w:tcBorders>
              <w:top w:val="nil"/>
              <w:left w:val="nil"/>
              <w:bottom w:val="single" w:sz="4" w:space="0" w:color="auto"/>
              <w:right w:val="single" w:sz="4" w:space="0" w:color="auto"/>
            </w:tcBorders>
            <w:shd w:val="clear" w:color="auto" w:fill="auto"/>
            <w:noWrap/>
            <w:vAlign w:val="center"/>
            <w:hideMark/>
          </w:tcPr>
          <w:p w14:paraId="2B01B659"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0,061</w:t>
            </w:r>
          </w:p>
        </w:tc>
        <w:tc>
          <w:tcPr>
            <w:tcW w:w="532" w:type="pct"/>
            <w:tcBorders>
              <w:top w:val="nil"/>
              <w:left w:val="nil"/>
              <w:bottom w:val="single" w:sz="4" w:space="0" w:color="auto"/>
              <w:right w:val="single" w:sz="4" w:space="0" w:color="auto"/>
            </w:tcBorders>
            <w:shd w:val="clear" w:color="auto" w:fill="auto"/>
            <w:noWrap/>
            <w:vAlign w:val="center"/>
            <w:hideMark/>
          </w:tcPr>
          <w:p w14:paraId="7BBD43D4"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0,157</w:t>
            </w:r>
          </w:p>
        </w:tc>
        <w:tc>
          <w:tcPr>
            <w:tcW w:w="532" w:type="pct"/>
            <w:tcBorders>
              <w:top w:val="nil"/>
              <w:left w:val="nil"/>
              <w:bottom w:val="single" w:sz="4" w:space="0" w:color="auto"/>
              <w:right w:val="single" w:sz="4" w:space="0" w:color="auto"/>
            </w:tcBorders>
            <w:shd w:val="clear" w:color="auto" w:fill="auto"/>
            <w:noWrap/>
            <w:vAlign w:val="center"/>
            <w:hideMark/>
          </w:tcPr>
          <w:p w14:paraId="26E01181"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-0,062</w:t>
            </w:r>
          </w:p>
        </w:tc>
        <w:tc>
          <w:tcPr>
            <w:tcW w:w="532" w:type="pct"/>
            <w:tcBorders>
              <w:top w:val="nil"/>
              <w:left w:val="nil"/>
              <w:bottom w:val="single" w:sz="4" w:space="0" w:color="auto"/>
              <w:right w:val="single" w:sz="4" w:space="0" w:color="auto"/>
            </w:tcBorders>
            <w:shd w:val="clear" w:color="auto" w:fill="auto"/>
            <w:noWrap/>
            <w:vAlign w:val="center"/>
            <w:hideMark/>
          </w:tcPr>
          <w:p w14:paraId="7D0C5481"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-0,067</w:t>
            </w:r>
          </w:p>
        </w:tc>
        <w:tc>
          <w:tcPr>
            <w:tcW w:w="921" w:type="pct"/>
            <w:tcBorders>
              <w:top w:val="nil"/>
              <w:left w:val="nil"/>
              <w:bottom w:val="single" w:sz="4" w:space="0" w:color="auto"/>
              <w:right w:val="nil"/>
            </w:tcBorders>
            <w:shd w:val="clear" w:color="auto" w:fill="auto"/>
            <w:noWrap/>
            <w:vAlign w:val="center"/>
            <w:hideMark/>
          </w:tcPr>
          <w:p w14:paraId="5D12E67A"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0,981</w:t>
            </w:r>
          </w:p>
        </w:tc>
      </w:tr>
      <w:tr w:rsidR="00EE2858" w:rsidRPr="00EE2858" w14:paraId="1E9DD8DF" w14:textId="77777777" w:rsidTr="00F078D5">
        <w:trPr>
          <w:trHeight w:val="20"/>
        </w:trPr>
        <w:tc>
          <w:tcPr>
            <w:tcW w:w="356" w:type="pct"/>
            <w:tcBorders>
              <w:top w:val="nil"/>
              <w:left w:val="nil"/>
              <w:bottom w:val="single" w:sz="4" w:space="0" w:color="auto"/>
              <w:right w:val="single" w:sz="4" w:space="0" w:color="auto"/>
            </w:tcBorders>
            <w:shd w:val="clear" w:color="auto" w:fill="auto"/>
            <w:noWrap/>
            <w:vAlign w:val="center"/>
            <w:hideMark/>
          </w:tcPr>
          <w:p w14:paraId="37D35264"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X13</w:t>
            </w:r>
          </w:p>
        </w:tc>
        <w:tc>
          <w:tcPr>
            <w:tcW w:w="532" w:type="pct"/>
            <w:tcBorders>
              <w:top w:val="nil"/>
              <w:left w:val="nil"/>
              <w:bottom w:val="single" w:sz="4" w:space="0" w:color="auto"/>
              <w:right w:val="single" w:sz="4" w:space="0" w:color="auto"/>
            </w:tcBorders>
            <w:shd w:val="clear" w:color="auto" w:fill="auto"/>
            <w:noWrap/>
            <w:vAlign w:val="center"/>
            <w:hideMark/>
          </w:tcPr>
          <w:p w14:paraId="410CA902"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0,750</w:t>
            </w:r>
          </w:p>
        </w:tc>
        <w:tc>
          <w:tcPr>
            <w:tcW w:w="532" w:type="pct"/>
            <w:tcBorders>
              <w:top w:val="nil"/>
              <w:left w:val="nil"/>
              <w:bottom w:val="single" w:sz="4" w:space="0" w:color="auto"/>
              <w:right w:val="single" w:sz="4" w:space="0" w:color="auto"/>
            </w:tcBorders>
            <w:shd w:val="clear" w:color="auto" w:fill="auto"/>
            <w:noWrap/>
            <w:vAlign w:val="center"/>
            <w:hideMark/>
          </w:tcPr>
          <w:p w14:paraId="1DBC9409"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0,006</w:t>
            </w:r>
          </w:p>
        </w:tc>
        <w:tc>
          <w:tcPr>
            <w:tcW w:w="532" w:type="pct"/>
            <w:tcBorders>
              <w:top w:val="nil"/>
              <w:left w:val="nil"/>
              <w:bottom w:val="single" w:sz="4" w:space="0" w:color="auto"/>
              <w:right w:val="single" w:sz="4" w:space="0" w:color="auto"/>
            </w:tcBorders>
            <w:shd w:val="clear" w:color="auto" w:fill="auto"/>
            <w:noWrap/>
            <w:vAlign w:val="center"/>
            <w:hideMark/>
          </w:tcPr>
          <w:p w14:paraId="6687DCBB"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0,075</w:t>
            </w:r>
          </w:p>
        </w:tc>
        <w:tc>
          <w:tcPr>
            <w:tcW w:w="532" w:type="pct"/>
            <w:tcBorders>
              <w:top w:val="nil"/>
              <w:left w:val="nil"/>
              <w:bottom w:val="single" w:sz="4" w:space="0" w:color="auto"/>
              <w:right w:val="single" w:sz="4" w:space="0" w:color="auto"/>
            </w:tcBorders>
            <w:shd w:val="clear" w:color="auto" w:fill="auto"/>
            <w:noWrap/>
            <w:vAlign w:val="center"/>
            <w:hideMark/>
          </w:tcPr>
          <w:p w14:paraId="052BEC5F"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0,158</w:t>
            </w:r>
          </w:p>
        </w:tc>
        <w:tc>
          <w:tcPr>
            <w:tcW w:w="532" w:type="pct"/>
            <w:tcBorders>
              <w:top w:val="nil"/>
              <w:left w:val="nil"/>
              <w:bottom w:val="single" w:sz="4" w:space="0" w:color="auto"/>
              <w:right w:val="single" w:sz="4" w:space="0" w:color="auto"/>
            </w:tcBorders>
            <w:shd w:val="clear" w:color="auto" w:fill="auto"/>
            <w:noWrap/>
            <w:vAlign w:val="center"/>
            <w:hideMark/>
          </w:tcPr>
          <w:p w14:paraId="0117A459"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0,526</w:t>
            </w:r>
          </w:p>
        </w:tc>
        <w:tc>
          <w:tcPr>
            <w:tcW w:w="532" w:type="pct"/>
            <w:tcBorders>
              <w:top w:val="nil"/>
              <w:left w:val="nil"/>
              <w:bottom w:val="single" w:sz="4" w:space="0" w:color="auto"/>
              <w:right w:val="single" w:sz="4" w:space="0" w:color="auto"/>
            </w:tcBorders>
            <w:shd w:val="clear" w:color="auto" w:fill="auto"/>
            <w:noWrap/>
            <w:vAlign w:val="center"/>
            <w:hideMark/>
          </w:tcPr>
          <w:p w14:paraId="0308A7C7"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0,160</w:t>
            </w:r>
          </w:p>
        </w:tc>
        <w:tc>
          <w:tcPr>
            <w:tcW w:w="532" w:type="pct"/>
            <w:tcBorders>
              <w:top w:val="nil"/>
              <w:left w:val="nil"/>
              <w:bottom w:val="single" w:sz="4" w:space="0" w:color="auto"/>
              <w:right w:val="single" w:sz="4" w:space="0" w:color="auto"/>
            </w:tcBorders>
            <w:shd w:val="clear" w:color="auto" w:fill="auto"/>
            <w:noWrap/>
            <w:vAlign w:val="center"/>
            <w:hideMark/>
          </w:tcPr>
          <w:p w14:paraId="7E192EAB"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0,070</w:t>
            </w:r>
          </w:p>
        </w:tc>
        <w:tc>
          <w:tcPr>
            <w:tcW w:w="921" w:type="pct"/>
            <w:tcBorders>
              <w:top w:val="nil"/>
              <w:left w:val="nil"/>
              <w:bottom w:val="single" w:sz="4" w:space="0" w:color="auto"/>
              <w:right w:val="nil"/>
            </w:tcBorders>
            <w:shd w:val="clear" w:color="auto" w:fill="auto"/>
            <w:noWrap/>
            <w:vAlign w:val="center"/>
            <w:hideMark/>
          </w:tcPr>
          <w:p w14:paraId="2720565C"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0,901</w:t>
            </w:r>
          </w:p>
        </w:tc>
      </w:tr>
      <w:tr w:rsidR="00EE2858" w:rsidRPr="00EE2858" w14:paraId="49FACFED" w14:textId="77777777" w:rsidTr="00F078D5">
        <w:trPr>
          <w:trHeight w:val="20"/>
        </w:trPr>
        <w:tc>
          <w:tcPr>
            <w:tcW w:w="356" w:type="pct"/>
            <w:tcBorders>
              <w:top w:val="nil"/>
              <w:left w:val="nil"/>
              <w:bottom w:val="single" w:sz="4" w:space="0" w:color="auto"/>
              <w:right w:val="single" w:sz="4" w:space="0" w:color="auto"/>
            </w:tcBorders>
            <w:shd w:val="clear" w:color="auto" w:fill="auto"/>
            <w:noWrap/>
            <w:vAlign w:val="center"/>
            <w:hideMark/>
          </w:tcPr>
          <w:p w14:paraId="2895A77F"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X14</w:t>
            </w:r>
          </w:p>
        </w:tc>
        <w:tc>
          <w:tcPr>
            <w:tcW w:w="532" w:type="pct"/>
            <w:tcBorders>
              <w:top w:val="nil"/>
              <w:left w:val="nil"/>
              <w:bottom w:val="single" w:sz="4" w:space="0" w:color="auto"/>
              <w:right w:val="single" w:sz="4" w:space="0" w:color="auto"/>
            </w:tcBorders>
            <w:shd w:val="clear" w:color="auto" w:fill="auto"/>
            <w:noWrap/>
            <w:vAlign w:val="center"/>
            <w:hideMark/>
          </w:tcPr>
          <w:p w14:paraId="10478DBA"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0,836</w:t>
            </w:r>
          </w:p>
        </w:tc>
        <w:tc>
          <w:tcPr>
            <w:tcW w:w="532" w:type="pct"/>
            <w:tcBorders>
              <w:top w:val="nil"/>
              <w:left w:val="nil"/>
              <w:bottom w:val="single" w:sz="4" w:space="0" w:color="auto"/>
              <w:right w:val="single" w:sz="4" w:space="0" w:color="auto"/>
            </w:tcBorders>
            <w:shd w:val="clear" w:color="auto" w:fill="auto"/>
            <w:noWrap/>
            <w:vAlign w:val="center"/>
            <w:hideMark/>
          </w:tcPr>
          <w:p w14:paraId="2414E333"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0,178</w:t>
            </w:r>
          </w:p>
        </w:tc>
        <w:tc>
          <w:tcPr>
            <w:tcW w:w="532" w:type="pct"/>
            <w:tcBorders>
              <w:top w:val="nil"/>
              <w:left w:val="nil"/>
              <w:bottom w:val="single" w:sz="4" w:space="0" w:color="auto"/>
              <w:right w:val="single" w:sz="4" w:space="0" w:color="auto"/>
            </w:tcBorders>
            <w:shd w:val="clear" w:color="auto" w:fill="auto"/>
            <w:noWrap/>
            <w:vAlign w:val="center"/>
            <w:hideMark/>
          </w:tcPr>
          <w:p w14:paraId="505CF212"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0,119</w:t>
            </w:r>
          </w:p>
        </w:tc>
        <w:tc>
          <w:tcPr>
            <w:tcW w:w="532" w:type="pct"/>
            <w:tcBorders>
              <w:top w:val="nil"/>
              <w:left w:val="nil"/>
              <w:bottom w:val="single" w:sz="4" w:space="0" w:color="auto"/>
              <w:right w:val="single" w:sz="4" w:space="0" w:color="auto"/>
            </w:tcBorders>
            <w:shd w:val="clear" w:color="auto" w:fill="auto"/>
            <w:noWrap/>
            <w:vAlign w:val="center"/>
            <w:hideMark/>
          </w:tcPr>
          <w:p w14:paraId="18BF6E83"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0,157</w:t>
            </w:r>
          </w:p>
        </w:tc>
        <w:tc>
          <w:tcPr>
            <w:tcW w:w="532" w:type="pct"/>
            <w:tcBorders>
              <w:top w:val="nil"/>
              <w:left w:val="nil"/>
              <w:bottom w:val="single" w:sz="4" w:space="0" w:color="auto"/>
              <w:right w:val="single" w:sz="4" w:space="0" w:color="auto"/>
            </w:tcBorders>
            <w:shd w:val="clear" w:color="auto" w:fill="auto"/>
            <w:noWrap/>
            <w:vAlign w:val="center"/>
            <w:hideMark/>
          </w:tcPr>
          <w:p w14:paraId="02FF667E"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-0,199</w:t>
            </w:r>
          </w:p>
        </w:tc>
        <w:tc>
          <w:tcPr>
            <w:tcW w:w="532" w:type="pct"/>
            <w:tcBorders>
              <w:top w:val="nil"/>
              <w:left w:val="nil"/>
              <w:bottom w:val="single" w:sz="4" w:space="0" w:color="auto"/>
              <w:right w:val="single" w:sz="4" w:space="0" w:color="auto"/>
            </w:tcBorders>
            <w:shd w:val="clear" w:color="auto" w:fill="auto"/>
            <w:noWrap/>
            <w:vAlign w:val="center"/>
            <w:hideMark/>
          </w:tcPr>
          <w:p w14:paraId="1B0BAD84"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-0,088</w:t>
            </w:r>
          </w:p>
        </w:tc>
        <w:tc>
          <w:tcPr>
            <w:tcW w:w="532" w:type="pct"/>
            <w:tcBorders>
              <w:top w:val="nil"/>
              <w:left w:val="nil"/>
              <w:bottom w:val="single" w:sz="4" w:space="0" w:color="auto"/>
              <w:right w:val="single" w:sz="4" w:space="0" w:color="auto"/>
            </w:tcBorders>
            <w:shd w:val="clear" w:color="auto" w:fill="auto"/>
            <w:noWrap/>
            <w:vAlign w:val="center"/>
            <w:hideMark/>
          </w:tcPr>
          <w:p w14:paraId="2A0C6E35"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-0,222</w:t>
            </w:r>
          </w:p>
        </w:tc>
        <w:tc>
          <w:tcPr>
            <w:tcW w:w="921" w:type="pct"/>
            <w:tcBorders>
              <w:top w:val="nil"/>
              <w:left w:val="nil"/>
              <w:bottom w:val="single" w:sz="4" w:space="0" w:color="auto"/>
              <w:right w:val="nil"/>
            </w:tcBorders>
            <w:shd w:val="clear" w:color="auto" w:fill="auto"/>
            <w:noWrap/>
            <w:vAlign w:val="center"/>
            <w:hideMark/>
          </w:tcPr>
          <w:p w14:paraId="39ECBC26"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0,866</w:t>
            </w:r>
          </w:p>
        </w:tc>
      </w:tr>
      <w:tr w:rsidR="00EE2858" w:rsidRPr="00EE2858" w14:paraId="06868CE2" w14:textId="77777777" w:rsidTr="00F078D5">
        <w:trPr>
          <w:trHeight w:val="20"/>
        </w:trPr>
        <w:tc>
          <w:tcPr>
            <w:tcW w:w="356" w:type="pct"/>
            <w:tcBorders>
              <w:top w:val="nil"/>
              <w:left w:val="nil"/>
              <w:bottom w:val="single" w:sz="4" w:space="0" w:color="auto"/>
              <w:right w:val="single" w:sz="4" w:space="0" w:color="auto"/>
            </w:tcBorders>
            <w:shd w:val="clear" w:color="auto" w:fill="auto"/>
            <w:noWrap/>
            <w:vAlign w:val="center"/>
            <w:hideMark/>
          </w:tcPr>
          <w:p w14:paraId="360793EF"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X15</w:t>
            </w:r>
          </w:p>
        </w:tc>
        <w:tc>
          <w:tcPr>
            <w:tcW w:w="532" w:type="pct"/>
            <w:tcBorders>
              <w:top w:val="nil"/>
              <w:left w:val="nil"/>
              <w:bottom w:val="single" w:sz="4" w:space="0" w:color="auto"/>
              <w:right w:val="single" w:sz="4" w:space="0" w:color="auto"/>
            </w:tcBorders>
            <w:shd w:val="clear" w:color="auto" w:fill="auto"/>
            <w:noWrap/>
            <w:vAlign w:val="center"/>
            <w:hideMark/>
          </w:tcPr>
          <w:p w14:paraId="5BC313AF"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0,934</w:t>
            </w:r>
          </w:p>
        </w:tc>
        <w:tc>
          <w:tcPr>
            <w:tcW w:w="532" w:type="pct"/>
            <w:tcBorders>
              <w:top w:val="nil"/>
              <w:left w:val="nil"/>
              <w:bottom w:val="single" w:sz="4" w:space="0" w:color="auto"/>
              <w:right w:val="single" w:sz="4" w:space="0" w:color="auto"/>
            </w:tcBorders>
            <w:shd w:val="clear" w:color="auto" w:fill="auto"/>
            <w:noWrap/>
            <w:vAlign w:val="center"/>
            <w:hideMark/>
          </w:tcPr>
          <w:p w14:paraId="65D714F0"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0,192</w:t>
            </w:r>
          </w:p>
        </w:tc>
        <w:tc>
          <w:tcPr>
            <w:tcW w:w="532" w:type="pct"/>
            <w:tcBorders>
              <w:top w:val="nil"/>
              <w:left w:val="nil"/>
              <w:bottom w:val="single" w:sz="4" w:space="0" w:color="auto"/>
              <w:right w:val="single" w:sz="4" w:space="0" w:color="auto"/>
            </w:tcBorders>
            <w:shd w:val="clear" w:color="auto" w:fill="auto"/>
            <w:noWrap/>
            <w:vAlign w:val="center"/>
            <w:hideMark/>
          </w:tcPr>
          <w:p w14:paraId="074B1867"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0,099</w:t>
            </w:r>
          </w:p>
        </w:tc>
        <w:tc>
          <w:tcPr>
            <w:tcW w:w="532" w:type="pct"/>
            <w:tcBorders>
              <w:top w:val="nil"/>
              <w:left w:val="nil"/>
              <w:bottom w:val="single" w:sz="4" w:space="0" w:color="auto"/>
              <w:right w:val="single" w:sz="4" w:space="0" w:color="auto"/>
            </w:tcBorders>
            <w:shd w:val="clear" w:color="auto" w:fill="auto"/>
            <w:noWrap/>
            <w:vAlign w:val="center"/>
            <w:hideMark/>
          </w:tcPr>
          <w:p w14:paraId="66F3D965"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0,125</w:t>
            </w:r>
          </w:p>
        </w:tc>
        <w:tc>
          <w:tcPr>
            <w:tcW w:w="532" w:type="pct"/>
            <w:tcBorders>
              <w:top w:val="nil"/>
              <w:left w:val="nil"/>
              <w:bottom w:val="single" w:sz="4" w:space="0" w:color="auto"/>
              <w:right w:val="single" w:sz="4" w:space="0" w:color="auto"/>
            </w:tcBorders>
            <w:shd w:val="clear" w:color="auto" w:fill="auto"/>
            <w:noWrap/>
            <w:vAlign w:val="center"/>
            <w:hideMark/>
          </w:tcPr>
          <w:p w14:paraId="33E7D773"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0,209</w:t>
            </w:r>
          </w:p>
        </w:tc>
        <w:tc>
          <w:tcPr>
            <w:tcW w:w="532" w:type="pct"/>
            <w:tcBorders>
              <w:top w:val="nil"/>
              <w:left w:val="nil"/>
              <w:bottom w:val="single" w:sz="4" w:space="0" w:color="auto"/>
              <w:right w:val="single" w:sz="4" w:space="0" w:color="auto"/>
            </w:tcBorders>
            <w:shd w:val="clear" w:color="auto" w:fill="auto"/>
            <w:noWrap/>
            <w:vAlign w:val="center"/>
            <w:hideMark/>
          </w:tcPr>
          <w:p w14:paraId="604135DC"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0,008</w:t>
            </w:r>
          </w:p>
        </w:tc>
        <w:tc>
          <w:tcPr>
            <w:tcW w:w="532" w:type="pct"/>
            <w:tcBorders>
              <w:top w:val="nil"/>
              <w:left w:val="nil"/>
              <w:bottom w:val="single" w:sz="4" w:space="0" w:color="auto"/>
              <w:right w:val="single" w:sz="4" w:space="0" w:color="auto"/>
            </w:tcBorders>
            <w:shd w:val="clear" w:color="auto" w:fill="auto"/>
            <w:noWrap/>
            <w:vAlign w:val="center"/>
            <w:hideMark/>
          </w:tcPr>
          <w:p w14:paraId="40BC2605"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0,033</w:t>
            </w:r>
          </w:p>
        </w:tc>
        <w:tc>
          <w:tcPr>
            <w:tcW w:w="921" w:type="pct"/>
            <w:tcBorders>
              <w:top w:val="nil"/>
              <w:left w:val="nil"/>
              <w:bottom w:val="single" w:sz="4" w:space="0" w:color="auto"/>
              <w:right w:val="nil"/>
            </w:tcBorders>
            <w:shd w:val="clear" w:color="auto" w:fill="auto"/>
            <w:noWrap/>
            <w:vAlign w:val="center"/>
            <w:hideMark/>
          </w:tcPr>
          <w:p w14:paraId="0D0B5347"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0,980</w:t>
            </w:r>
          </w:p>
        </w:tc>
      </w:tr>
      <w:tr w:rsidR="00EE2858" w:rsidRPr="00EE2858" w14:paraId="3B69164C" w14:textId="77777777" w:rsidTr="00F078D5">
        <w:trPr>
          <w:trHeight w:val="20"/>
        </w:trPr>
        <w:tc>
          <w:tcPr>
            <w:tcW w:w="356" w:type="pct"/>
            <w:tcBorders>
              <w:top w:val="nil"/>
              <w:left w:val="nil"/>
              <w:bottom w:val="single" w:sz="4" w:space="0" w:color="auto"/>
              <w:right w:val="single" w:sz="4" w:space="0" w:color="auto"/>
            </w:tcBorders>
            <w:shd w:val="clear" w:color="auto" w:fill="auto"/>
            <w:noWrap/>
            <w:vAlign w:val="center"/>
            <w:hideMark/>
          </w:tcPr>
          <w:p w14:paraId="72D77584"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X16</w:t>
            </w:r>
          </w:p>
        </w:tc>
        <w:tc>
          <w:tcPr>
            <w:tcW w:w="532" w:type="pct"/>
            <w:tcBorders>
              <w:top w:val="nil"/>
              <w:left w:val="nil"/>
              <w:bottom w:val="single" w:sz="4" w:space="0" w:color="auto"/>
              <w:right w:val="single" w:sz="4" w:space="0" w:color="auto"/>
            </w:tcBorders>
            <w:shd w:val="clear" w:color="auto" w:fill="auto"/>
            <w:noWrap/>
            <w:vAlign w:val="center"/>
            <w:hideMark/>
          </w:tcPr>
          <w:p w14:paraId="4EC44ABA"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0,643</w:t>
            </w:r>
          </w:p>
        </w:tc>
        <w:tc>
          <w:tcPr>
            <w:tcW w:w="532" w:type="pct"/>
            <w:tcBorders>
              <w:top w:val="nil"/>
              <w:left w:val="nil"/>
              <w:bottom w:val="single" w:sz="4" w:space="0" w:color="auto"/>
              <w:right w:val="single" w:sz="4" w:space="0" w:color="auto"/>
            </w:tcBorders>
            <w:shd w:val="clear" w:color="auto" w:fill="auto"/>
            <w:noWrap/>
            <w:vAlign w:val="center"/>
            <w:hideMark/>
          </w:tcPr>
          <w:p w14:paraId="5B73B27C"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0,112</w:t>
            </w:r>
          </w:p>
        </w:tc>
        <w:tc>
          <w:tcPr>
            <w:tcW w:w="532" w:type="pct"/>
            <w:tcBorders>
              <w:top w:val="nil"/>
              <w:left w:val="nil"/>
              <w:bottom w:val="single" w:sz="4" w:space="0" w:color="auto"/>
              <w:right w:val="single" w:sz="4" w:space="0" w:color="auto"/>
            </w:tcBorders>
            <w:shd w:val="clear" w:color="auto" w:fill="auto"/>
            <w:noWrap/>
            <w:vAlign w:val="center"/>
            <w:hideMark/>
          </w:tcPr>
          <w:p w14:paraId="009334FD"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-0,342</w:t>
            </w:r>
          </w:p>
        </w:tc>
        <w:tc>
          <w:tcPr>
            <w:tcW w:w="532" w:type="pct"/>
            <w:tcBorders>
              <w:top w:val="nil"/>
              <w:left w:val="nil"/>
              <w:bottom w:val="single" w:sz="4" w:space="0" w:color="auto"/>
              <w:right w:val="single" w:sz="4" w:space="0" w:color="auto"/>
            </w:tcBorders>
            <w:shd w:val="clear" w:color="auto" w:fill="auto"/>
            <w:noWrap/>
            <w:vAlign w:val="center"/>
            <w:hideMark/>
          </w:tcPr>
          <w:p w14:paraId="2A647DA4"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0,148</w:t>
            </w:r>
          </w:p>
        </w:tc>
        <w:tc>
          <w:tcPr>
            <w:tcW w:w="532" w:type="pct"/>
            <w:tcBorders>
              <w:top w:val="nil"/>
              <w:left w:val="nil"/>
              <w:bottom w:val="single" w:sz="4" w:space="0" w:color="auto"/>
              <w:right w:val="single" w:sz="4" w:space="0" w:color="auto"/>
            </w:tcBorders>
            <w:shd w:val="clear" w:color="auto" w:fill="auto"/>
            <w:noWrap/>
            <w:vAlign w:val="center"/>
            <w:hideMark/>
          </w:tcPr>
          <w:p w14:paraId="6C34CB1A"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-0,139</w:t>
            </w:r>
          </w:p>
        </w:tc>
        <w:tc>
          <w:tcPr>
            <w:tcW w:w="532" w:type="pct"/>
            <w:tcBorders>
              <w:top w:val="nil"/>
              <w:left w:val="nil"/>
              <w:bottom w:val="single" w:sz="4" w:space="0" w:color="auto"/>
              <w:right w:val="single" w:sz="4" w:space="0" w:color="auto"/>
            </w:tcBorders>
            <w:shd w:val="clear" w:color="auto" w:fill="auto"/>
            <w:noWrap/>
            <w:vAlign w:val="center"/>
            <w:hideMark/>
          </w:tcPr>
          <w:p w14:paraId="40609793"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-0,253</w:t>
            </w:r>
          </w:p>
        </w:tc>
        <w:tc>
          <w:tcPr>
            <w:tcW w:w="532" w:type="pct"/>
            <w:tcBorders>
              <w:top w:val="nil"/>
              <w:left w:val="nil"/>
              <w:bottom w:val="single" w:sz="4" w:space="0" w:color="auto"/>
              <w:right w:val="single" w:sz="4" w:space="0" w:color="auto"/>
            </w:tcBorders>
            <w:shd w:val="clear" w:color="auto" w:fill="auto"/>
            <w:noWrap/>
            <w:vAlign w:val="center"/>
            <w:hideMark/>
          </w:tcPr>
          <w:p w14:paraId="54A3ACA8"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-0,268</w:t>
            </w:r>
          </w:p>
        </w:tc>
        <w:tc>
          <w:tcPr>
            <w:tcW w:w="921" w:type="pct"/>
            <w:tcBorders>
              <w:top w:val="nil"/>
              <w:left w:val="nil"/>
              <w:bottom w:val="single" w:sz="4" w:space="0" w:color="auto"/>
              <w:right w:val="nil"/>
            </w:tcBorders>
            <w:shd w:val="clear" w:color="auto" w:fill="auto"/>
            <w:noWrap/>
            <w:vAlign w:val="center"/>
            <w:hideMark/>
          </w:tcPr>
          <w:p w14:paraId="26238319"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0,720</w:t>
            </w:r>
          </w:p>
        </w:tc>
      </w:tr>
      <w:tr w:rsidR="00EE2858" w:rsidRPr="00EE2858" w14:paraId="3958E251" w14:textId="77777777" w:rsidTr="00F078D5">
        <w:trPr>
          <w:trHeight w:val="20"/>
        </w:trPr>
        <w:tc>
          <w:tcPr>
            <w:tcW w:w="356" w:type="pct"/>
            <w:tcBorders>
              <w:top w:val="nil"/>
              <w:left w:val="nil"/>
              <w:bottom w:val="single" w:sz="4" w:space="0" w:color="auto"/>
              <w:right w:val="single" w:sz="4" w:space="0" w:color="auto"/>
            </w:tcBorders>
            <w:shd w:val="clear" w:color="auto" w:fill="auto"/>
            <w:noWrap/>
            <w:vAlign w:val="center"/>
            <w:hideMark/>
          </w:tcPr>
          <w:p w14:paraId="49892EA3"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X17</w:t>
            </w:r>
          </w:p>
        </w:tc>
        <w:tc>
          <w:tcPr>
            <w:tcW w:w="532" w:type="pct"/>
            <w:tcBorders>
              <w:top w:val="nil"/>
              <w:left w:val="nil"/>
              <w:bottom w:val="single" w:sz="4" w:space="0" w:color="auto"/>
              <w:right w:val="single" w:sz="4" w:space="0" w:color="auto"/>
            </w:tcBorders>
            <w:shd w:val="clear" w:color="auto" w:fill="auto"/>
            <w:noWrap/>
            <w:vAlign w:val="center"/>
            <w:hideMark/>
          </w:tcPr>
          <w:p w14:paraId="2ECEF291"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0,748</w:t>
            </w:r>
          </w:p>
        </w:tc>
        <w:tc>
          <w:tcPr>
            <w:tcW w:w="532" w:type="pct"/>
            <w:tcBorders>
              <w:top w:val="nil"/>
              <w:left w:val="nil"/>
              <w:bottom w:val="single" w:sz="4" w:space="0" w:color="auto"/>
              <w:right w:val="single" w:sz="4" w:space="0" w:color="auto"/>
            </w:tcBorders>
            <w:shd w:val="clear" w:color="auto" w:fill="auto"/>
            <w:noWrap/>
            <w:vAlign w:val="center"/>
            <w:hideMark/>
          </w:tcPr>
          <w:p w14:paraId="543C65DD"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0,212</w:t>
            </w:r>
          </w:p>
        </w:tc>
        <w:tc>
          <w:tcPr>
            <w:tcW w:w="532" w:type="pct"/>
            <w:tcBorders>
              <w:top w:val="nil"/>
              <w:left w:val="nil"/>
              <w:bottom w:val="single" w:sz="4" w:space="0" w:color="auto"/>
              <w:right w:val="single" w:sz="4" w:space="0" w:color="auto"/>
            </w:tcBorders>
            <w:shd w:val="clear" w:color="auto" w:fill="auto"/>
            <w:noWrap/>
            <w:vAlign w:val="center"/>
            <w:hideMark/>
          </w:tcPr>
          <w:p w14:paraId="2C1CAA2D"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-0,075</w:t>
            </w:r>
          </w:p>
        </w:tc>
        <w:tc>
          <w:tcPr>
            <w:tcW w:w="532" w:type="pct"/>
            <w:tcBorders>
              <w:top w:val="nil"/>
              <w:left w:val="nil"/>
              <w:bottom w:val="single" w:sz="4" w:space="0" w:color="auto"/>
              <w:right w:val="single" w:sz="4" w:space="0" w:color="auto"/>
            </w:tcBorders>
            <w:shd w:val="clear" w:color="auto" w:fill="auto"/>
            <w:noWrap/>
            <w:vAlign w:val="center"/>
            <w:hideMark/>
          </w:tcPr>
          <w:p w14:paraId="62B9407C"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0,382</w:t>
            </w:r>
          </w:p>
        </w:tc>
        <w:tc>
          <w:tcPr>
            <w:tcW w:w="532" w:type="pct"/>
            <w:tcBorders>
              <w:top w:val="nil"/>
              <w:left w:val="nil"/>
              <w:bottom w:val="single" w:sz="4" w:space="0" w:color="auto"/>
              <w:right w:val="single" w:sz="4" w:space="0" w:color="auto"/>
            </w:tcBorders>
            <w:shd w:val="clear" w:color="auto" w:fill="auto"/>
            <w:noWrap/>
            <w:vAlign w:val="center"/>
            <w:hideMark/>
          </w:tcPr>
          <w:p w14:paraId="77EBC177"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-0,164</w:t>
            </w:r>
          </w:p>
        </w:tc>
        <w:tc>
          <w:tcPr>
            <w:tcW w:w="532" w:type="pct"/>
            <w:tcBorders>
              <w:top w:val="nil"/>
              <w:left w:val="nil"/>
              <w:bottom w:val="single" w:sz="4" w:space="0" w:color="auto"/>
              <w:right w:val="single" w:sz="4" w:space="0" w:color="auto"/>
            </w:tcBorders>
            <w:shd w:val="clear" w:color="auto" w:fill="auto"/>
            <w:noWrap/>
            <w:vAlign w:val="center"/>
            <w:hideMark/>
          </w:tcPr>
          <w:p w14:paraId="2A69EC11"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-0,104</w:t>
            </w:r>
          </w:p>
        </w:tc>
        <w:tc>
          <w:tcPr>
            <w:tcW w:w="532" w:type="pct"/>
            <w:tcBorders>
              <w:top w:val="nil"/>
              <w:left w:val="nil"/>
              <w:bottom w:val="single" w:sz="4" w:space="0" w:color="auto"/>
              <w:right w:val="single" w:sz="4" w:space="0" w:color="auto"/>
            </w:tcBorders>
            <w:shd w:val="clear" w:color="auto" w:fill="auto"/>
            <w:noWrap/>
            <w:vAlign w:val="center"/>
            <w:hideMark/>
          </w:tcPr>
          <w:p w14:paraId="3C920924"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-0,102</w:t>
            </w:r>
          </w:p>
        </w:tc>
        <w:tc>
          <w:tcPr>
            <w:tcW w:w="921" w:type="pct"/>
            <w:tcBorders>
              <w:top w:val="nil"/>
              <w:left w:val="nil"/>
              <w:bottom w:val="single" w:sz="4" w:space="0" w:color="auto"/>
              <w:right w:val="nil"/>
            </w:tcBorders>
            <w:shd w:val="clear" w:color="auto" w:fill="auto"/>
            <w:noWrap/>
            <w:vAlign w:val="center"/>
            <w:hideMark/>
          </w:tcPr>
          <w:p w14:paraId="49757010"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0,804</w:t>
            </w:r>
          </w:p>
        </w:tc>
      </w:tr>
      <w:tr w:rsidR="00EE2858" w:rsidRPr="00EE2858" w14:paraId="00737B26" w14:textId="77777777" w:rsidTr="00F078D5">
        <w:trPr>
          <w:trHeight w:val="20"/>
        </w:trPr>
        <w:tc>
          <w:tcPr>
            <w:tcW w:w="356" w:type="pct"/>
            <w:tcBorders>
              <w:top w:val="nil"/>
              <w:left w:val="nil"/>
              <w:bottom w:val="single" w:sz="4" w:space="0" w:color="auto"/>
              <w:right w:val="single" w:sz="4" w:space="0" w:color="auto"/>
            </w:tcBorders>
            <w:shd w:val="clear" w:color="auto" w:fill="auto"/>
            <w:noWrap/>
            <w:vAlign w:val="center"/>
            <w:hideMark/>
          </w:tcPr>
          <w:p w14:paraId="21EF025D"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X18</w:t>
            </w:r>
          </w:p>
        </w:tc>
        <w:tc>
          <w:tcPr>
            <w:tcW w:w="532" w:type="pct"/>
            <w:tcBorders>
              <w:top w:val="nil"/>
              <w:left w:val="nil"/>
              <w:bottom w:val="single" w:sz="4" w:space="0" w:color="auto"/>
              <w:right w:val="single" w:sz="4" w:space="0" w:color="auto"/>
            </w:tcBorders>
            <w:shd w:val="clear" w:color="auto" w:fill="auto"/>
            <w:noWrap/>
            <w:vAlign w:val="center"/>
            <w:hideMark/>
          </w:tcPr>
          <w:p w14:paraId="693A6174"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0,761</w:t>
            </w:r>
          </w:p>
        </w:tc>
        <w:tc>
          <w:tcPr>
            <w:tcW w:w="532" w:type="pct"/>
            <w:tcBorders>
              <w:top w:val="nil"/>
              <w:left w:val="nil"/>
              <w:bottom w:val="single" w:sz="4" w:space="0" w:color="auto"/>
              <w:right w:val="single" w:sz="4" w:space="0" w:color="auto"/>
            </w:tcBorders>
            <w:shd w:val="clear" w:color="auto" w:fill="auto"/>
            <w:noWrap/>
            <w:vAlign w:val="center"/>
            <w:hideMark/>
          </w:tcPr>
          <w:p w14:paraId="7FB99DC4"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0,176</w:t>
            </w:r>
          </w:p>
        </w:tc>
        <w:tc>
          <w:tcPr>
            <w:tcW w:w="532" w:type="pct"/>
            <w:tcBorders>
              <w:top w:val="nil"/>
              <w:left w:val="nil"/>
              <w:bottom w:val="single" w:sz="4" w:space="0" w:color="auto"/>
              <w:right w:val="single" w:sz="4" w:space="0" w:color="auto"/>
            </w:tcBorders>
            <w:shd w:val="clear" w:color="auto" w:fill="auto"/>
            <w:noWrap/>
            <w:vAlign w:val="center"/>
            <w:hideMark/>
          </w:tcPr>
          <w:p w14:paraId="0EE6675C"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0,466</w:t>
            </w:r>
          </w:p>
        </w:tc>
        <w:tc>
          <w:tcPr>
            <w:tcW w:w="532" w:type="pct"/>
            <w:tcBorders>
              <w:top w:val="nil"/>
              <w:left w:val="nil"/>
              <w:bottom w:val="single" w:sz="4" w:space="0" w:color="auto"/>
              <w:right w:val="single" w:sz="4" w:space="0" w:color="auto"/>
            </w:tcBorders>
            <w:shd w:val="clear" w:color="auto" w:fill="auto"/>
            <w:noWrap/>
            <w:vAlign w:val="center"/>
            <w:hideMark/>
          </w:tcPr>
          <w:p w14:paraId="3817F157"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0,156</w:t>
            </w:r>
          </w:p>
        </w:tc>
        <w:tc>
          <w:tcPr>
            <w:tcW w:w="532" w:type="pct"/>
            <w:tcBorders>
              <w:top w:val="nil"/>
              <w:left w:val="nil"/>
              <w:bottom w:val="single" w:sz="4" w:space="0" w:color="auto"/>
              <w:right w:val="single" w:sz="4" w:space="0" w:color="auto"/>
            </w:tcBorders>
            <w:shd w:val="clear" w:color="auto" w:fill="auto"/>
            <w:noWrap/>
            <w:vAlign w:val="center"/>
            <w:hideMark/>
          </w:tcPr>
          <w:p w14:paraId="099263EF"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0,248</w:t>
            </w:r>
          </w:p>
        </w:tc>
        <w:tc>
          <w:tcPr>
            <w:tcW w:w="532" w:type="pct"/>
            <w:tcBorders>
              <w:top w:val="nil"/>
              <w:left w:val="nil"/>
              <w:bottom w:val="single" w:sz="4" w:space="0" w:color="auto"/>
              <w:right w:val="single" w:sz="4" w:space="0" w:color="auto"/>
            </w:tcBorders>
            <w:shd w:val="clear" w:color="auto" w:fill="auto"/>
            <w:noWrap/>
            <w:vAlign w:val="center"/>
            <w:hideMark/>
          </w:tcPr>
          <w:p w14:paraId="50108CAF"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0,084</w:t>
            </w:r>
          </w:p>
        </w:tc>
        <w:tc>
          <w:tcPr>
            <w:tcW w:w="532" w:type="pct"/>
            <w:tcBorders>
              <w:top w:val="nil"/>
              <w:left w:val="nil"/>
              <w:bottom w:val="single" w:sz="4" w:space="0" w:color="auto"/>
              <w:right w:val="single" w:sz="4" w:space="0" w:color="auto"/>
            </w:tcBorders>
            <w:shd w:val="clear" w:color="auto" w:fill="auto"/>
            <w:noWrap/>
            <w:vAlign w:val="center"/>
            <w:hideMark/>
          </w:tcPr>
          <w:p w14:paraId="25F1ECA5"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-0,050</w:t>
            </w:r>
          </w:p>
        </w:tc>
        <w:tc>
          <w:tcPr>
            <w:tcW w:w="921" w:type="pct"/>
            <w:tcBorders>
              <w:top w:val="nil"/>
              <w:left w:val="nil"/>
              <w:bottom w:val="single" w:sz="4" w:space="0" w:color="auto"/>
              <w:right w:val="nil"/>
            </w:tcBorders>
            <w:shd w:val="clear" w:color="auto" w:fill="auto"/>
            <w:noWrap/>
            <w:vAlign w:val="center"/>
            <w:hideMark/>
          </w:tcPr>
          <w:p w14:paraId="4D102BF7"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0,922</w:t>
            </w:r>
          </w:p>
        </w:tc>
      </w:tr>
      <w:tr w:rsidR="00EE2858" w:rsidRPr="00EE2858" w14:paraId="500B8A9E" w14:textId="77777777" w:rsidTr="00F078D5">
        <w:trPr>
          <w:trHeight w:val="20"/>
        </w:trPr>
        <w:tc>
          <w:tcPr>
            <w:tcW w:w="356" w:type="pct"/>
            <w:tcBorders>
              <w:top w:val="nil"/>
              <w:left w:val="nil"/>
              <w:bottom w:val="single" w:sz="4" w:space="0" w:color="auto"/>
              <w:right w:val="single" w:sz="4" w:space="0" w:color="auto"/>
            </w:tcBorders>
            <w:shd w:val="clear" w:color="auto" w:fill="auto"/>
            <w:noWrap/>
            <w:vAlign w:val="center"/>
            <w:hideMark/>
          </w:tcPr>
          <w:p w14:paraId="6948212A"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X19</w:t>
            </w:r>
          </w:p>
        </w:tc>
        <w:tc>
          <w:tcPr>
            <w:tcW w:w="532" w:type="pct"/>
            <w:tcBorders>
              <w:top w:val="nil"/>
              <w:left w:val="nil"/>
              <w:bottom w:val="single" w:sz="4" w:space="0" w:color="auto"/>
              <w:right w:val="single" w:sz="4" w:space="0" w:color="auto"/>
            </w:tcBorders>
            <w:shd w:val="clear" w:color="auto" w:fill="auto"/>
            <w:noWrap/>
            <w:vAlign w:val="center"/>
            <w:hideMark/>
          </w:tcPr>
          <w:p w14:paraId="0F2D4997"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0,896</w:t>
            </w:r>
          </w:p>
        </w:tc>
        <w:tc>
          <w:tcPr>
            <w:tcW w:w="532" w:type="pct"/>
            <w:tcBorders>
              <w:top w:val="nil"/>
              <w:left w:val="nil"/>
              <w:bottom w:val="single" w:sz="4" w:space="0" w:color="auto"/>
              <w:right w:val="single" w:sz="4" w:space="0" w:color="auto"/>
            </w:tcBorders>
            <w:shd w:val="clear" w:color="auto" w:fill="auto"/>
            <w:noWrap/>
            <w:vAlign w:val="center"/>
            <w:hideMark/>
          </w:tcPr>
          <w:p w14:paraId="576CD210"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0,276</w:t>
            </w:r>
          </w:p>
        </w:tc>
        <w:tc>
          <w:tcPr>
            <w:tcW w:w="532" w:type="pct"/>
            <w:tcBorders>
              <w:top w:val="nil"/>
              <w:left w:val="nil"/>
              <w:bottom w:val="single" w:sz="4" w:space="0" w:color="auto"/>
              <w:right w:val="single" w:sz="4" w:space="0" w:color="auto"/>
            </w:tcBorders>
            <w:shd w:val="clear" w:color="auto" w:fill="auto"/>
            <w:noWrap/>
            <w:vAlign w:val="center"/>
            <w:hideMark/>
          </w:tcPr>
          <w:p w14:paraId="04C39019"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0,122</w:t>
            </w:r>
          </w:p>
        </w:tc>
        <w:tc>
          <w:tcPr>
            <w:tcW w:w="532" w:type="pct"/>
            <w:tcBorders>
              <w:top w:val="nil"/>
              <w:left w:val="nil"/>
              <w:bottom w:val="single" w:sz="4" w:space="0" w:color="auto"/>
              <w:right w:val="single" w:sz="4" w:space="0" w:color="auto"/>
            </w:tcBorders>
            <w:shd w:val="clear" w:color="auto" w:fill="auto"/>
            <w:noWrap/>
            <w:vAlign w:val="center"/>
            <w:hideMark/>
          </w:tcPr>
          <w:p w14:paraId="5D7BD237"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0,014</w:t>
            </w:r>
          </w:p>
        </w:tc>
        <w:tc>
          <w:tcPr>
            <w:tcW w:w="532" w:type="pct"/>
            <w:tcBorders>
              <w:top w:val="nil"/>
              <w:left w:val="nil"/>
              <w:bottom w:val="single" w:sz="4" w:space="0" w:color="auto"/>
              <w:right w:val="single" w:sz="4" w:space="0" w:color="auto"/>
            </w:tcBorders>
            <w:shd w:val="clear" w:color="auto" w:fill="auto"/>
            <w:noWrap/>
            <w:vAlign w:val="center"/>
            <w:hideMark/>
          </w:tcPr>
          <w:p w14:paraId="723C7E97"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0,270</w:t>
            </w:r>
          </w:p>
        </w:tc>
        <w:tc>
          <w:tcPr>
            <w:tcW w:w="532" w:type="pct"/>
            <w:tcBorders>
              <w:top w:val="nil"/>
              <w:left w:val="nil"/>
              <w:bottom w:val="single" w:sz="4" w:space="0" w:color="auto"/>
              <w:right w:val="single" w:sz="4" w:space="0" w:color="auto"/>
            </w:tcBorders>
            <w:shd w:val="clear" w:color="auto" w:fill="auto"/>
            <w:noWrap/>
            <w:vAlign w:val="center"/>
            <w:hideMark/>
          </w:tcPr>
          <w:p w14:paraId="15D1554D"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0,024</w:t>
            </w:r>
          </w:p>
        </w:tc>
        <w:tc>
          <w:tcPr>
            <w:tcW w:w="532" w:type="pct"/>
            <w:tcBorders>
              <w:top w:val="nil"/>
              <w:left w:val="nil"/>
              <w:bottom w:val="single" w:sz="4" w:space="0" w:color="auto"/>
              <w:right w:val="single" w:sz="4" w:space="0" w:color="auto"/>
            </w:tcBorders>
            <w:shd w:val="clear" w:color="auto" w:fill="auto"/>
            <w:noWrap/>
            <w:vAlign w:val="center"/>
            <w:hideMark/>
          </w:tcPr>
          <w:p w14:paraId="1AC23AEC"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0,005</w:t>
            </w:r>
          </w:p>
        </w:tc>
        <w:tc>
          <w:tcPr>
            <w:tcW w:w="921" w:type="pct"/>
            <w:tcBorders>
              <w:top w:val="nil"/>
              <w:left w:val="nil"/>
              <w:bottom w:val="single" w:sz="4" w:space="0" w:color="auto"/>
              <w:right w:val="nil"/>
            </w:tcBorders>
            <w:shd w:val="clear" w:color="auto" w:fill="auto"/>
            <w:noWrap/>
            <w:vAlign w:val="center"/>
            <w:hideMark/>
          </w:tcPr>
          <w:p w14:paraId="285B424F"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0,968</w:t>
            </w:r>
          </w:p>
        </w:tc>
      </w:tr>
      <w:tr w:rsidR="00EE2858" w:rsidRPr="00EE2858" w14:paraId="2F3C1B42" w14:textId="77777777" w:rsidTr="00F078D5">
        <w:trPr>
          <w:trHeight w:val="20"/>
        </w:trPr>
        <w:tc>
          <w:tcPr>
            <w:tcW w:w="356" w:type="pct"/>
            <w:tcBorders>
              <w:top w:val="nil"/>
              <w:left w:val="nil"/>
              <w:bottom w:val="single" w:sz="4" w:space="0" w:color="auto"/>
              <w:right w:val="single" w:sz="4" w:space="0" w:color="auto"/>
            </w:tcBorders>
            <w:shd w:val="clear" w:color="auto" w:fill="auto"/>
            <w:noWrap/>
            <w:vAlign w:val="center"/>
            <w:hideMark/>
          </w:tcPr>
          <w:p w14:paraId="65D1B8E5"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X20</w:t>
            </w:r>
          </w:p>
        </w:tc>
        <w:tc>
          <w:tcPr>
            <w:tcW w:w="532" w:type="pct"/>
            <w:tcBorders>
              <w:top w:val="nil"/>
              <w:left w:val="nil"/>
              <w:bottom w:val="single" w:sz="4" w:space="0" w:color="auto"/>
              <w:right w:val="single" w:sz="4" w:space="0" w:color="auto"/>
            </w:tcBorders>
            <w:shd w:val="clear" w:color="auto" w:fill="auto"/>
            <w:noWrap/>
            <w:vAlign w:val="center"/>
            <w:hideMark/>
          </w:tcPr>
          <w:p w14:paraId="39AF1FCE"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0,153</w:t>
            </w:r>
          </w:p>
        </w:tc>
        <w:tc>
          <w:tcPr>
            <w:tcW w:w="532" w:type="pct"/>
            <w:tcBorders>
              <w:top w:val="nil"/>
              <w:left w:val="nil"/>
              <w:bottom w:val="single" w:sz="4" w:space="0" w:color="auto"/>
              <w:right w:val="single" w:sz="4" w:space="0" w:color="auto"/>
            </w:tcBorders>
            <w:shd w:val="clear" w:color="auto" w:fill="auto"/>
            <w:noWrap/>
            <w:vAlign w:val="center"/>
            <w:hideMark/>
          </w:tcPr>
          <w:p w14:paraId="0E63E9EC"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0,054</w:t>
            </w:r>
          </w:p>
        </w:tc>
        <w:tc>
          <w:tcPr>
            <w:tcW w:w="532" w:type="pct"/>
            <w:tcBorders>
              <w:top w:val="nil"/>
              <w:left w:val="nil"/>
              <w:bottom w:val="single" w:sz="4" w:space="0" w:color="auto"/>
              <w:right w:val="single" w:sz="4" w:space="0" w:color="auto"/>
            </w:tcBorders>
            <w:shd w:val="clear" w:color="auto" w:fill="auto"/>
            <w:noWrap/>
            <w:vAlign w:val="center"/>
            <w:hideMark/>
          </w:tcPr>
          <w:p w14:paraId="2A11AC2C"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-0,142</w:t>
            </w:r>
          </w:p>
        </w:tc>
        <w:tc>
          <w:tcPr>
            <w:tcW w:w="532" w:type="pct"/>
            <w:tcBorders>
              <w:top w:val="nil"/>
              <w:left w:val="nil"/>
              <w:bottom w:val="single" w:sz="4" w:space="0" w:color="auto"/>
              <w:right w:val="single" w:sz="4" w:space="0" w:color="auto"/>
            </w:tcBorders>
            <w:shd w:val="clear" w:color="auto" w:fill="auto"/>
            <w:noWrap/>
            <w:vAlign w:val="center"/>
            <w:hideMark/>
          </w:tcPr>
          <w:p w14:paraId="0306D89F"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0,152</w:t>
            </w:r>
          </w:p>
        </w:tc>
        <w:tc>
          <w:tcPr>
            <w:tcW w:w="532" w:type="pct"/>
            <w:tcBorders>
              <w:top w:val="nil"/>
              <w:left w:val="nil"/>
              <w:bottom w:val="single" w:sz="4" w:space="0" w:color="auto"/>
              <w:right w:val="single" w:sz="4" w:space="0" w:color="auto"/>
            </w:tcBorders>
            <w:shd w:val="clear" w:color="auto" w:fill="auto"/>
            <w:noWrap/>
            <w:vAlign w:val="center"/>
            <w:hideMark/>
          </w:tcPr>
          <w:p w14:paraId="38B10DED"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0,858</w:t>
            </w:r>
          </w:p>
        </w:tc>
        <w:tc>
          <w:tcPr>
            <w:tcW w:w="532" w:type="pct"/>
            <w:tcBorders>
              <w:top w:val="nil"/>
              <w:left w:val="nil"/>
              <w:bottom w:val="single" w:sz="4" w:space="0" w:color="auto"/>
              <w:right w:val="single" w:sz="4" w:space="0" w:color="auto"/>
            </w:tcBorders>
            <w:shd w:val="clear" w:color="auto" w:fill="auto"/>
            <w:noWrap/>
            <w:vAlign w:val="center"/>
            <w:hideMark/>
          </w:tcPr>
          <w:p w14:paraId="7B6FFF7C"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0,091</w:t>
            </w:r>
          </w:p>
        </w:tc>
        <w:tc>
          <w:tcPr>
            <w:tcW w:w="532" w:type="pct"/>
            <w:tcBorders>
              <w:top w:val="nil"/>
              <w:left w:val="nil"/>
              <w:bottom w:val="single" w:sz="4" w:space="0" w:color="auto"/>
              <w:right w:val="single" w:sz="4" w:space="0" w:color="auto"/>
            </w:tcBorders>
            <w:shd w:val="clear" w:color="auto" w:fill="auto"/>
            <w:noWrap/>
            <w:vAlign w:val="center"/>
            <w:hideMark/>
          </w:tcPr>
          <w:p w14:paraId="12A92658"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0,008</w:t>
            </w:r>
          </w:p>
        </w:tc>
        <w:tc>
          <w:tcPr>
            <w:tcW w:w="921" w:type="pct"/>
            <w:tcBorders>
              <w:top w:val="nil"/>
              <w:left w:val="nil"/>
              <w:bottom w:val="single" w:sz="4" w:space="0" w:color="auto"/>
              <w:right w:val="nil"/>
            </w:tcBorders>
            <w:shd w:val="clear" w:color="auto" w:fill="auto"/>
            <w:noWrap/>
            <w:vAlign w:val="center"/>
            <w:hideMark/>
          </w:tcPr>
          <w:p w14:paraId="7E30BFD4"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0,814</w:t>
            </w:r>
          </w:p>
        </w:tc>
      </w:tr>
      <w:tr w:rsidR="00EE2858" w:rsidRPr="00EE2858" w14:paraId="105A051A" w14:textId="77777777" w:rsidTr="00F078D5">
        <w:trPr>
          <w:trHeight w:val="20"/>
        </w:trPr>
        <w:tc>
          <w:tcPr>
            <w:tcW w:w="356" w:type="pct"/>
            <w:tcBorders>
              <w:top w:val="nil"/>
              <w:left w:val="nil"/>
              <w:bottom w:val="single" w:sz="4" w:space="0" w:color="auto"/>
              <w:right w:val="single" w:sz="4" w:space="0" w:color="auto"/>
            </w:tcBorders>
            <w:shd w:val="clear" w:color="auto" w:fill="auto"/>
            <w:noWrap/>
            <w:vAlign w:val="center"/>
            <w:hideMark/>
          </w:tcPr>
          <w:p w14:paraId="2FEE748A"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X21</w:t>
            </w:r>
          </w:p>
        </w:tc>
        <w:tc>
          <w:tcPr>
            <w:tcW w:w="532" w:type="pct"/>
            <w:tcBorders>
              <w:top w:val="nil"/>
              <w:left w:val="nil"/>
              <w:bottom w:val="single" w:sz="4" w:space="0" w:color="auto"/>
              <w:right w:val="single" w:sz="4" w:space="0" w:color="auto"/>
            </w:tcBorders>
            <w:shd w:val="clear" w:color="auto" w:fill="auto"/>
            <w:noWrap/>
            <w:vAlign w:val="center"/>
            <w:hideMark/>
          </w:tcPr>
          <w:p w14:paraId="69F9A97F"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0,837</w:t>
            </w:r>
          </w:p>
        </w:tc>
        <w:tc>
          <w:tcPr>
            <w:tcW w:w="532" w:type="pct"/>
            <w:tcBorders>
              <w:top w:val="nil"/>
              <w:left w:val="nil"/>
              <w:bottom w:val="single" w:sz="4" w:space="0" w:color="auto"/>
              <w:right w:val="single" w:sz="4" w:space="0" w:color="auto"/>
            </w:tcBorders>
            <w:shd w:val="clear" w:color="auto" w:fill="auto"/>
            <w:noWrap/>
            <w:vAlign w:val="center"/>
            <w:hideMark/>
          </w:tcPr>
          <w:p w14:paraId="29E86566"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0,285</w:t>
            </w:r>
          </w:p>
        </w:tc>
        <w:tc>
          <w:tcPr>
            <w:tcW w:w="532" w:type="pct"/>
            <w:tcBorders>
              <w:top w:val="nil"/>
              <w:left w:val="nil"/>
              <w:bottom w:val="single" w:sz="4" w:space="0" w:color="auto"/>
              <w:right w:val="single" w:sz="4" w:space="0" w:color="auto"/>
            </w:tcBorders>
            <w:shd w:val="clear" w:color="auto" w:fill="auto"/>
            <w:noWrap/>
            <w:vAlign w:val="center"/>
            <w:hideMark/>
          </w:tcPr>
          <w:p w14:paraId="5386C1FC"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-0,205</w:t>
            </w:r>
          </w:p>
        </w:tc>
        <w:tc>
          <w:tcPr>
            <w:tcW w:w="532" w:type="pct"/>
            <w:tcBorders>
              <w:top w:val="nil"/>
              <w:left w:val="nil"/>
              <w:bottom w:val="single" w:sz="4" w:space="0" w:color="auto"/>
              <w:right w:val="single" w:sz="4" w:space="0" w:color="auto"/>
            </w:tcBorders>
            <w:shd w:val="clear" w:color="auto" w:fill="auto"/>
            <w:noWrap/>
            <w:vAlign w:val="center"/>
            <w:hideMark/>
          </w:tcPr>
          <w:p w14:paraId="73CCC8C5"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0,156</w:t>
            </w:r>
          </w:p>
        </w:tc>
        <w:tc>
          <w:tcPr>
            <w:tcW w:w="532" w:type="pct"/>
            <w:tcBorders>
              <w:top w:val="nil"/>
              <w:left w:val="nil"/>
              <w:bottom w:val="single" w:sz="4" w:space="0" w:color="auto"/>
              <w:right w:val="single" w:sz="4" w:space="0" w:color="auto"/>
            </w:tcBorders>
            <w:shd w:val="clear" w:color="auto" w:fill="auto"/>
            <w:noWrap/>
            <w:vAlign w:val="center"/>
            <w:hideMark/>
          </w:tcPr>
          <w:p w14:paraId="123F20CF"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-0,169</w:t>
            </w:r>
          </w:p>
        </w:tc>
        <w:tc>
          <w:tcPr>
            <w:tcW w:w="532" w:type="pct"/>
            <w:tcBorders>
              <w:top w:val="nil"/>
              <w:left w:val="nil"/>
              <w:bottom w:val="single" w:sz="4" w:space="0" w:color="auto"/>
              <w:right w:val="single" w:sz="4" w:space="0" w:color="auto"/>
            </w:tcBorders>
            <w:shd w:val="clear" w:color="auto" w:fill="auto"/>
            <w:noWrap/>
            <w:vAlign w:val="center"/>
            <w:hideMark/>
          </w:tcPr>
          <w:p w14:paraId="1ADA66C4"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0,099</w:t>
            </w:r>
          </w:p>
        </w:tc>
        <w:tc>
          <w:tcPr>
            <w:tcW w:w="532" w:type="pct"/>
            <w:tcBorders>
              <w:top w:val="nil"/>
              <w:left w:val="nil"/>
              <w:bottom w:val="single" w:sz="4" w:space="0" w:color="auto"/>
              <w:right w:val="single" w:sz="4" w:space="0" w:color="auto"/>
            </w:tcBorders>
            <w:shd w:val="clear" w:color="auto" w:fill="auto"/>
            <w:noWrap/>
            <w:vAlign w:val="center"/>
            <w:hideMark/>
          </w:tcPr>
          <w:p w14:paraId="47A51E35"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0,052</w:t>
            </w:r>
          </w:p>
        </w:tc>
        <w:tc>
          <w:tcPr>
            <w:tcW w:w="921" w:type="pct"/>
            <w:tcBorders>
              <w:top w:val="nil"/>
              <w:left w:val="nil"/>
              <w:bottom w:val="single" w:sz="4" w:space="0" w:color="auto"/>
              <w:right w:val="nil"/>
            </w:tcBorders>
            <w:shd w:val="clear" w:color="auto" w:fill="auto"/>
            <w:noWrap/>
            <w:vAlign w:val="center"/>
            <w:hideMark/>
          </w:tcPr>
          <w:p w14:paraId="2484A927"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0,890</w:t>
            </w:r>
          </w:p>
        </w:tc>
      </w:tr>
      <w:tr w:rsidR="00EE2858" w:rsidRPr="00EE2858" w14:paraId="0EC24859" w14:textId="77777777" w:rsidTr="00F078D5">
        <w:trPr>
          <w:trHeight w:val="20"/>
        </w:trPr>
        <w:tc>
          <w:tcPr>
            <w:tcW w:w="356" w:type="pct"/>
            <w:tcBorders>
              <w:top w:val="nil"/>
              <w:left w:val="nil"/>
              <w:bottom w:val="single" w:sz="4" w:space="0" w:color="auto"/>
              <w:right w:val="single" w:sz="4" w:space="0" w:color="auto"/>
            </w:tcBorders>
            <w:shd w:val="clear" w:color="auto" w:fill="auto"/>
            <w:noWrap/>
            <w:vAlign w:val="center"/>
            <w:hideMark/>
          </w:tcPr>
          <w:p w14:paraId="6882784E"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X22</w:t>
            </w:r>
          </w:p>
        </w:tc>
        <w:tc>
          <w:tcPr>
            <w:tcW w:w="532" w:type="pct"/>
            <w:tcBorders>
              <w:top w:val="nil"/>
              <w:left w:val="nil"/>
              <w:bottom w:val="single" w:sz="4" w:space="0" w:color="auto"/>
              <w:right w:val="single" w:sz="4" w:space="0" w:color="auto"/>
            </w:tcBorders>
            <w:shd w:val="clear" w:color="auto" w:fill="auto"/>
            <w:noWrap/>
            <w:vAlign w:val="center"/>
            <w:hideMark/>
          </w:tcPr>
          <w:p w14:paraId="704E3B93"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0,218</w:t>
            </w:r>
          </w:p>
        </w:tc>
        <w:tc>
          <w:tcPr>
            <w:tcW w:w="532" w:type="pct"/>
            <w:tcBorders>
              <w:top w:val="nil"/>
              <w:left w:val="nil"/>
              <w:bottom w:val="single" w:sz="4" w:space="0" w:color="auto"/>
              <w:right w:val="single" w:sz="4" w:space="0" w:color="auto"/>
            </w:tcBorders>
            <w:shd w:val="clear" w:color="auto" w:fill="auto"/>
            <w:noWrap/>
            <w:vAlign w:val="center"/>
            <w:hideMark/>
          </w:tcPr>
          <w:p w14:paraId="04505E2F"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-0,052</w:t>
            </w:r>
          </w:p>
        </w:tc>
        <w:tc>
          <w:tcPr>
            <w:tcW w:w="532" w:type="pct"/>
            <w:tcBorders>
              <w:top w:val="nil"/>
              <w:left w:val="nil"/>
              <w:bottom w:val="single" w:sz="4" w:space="0" w:color="auto"/>
              <w:right w:val="single" w:sz="4" w:space="0" w:color="auto"/>
            </w:tcBorders>
            <w:shd w:val="clear" w:color="auto" w:fill="auto"/>
            <w:noWrap/>
            <w:vAlign w:val="center"/>
            <w:hideMark/>
          </w:tcPr>
          <w:p w14:paraId="1A39D438"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0,676</w:t>
            </w:r>
          </w:p>
        </w:tc>
        <w:tc>
          <w:tcPr>
            <w:tcW w:w="532" w:type="pct"/>
            <w:tcBorders>
              <w:top w:val="nil"/>
              <w:left w:val="nil"/>
              <w:bottom w:val="single" w:sz="4" w:space="0" w:color="auto"/>
              <w:right w:val="single" w:sz="4" w:space="0" w:color="auto"/>
            </w:tcBorders>
            <w:shd w:val="clear" w:color="auto" w:fill="auto"/>
            <w:noWrap/>
            <w:vAlign w:val="center"/>
            <w:hideMark/>
          </w:tcPr>
          <w:p w14:paraId="378F2317"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0,224</w:t>
            </w:r>
          </w:p>
        </w:tc>
        <w:tc>
          <w:tcPr>
            <w:tcW w:w="532" w:type="pct"/>
            <w:tcBorders>
              <w:top w:val="nil"/>
              <w:left w:val="nil"/>
              <w:bottom w:val="single" w:sz="4" w:space="0" w:color="auto"/>
              <w:right w:val="single" w:sz="4" w:space="0" w:color="auto"/>
            </w:tcBorders>
            <w:shd w:val="clear" w:color="auto" w:fill="auto"/>
            <w:noWrap/>
            <w:vAlign w:val="center"/>
            <w:hideMark/>
          </w:tcPr>
          <w:p w14:paraId="0941EC6C"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-0,132</w:t>
            </w:r>
          </w:p>
        </w:tc>
        <w:tc>
          <w:tcPr>
            <w:tcW w:w="532" w:type="pct"/>
            <w:tcBorders>
              <w:top w:val="nil"/>
              <w:left w:val="nil"/>
              <w:bottom w:val="single" w:sz="4" w:space="0" w:color="auto"/>
              <w:right w:val="single" w:sz="4" w:space="0" w:color="auto"/>
            </w:tcBorders>
            <w:shd w:val="clear" w:color="auto" w:fill="auto"/>
            <w:noWrap/>
            <w:vAlign w:val="center"/>
            <w:hideMark/>
          </w:tcPr>
          <w:p w14:paraId="41178E27"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0,044</w:t>
            </w:r>
          </w:p>
        </w:tc>
        <w:tc>
          <w:tcPr>
            <w:tcW w:w="532" w:type="pct"/>
            <w:tcBorders>
              <w:top w:val="nil"/>
              <w:left w:val="nil"/>
              <w:bottom w:val="single" w:sz="4" w:space="0" w:color="auto"/>
              <w:right w:val="single" w:sz="4" w:space="0" w:color="auto"/>
            </w:tcBorders>
            <w:shd w:val="clear" w:color="auto" w:fill="auto"/>
            <w:noWrap/>
            <w:vAlign w:val="center"/>
            <w:hideMark/>
          </w:tcPr>
          <w:p w14:paraId="3FB53A5F"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0,292</w:t>
            </w:r>
          </w:p>
        </w:tc>
        <w:tc>
          <w:tcPr>
            <w:tcW w:w="921" w:type="pct"/>
            <w:tcBorders>
              <w:top w:val="nil"/>
              <w:left w:val="nil"/>
              <w:bottom w:val="single" w:sz="4" w:space="0" w:color="auto"/>
              <w:right w:val="nil"/>
            </w:tcBorders>
            <w:shd w:val="clear" w:color="auto" w:fill="auto"/>
            <w:noWrap/>
            <w:vAlign w:val="center"/>
            <w:hideMark/>
          </w:tcPr>
          <w:p w14:paraId="268D1DF0"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0,662</w:t>
            </w:r>
          </w:p>
        </w:tc>
      </w:tr>
      <w:tr w:rsidR="00EE2858" w:rsidRPr="00EE2858" w14:paraId="069FB293" w14:textId="77777777" w:rsidTr="00F078D5">
        <w:trPr>
          <w:trHeight w:val="20"/>
        </w:trPr>
        <w:tc>
          <w:tcPr>
            <w:tcW w:w="356" w:type="pct"/>
            <w:tcBorders>
              <w:top w:val="nil"/>
              <w:left w:val="nil"/>
              <w:bottom w:val="single" w:sz="4" w:space="0" w:color="auto"/>
              <w:right w:val="single" w:sz="4" w:space="0" w:color="auto"/>
            </w:tcBorders>
            <w:shd w:val="clear" w:color="auto" w:fill="auto"/>
            <w:noWrap/>
            <w:vAlign w:val="center"/>
            <w:hideMark/>
          </w:tcPr>
          <w:p w14:paraId="4E5E2EBC"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X23</w:t>
            </w:r>
          </w:p>
        </w:tc>
        <w:tc>
          <w:tcPr>
            <w:tcW w:w="532" w:type="pct"/>
            <w:tcBorders>
              <w:top w:val="nil"/>
              <w:left w:val="nil"/>
              <w:bottom w:val="single" w:sz="4" w:space="0" w:color="auto"/>
              <w:right w:val="single" w:sz="4" w:space="0" w:color="auto"/>
            </w:tcBorders>
            <w:shd w:val="clear" w:color="auto" w:fill="auto"/>
            <w:noWrap/>
            <w:vAlign w:val="center"/>
            <w:hideMark/>
          </w:tcPr>
          <w:p w14:paraId="0E33C92D"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-0,010</w:t>
            </w:r>
          </w:p>
        </w:tc>
        <w:tc>
          <w:tcPr>
            <w:tcW w:w="532" w:type="pct"/>
            <w:tcBorders>
              <w:top w:val="nil"/>
              <w:left w:val="nil"/>
              <w:bottom w:val="single" w:sz="4" w:space="0" w:color="auto"/>
              <w:right w:val="single" w:sz="4" w:space="0" w:color="auto"/>
            </w:tcBorders>
            <w:shd w:val="clear" w:color="auto" w:fill="auto"/>
            <w:noWrap/>
            <w:vAlign w:val="center"/>
            <w:hideMark/>
          </w:tcPr>
          <w:p w14:paraId="73B985E2"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-0,031</w:t>
            </w:r>
          </w:p>
        </w:tc>
        <w:tc>
          <w:tcPr>
            <w:tcW w:w="532" w:type="pct"/>
            <w:tcBorders>
              <w:top w:val="nil"/>
              <w:left w:val="nil"/>
              <w:bottom w:val="single" w:sz="4" w:space="0" w:color="auto"/>
              <w:right w:val="single" w:sz="4" w:space="0" w:color="auto"/>
            </w:tcBorders>
            <w:shd w:val="clear" w:color="auto" w:fill="auto"/>
            <w:noWrap/>
            <w:vAlign w:val="center"/>
            <w:hideMark/>
          </w:tcPr>
          <w:p w14:paraId="2F521455"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0,866</w:t>
            </w:r>
          </w:p>
        </w:tc>
        <w:tc>
          <w:tcPr>
            <w:tcW w:w="532" w:type="pct"/>
            <w:tcBorders>
              <w:top w:val="nil"/>
              <w:left w:val="nil"/>
              <w:bottom w:val="single" w:sz="4" w:space="0" w:color="auto"/>
              <w:right w:val="single" w:sz="4" w:space="0" w:color="auto"/>
            </w:tcBorders>
            <w:shd w:val="clear" w:color="auto" w:fill="auto"/>
            <w:noWrap/>
            <w:vAlign w:val="center"/>
            <w:hideMark/>
          </w:tcPr>
          <w:p w14:paraId="7AE2C3A3"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-0,070</w:t>
            </w:r>
          </w:p>
        </w:tc>
        <w:tc>
          <w:tcPr>
            <w:tcW w:w="532" w:type="pct"/>
            <w:tcBorders>
              <w:top w:val="nil"/>
              <w:left w:val="nil"/>
              <w:bottom w:val="single" w:sz="4" w:space="0" w:color="auto"/>
              <w:right w:val="single" w:sz="4" w:space="0" w:color="auto"/>
            </w:tcBorders>
            <w:shd w:val="clear" w:color="auto" w:fill="auto"/>
            <w:noWrap/>
            <w:vAlign w:val="center"/>
            <w:hideMark/>
          </w:tcPr>
          <w:p w14:paraId="68783E59"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-0,019</w:t>
            </w:r>
          </w:p>
        </w:tc>
        <w:tc>
          <w:tcPr>
            <w:tcW w:w="532" w:type="pct"/>
            <w:tcBorders>
              <w:top w:val="nil"/>
              <w:left w:val="nil"/>
              <w:bottom w:val="single" w:sz="4" w:space="0" w:color="auto"/>
              <w:right w:val="single" w:sz="4" w:space="0" w:color="auto"/>
            </w:tcBorders>
            <w:shd w:val="clear" w:color="auto" w:fill="auto"/>
            <w:noWrap/>
            <w:vAlign w:val="center"/>
            <w:hideMark/>
          </w:tcPr>
          <w:p w14:paraId="67FCB92B"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-0,299</w:t>
            </w:r>
          </w:p>
        </w:tc>
        <w:tc>
          <w:tcPr>
            <w:tcW w:w="532" w:type="pct"/>
            <w:tcBorders>
              <w:top w:val="nil"/>
              <w:left w:val="nil"/>
              <w:bottom w:val="single" w:sz="4" w:space="0" w:color="auto"/>
              <w:right w:val="single" w:sz="4" w:space="0" w:color="auto"/>
            </w:tcBorders>
            <w:shd w:val="clear" w:color="auto" w:fill="auto"/>
            <w:noWrap/>
            <w:vAlign w:val="center"/>
            <w:hideMark/>
          </w:tcPr>
          <w:p w14:paraId="6558827B"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-0,211</w:t>
            </w:r>
          </w:p>
        </w:tc>
        <w:tc>
          <w:tcPr>
            <w:tcW w:w="921" w:type="pct"/>
            <w:tcBorders>
              <w:top w:val="nil"/>
              <w:left w:val="nil"/>
              <w:bottom w:val="single" w:sz="4" w:space="0" w:color="auto"/>
              <w:right w:val="nil"/>
            </w:tcBorders>
            <w:shd w:val="clear" w:color="auto" w:fill="auto"/>
            <w:noWrap/>
            <w:vAlign w:val="center"/>
            <w:hideMark/>
          </w:tcPr>
          <w:p w14:paraId="0F929D0D"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0,890</w:t>
            </w:r>
          </w:p>
        </w:tc>
      </w:tr>
      <w:tr w:rsidR="00EE2858" w:rsidRPr="00EE2858" w14:paraId="06BE3509" w14:textId="77777777" w:rsidTr="00F078D5">
        <w:trPr>
          <w:trHeight w:val="20"/>
        </w:trPr>
        <w:tc>
          <w:tcPr>
            <w:tcW w:w="356" w:type="pct"/>
            <w:tcBorders>
              <w:top w:val="nil"/>
              <w:left w:val="nil"/>
              <w:bottom w:val="single" w:sz="4" w:space="0" w:color="auto"/>
              <w:right w:val="single" w:sz="4" w:space="0" w:color="auto"/>
            </w:tcBorders>
            <w:shd w:val="clear" w:color="auto" w:fill="auto"/>
            <w:noWrap/>
            <w:vAlign w:val="center"/>
            <w:hideMark/>
          </w:tcPr>
          <w:p w14:paraId="37926361"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X24</w:t>
            </w:r>
          </w:p>
        </w:tc>
        <w:tc>
          <w:tcPr>
            <w:tcW w:w="532" w:type="pct"/>
            <w:tcBorders>
              <w:top w:val="nil"/>
              <w:left w:val="nil"/>
              <w:bottom w:val="single" w:sz="4" w:space="0" w:color="auto"/>
              <w:right w:val="single" w:sz="4" w:space="0" w:color="auto"/>
            </w:tcBorders>
            <w:shd w:val="clear" w:color="auto" w:fill="auto"/>
            <w:noWrap/>
            <w:vAlign w:val="center"/>
            <w:hideMark/>
          </w:tcPr>
          <w:p w14:paraId="05FB6000"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-0,004</w:t>
            </w:r>
          </w:p>
        </w:tc>
        <w:tc>
          <w:tcPr>
            <w:tcW w:w="532" w:type="pct"/>
            <w:tcBorders>
              <w:top w:val="nil"/>
              <w:left w:val="nil"/>
              <w:bottom w:val="single" w:sz="4" w:space="0" w:color="auto"/>
              <w:right w:val="single" w:sz="4" w:space="0" w:color="auto"/>
            </w:tcBorders>
            <w:shd w:val="clear" w:color="auto" w:fill="auto"/>
            <w:noWrap/>
            <w:vAlign w:val="center"/>
            <w:hideMark/>
          </w:tcPr>
          <w:p w14:paraId="179E98B9"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-0,359</w:t>
            </w:r>
          </w:p>
        </w:tc>
        <w:tc>
          <w:tcPr>
            <w:tcW w:w="532" w:type="pct"/>
            <w:tcBorders>
              <w:top w:val="nil"/>
              <w:left w:val="nil"/>
              <w:bottom w:val="single" w:sz="4" w:space="0" w:color="auto"/>
              <w:right w:val="single" w:sz="4" w:space="0" w:color="auto"/>
            </w:tcBorders>
            <w:shd w:val="clear" w:color="auto" w:fill="auto"/>
            <w:noWrap/>
            <w:vAlign w:val="center"/>
            <w:hideMark/>
          </w:tcPr>
          <w:p w14:paraId="3A55B7F1"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-0,589</w:t>
            </w:r>
          </w:p>
        </w:tc>
        <w:tc>
          <w:tcPr>
            <w:tcW w:w="532" w:type="pct"/>
            <w:tcBorders>
              <w:top w:val="nil"/>
              <w:left w:val="nil"/>
              <w:bottom w:val="single" w:sz="4" w:space="0" w:color="auto"/>
              <w:right w:val="single" w:sz="4" w:space="0" w:color="auto"/>
            </w:tcBorders>
            <w:shd w:val="clear" w:color="auto" w:fill="auto"/>
            <w:noWrap/>
            <w:vAlign w:val="center"/>
            <w:hideMark/>
          </w:tcPr>
          <w:p w14:paraId="057E5E03"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-0,062</w:t>
            </w:r>
          </w:p>
        </w:tc>
        <w:tc>
          <w:tcPr>
            <w:tcW w:w="532" w:type="pct"/>
            <w:tcBorders>
              <w:top w:val="nil"/>
              <w:left w:val="nil"/>
              <w:bottom w:val="single" w:sz="4" w:space="0" w:color="auto"/>
              <w:right w:val="single" w:sz="4" w:space="0" w:color="auto"/>
            </w:tcBorders>
            <w:shd w:val="clear" w:color="auto" w:fill="auto"/>
            <w:noWrap/>
            <w:vAlign w:val="center"/>
            <w:hideMark/>
          </w:tcPr>
          <w:p w14:paraId="5BE95B2D"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0,096</w:t>
            </w:r>
          </w:p>
        </w:tc>
        <w:tc>
          <w:tcPr>
            <w:tcW w:w="532" w:type="pct"/>
            <w:tcBorders>
              <w:top w:val="nil"/>
              <w:left w:val="nil"/>
              <w:bottom w:val="single" w:sz="4" w:space="0" w:color="auto"/>
              <w:right w:val="single" w:sz="4" w:space="0" w:color="auto"/>
            </w:tcBorders>
            <w:shd w:val="clear" w:color="auto" w:fill="auto"/>
            <w:noWrap/>
            <w:vAlign w:val="center"/>
            <w:hideMark/>
          </w:tcPr>
          <w:p w14:paraId="225BAF22"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-0,226</w:t>
            </w:r>
          </w:p>
        </w:tc>
        <w:tc>
          <w:tcPr>
            <w:tcW w:w="532" w:type="pct"/>
            <w:tcBorders>
              <w:top w:val="nil"/>
              <w:left w:val="nil"/>
              <w:bottom w:val="single" w:sz="4" w:space="0" w:color="auto"/>
              <w:right w:val="single" w:sz="4" w:space="0" w:color="auto"/>
            </w:tcBorders>
            <w:shd w:val="clear" w:color="auto" w:fill="auto"/>
            <w:noWrap/>
            <w:vAlign w:val="center"/>
            <w:hideMark/>
          </w:tcPr>
          <w:p w14:paraId="325A6067"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0,492</w:t>
            </w:r>
          </w:p>
        </w:tc>
        <w:tc>
          <w:tcPr>
            <w:tcW w:w="921" w:type="pct"/>
            <w:tcBorders>
              <w:top w:val="nil"/>
              <w:left w:val="nil"/>
              <w:bottom w:val="single" w:sz="4" w:space="0" w:color="auto"/>
              <w:right w:val="nil"/>
            </w:tcBorders>
            <w:shd w:val="clear" w:color="auto" w:fill="auto"/>
            <w:noWrap/>
            <w:vAlign w:val="center"/>
            <w:hideMark/>
          </w:tcPr>
          <w:p w14:paraId="503119F9"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0,783</w:t>
            </w:r>
          </w:p>
        </w:tc>
      </w:tr>
      <w:tr w:rsidR="00EE2858" w:rsidRPr="00EE2858" w14:paraId="13AC2D10" w14:textId="77777777" w:rsidTr="00F078D5">
        <w:trPr>
          <w:trHeight w:val="20"/>
        </w:trPr>
        <w:tc>
          <w:tcPr>
            <w:tcW w:w="356" w:type="pct"/>
            <w:tcBorders>
              <w:top w:val="nil"/>
              <w:left w:val="nil"/>
              <w:bottom w:val="single" w:sz="4" w:space="0" w:color="auto"/>
              <w:right w:val="single" w:sz="4" w:space="0" w:color="auto"/>
            </w:tcBorders>
            <w:shd w:val="clear" w:color="auto" w:fill="auto"/>
            <w:noWrap/>
            <w:vAlign w:val="center"/>
            <w:hideMark/>
          </w:tcPr>
          <w:p w14:paraId="4A054A00"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X25</w:t>
            </w:r>
          </w:p>
        </w:tc>
        <w:tc>
          <w:tcPr>
            <w:tcW w:w="532" w:type="pct"/>
            <w:tcBorders>
              <w:top w:val="nil"/>
              <w:left w:val="nil"/>
              <w:bottom w:val="single" w:sz="4" w:space="0" w:color="auto"/>
              <w:right w:val="single" w:sz="4" w:space="0" w:color="auto"/>
            </w:tcBorders>
            <w:shd w:val="clear" w:color="auto" w:fill="auto"/>
            <w:noWrap/>
            <w:vAlign w:val="center"/>
            <w:hideMark/>
          </w:tcPr>
          <w:p w14:paraId="47F4B086"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0,015</w:t>
            </w:r>
          </w:p>
        </w:tc>
        <w:tc>
          <w:tcPr>
            <w:tcW w:w="532" w:type="pct"/>
            <w:tcBorders>
              <w:top w:val="nil"/>
              <w:left w:val="nil"/>
              <w:bottom w:val="single" w:sz="4" w:space="0" w:color="auto"/>
              <w:right w:val="single" w:sz="4" w:space="0" w:color="auto"/>
            </w:tcBorders>
            <w:shd w:val="clear" w:color="auto" w:fill="auto"/>
            <w:noWrap/>
            <w:vAlign w:val="center"/>
            <w:hideMark/>
          </w:tcPr>
          <w:p w14:paraId="1124EC4F"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0,010</w:t>
            </w:r>
          </w:p>
        </w:tc>
        <w:tc>
          <w:tcPr>
            <w:tcW w:w="532" w:type="pct"/>
            <w:tcBorders>
              <w:top w:val="nil"/>
              <w:left w:val="nil"/>
              <w:bottom w:val="single" w:sz="4" w:space="0" w:color="auto"/>
              <w:right w:val="single" w:sz="4" w:space="0" w:color="auto"/>
            </w:tcBorders>
            <w:shd w:val="clear" w:color="auto" w:fill="auto"/>
            <w:noWrap/>
            <w:vAlign w:val="center"/>
            <w:hideMark/>
          </w:tcPr>
          <w:p w14:paraId="508A4E31"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-0,112</w:t>
            </w:r>
          </w:p>
        </w:tc>
        <w:tc>
          <w:tcPr>
            <w:tcW w:w="532" w:type="pct"/>
            <w:tcBorders>
              <w:top w:val="nil"/>
              <w:left w:val="nil"/>
              <w:bottom w:val="single" w:sz="4" w:space="0" w:color="auto"/>
              <w:right w:val="single" w:sz="4" w:space="0" w:color="auto"/>
            </w:tcBorders>
            <w:shd w:val="clear" w:color="auto" w:fill="auto"/>
            <w:noWrap/>
            <w:vAlign w:val="center"/>
            <w:hideMark/>
          </w:tcPr>
          <w:p w14:paraId="64E6902E"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0,033</w:t>
            </w:r>
          </w:p>
        </w:tc>
        <w:tc>
          <w:tcPr>
            <w:tcW w:w="532" w:type="pct"/>
            <w:tcBorders>
              <w:top w:val="nil"/>
              <w:left w:val="nil"/>
              <w:bottom w:val="single" w:sz="4" w:space="0" w:color="auto"/>
              <w:right w:val="single" w:sz="4" w:space="0" w:color="auto"/>
            </w:tcBorders>
            <w:shd w:val="clear" w:color="auto" w:fill="auto"/>
            <w:noWrap/>
            <w:vAlign w:val="center"/>
            <w:hideMark/>
          </w:tcPr>
          <w:p w14:paraId="7C362181"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0,091</w:t>
            </w:r>
          </w:p>
        </w:tc>
        <w:tc>
          <w:tcPr>
            <w:tcW w:w="532" w:type="pct"/>
            <w:tcBorders>
              <w:top w:val="nil"/>
              <w:left w:val="nil"/>
              <w:bottom w:val="single" w:sz="4" w:space="0" w:color="auto"/>
              <w:right w:val="single" w:sz="4" w:space="0" w:color="auto"/>
            </w:tcBorders>
            <w:shd w:val="clear" w:color="auto" w:fill="auto"/>
            <w:noWrap/>
            <w:vAlign w:val="center"/>
            <w:hideMark/>
          </w:tcPr>
          <w:p w14:paraId="43B0482D"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0,933</w:t>
            </w:r>
          </w:p>
        </w:tc>
        <w:tc>
          <w:tcPr>
            <w:tcW w:w="532" w:type="pct"/>
            <w:tcBorders>
              <w:top w:val="nil"/>
              <w:left w:val="nil"/>
              <w:bottom w:val="single" w:sz="4" w:space="0" w:color="auto"/>
              <w:right w:val="single" w:sz="4" w:space="0" w:color="auto"/>
            </w:tcBorders>
            <w:shd w:val="clear" w:color="auto" w:fill="auto"/>
            <w:noWrap/>
            <w:vAlign w:val="center"/>
            <w:hideMark/>
          </w:tcPr>
          <w:p w14:paraId="5CCDB8FE"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-0,021</w:t>
            </w:r>
          </w:p>
        </w:tc>
        <w:tc>
          <w:tcPr>
            <w:tcW w:w="921" w:type="pct"/>
            <w:tcBorders>
              <w:top w:val="nil"/>
              <w:left w:val="nil"/>
              <w:bottom w:val="single" w:sz="4" w:space="0" w:color="auto"/>
              <w:right w:val="nil"/>
            </w:tcBorders>
            <w:shd w:val="clear" w:color="auto" w:fill="auto"/>
            <w:noWrap/>
            <w:vAlign w:val="center"/>
            <w:hideMark/>
          </w:tcPr>
          <w:p w14:paraId="5B3ECF86"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0,894</w:t>
            </w:r>
          </w:p>
        </w:tc>
      </w:tr>
      <w:tr w:rsidR="00EE2858" w:rsidRPr="00EE2858" w14:paraId="60E9D455" w14:textId="77777777" w:rsidTr="00F078D5">
        <w:trPr>
          <w:trHeight w:val="20"/>
        </w:trPr>
        <w:tc>
          <w:tcPr>
            <w:tcW w:w="356" w:type="pct"/>
            <w:tcBorders>
              <w:top w:val="nil"/>
              <w:left w:val="nil"/>
              <w:bottom w:val="single" w:sz="4" w:space="0" w:color="auto"/>
              <w:right w:val="single" w:sz="4" w:space="0" w:color="auto"/>
            </w:tcBorders>
            <w:shd w:val="clear" w:color="auto" w:fill="auto"/>
            <w:noWrap/>
            <w:vAlign w:val="center"/>
            <w:hideMark/>
          </w:tcPr>
          <w:p w14:paraId="4F496912"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X26</w:t>
            </w:r>
          </w:p>
        </w:tc>
        <w:tc>
          <w:tcPr>
            <w:tcW w:w="532" w:type="pct"/>
            <w:tcBorders>
              <w:top w:val="nil"/>
              <w:left w:val="nil"/>
              <w:bottom w:val="single" w:sz="4" w:space="0" w:color="auto"/>
              <w:right w:val="single" w:sz="4" w:space="0" w:color="auto"/>
            </w:tcBorders>
            <w:shd w:val="clear" w:color="auto" w:fill="auto"/>
            <w:noWrap/>
            <w:vAlign w:val="center"/>
            <w:hideMark/>
          </w:tcPr>
          <w:p w14:paraId="4E50C276"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0,495</w:t>
            </w:r>
          </w:p>
        </w:tc>
        <w:tc>
          <w:tcPr>
            <w:tcW w:w="532" w:type="pct"/>
            <w:tcBorders>
              <w:top w:val="nil"/>
              <w:left w:val="nil"/>
              <w:bottom w:val="single" w:sz="4" w:space="0" w:color="auto"/>
              <w:right w:val="single" w:sz="4" w:space="0" w:color="auto"/>
            </w:tcBorders>
            <w:shd w:val="clear" w:color="auto" w:fill="auto"/>
            <w:noWrap/>
            <w:vAlign w:val="center"/>
            <w:hideMark/>
          </w:tcPr>
          <w:p w14:paraId="0B410A6D"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-0,105</w:t>
            </w:r>
          </w:p>
        </w:tc>
        <w:tc>
          <w:tcPr>
            <w:tcW w:w="532" w:type="pct"/>
            <w:tcBorders>
              <w:top w:val="nil"/>
              <w:left w:val="nil"/>
              <w:bottom w:val="single" w:sz="4" w:space="0" w:color="auto"/>
              <w:right w:val="single" w:sz="4" w:space="0" w:color="auto"/>
            </w:tcBorders>
            <w:shd w:val="clear" w:color="auto" w:fill="auto"/>
            <w:noWrap/>
            <w:vAlign w:val="center"/>
            <w:hideMark/>
          </w:tcPr>
          <w:p w14:paraId="5939BE1B"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0,269</w:t>
            </w:r>
          </w:p>
        </w:tc>
        <w:tc>
          <w:tcPr>
            <w:tcW w:w="532" w:type="pct"/>
            <w:tcBorders>
              <w:top w:val="nil"/>
              <w:left w:val="nil"/>
              <w:bottom w:val="single" w:sz="4" w:space="0" w:color="auto"/>
              <w:right w:val="single" w:sz="4" w:space="0" w:color="auto"/>
            </w:tcBorders>
            <w:shd w:val="clear" w:color="auto" w:fill="auto"/>
            <w:noWrap/>
            <w:vAlign w:val="center"/>
            <w:hideMark/>
          </w:tcPr>
          <w:p w14:paraId="173EE8BA"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0,608</w:t>
            </w:r>
          </w:p>
        </w:tc>
        <w:tc>
          <w:tcPr>
            <w:tcW w:w="532" w:type="pct"/>
            <w:tcBorders>
              <w:top w:val="nil"/>
              <w:left w:val="nil"/>
              <w:bottom w:val="single" w:sz="4" w:space="0" w:color="auto"/>
              <w:right w:val="single" w:sz="4" w:space="0" w:color="auto"/>
            </w:tcBorders>
            <w:shd w:val="clear" w:color="auto" w:fill="auto"/>
            <w:noWrap/>
            <w:vAlign w:val="center"/>
            <w:hideMark/>
          </w:tcPr>
          <w:p w14:paraId="6372F605"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0,163</w:t>
            </w:r>
          </w:p>
        </w:tc>
        <w:tc>
          <w:tcPr>
            <w:tcW w:w="532" w:type="pct"/>
            <w:tcBorders>
              <w:top w:val="nil"/>
              <w:left w:val="nil"/>
              <w:bottom w:val="single" w:sz="4" w:space="0" w:color="auto"/>
              <w:right w:val="single" w:sz="4" w:space="0" w:color="auto"/>
            </w:tcBorders>
            <w:shd w:val="clear" w:color="auto" w:fill="auto"/>
            <w:noWrap/>
            <w:vAlign w:val="center"/>
            <w:hideMark/>
          </w:tcPr>
          <w:p w14:paraId="4C54FE79"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0,346</w:t>
            </w:r>
          </w:p>
        </w:tc>
        <w:tc>
          <w:tcPr>
            <w:tcW w:w="532" w:type="pct"/>
            <w:tcBorders>
              <w:top w:val="nil"/>
              <w:left w:val="nil"/>
              <w:bottom w:val="single" w:sz="4" w:space="0" w:color="auto"/>
              <w:right w:val="single" w:sz="4" w:space="0" w:color="auto"/>
            </w:tcBorders>
            <w:shd w:val="clear" w:color="auto" w:fill="auto"/>
            <w:noWrap/>
            <w:vAlign w:val="center"/>
            <w:hideMark/>
          </w:tcPr>
          <w:p w14:paraId="73B34DEE"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0,058</w:t>
            </w:r>
          </w:p>
        </w:tc>
        <w:tc>
          <w:tcPr>
            <w:tcW w:w="921" w:type="pct"/>
            <w:tcBorders>
              <w:top w:val="nil"/>
              <w:left w:val="nil"/>
              <w:bottom w:val="single" w:sz="4" w:space="0" w:color="auto"/>
              <w:right w:val="nil"/>
            </w:tcBorders>
            <w:shd w:val="clear" w:color="auto" w:fill="auto"/>
            <w:noWrap/>
            <w:vAlign w:val="center"/>
            <w:hideMark/>
          </w:tcPr>
          <w:p w14:paraId="40C1ABD5"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0,848</w:t>
            </w:r>
          </w:p>
        </w:tc>
      </w:tr>
      <w:tr w:rsidR="00EE2858" w:rsidRPr="00EE2858" w14:paraId="699A054C" w14:textId="77777777" w:rsidTr="00F078D5">
        <w:trPr>
          <w:trHeight w:val="20"/>
        </w:trPr>
        <w:tc>
          <w:tcPr>
            <w:tcW w:w="356" w:type="pct"/>
            <w:tcBorders>
              <w:top w:val="nil"/>
              <w:left w:val="nil"/>
              <w:bottom w:val="single" w:sz="8" w:space="0" w:color="auto"/>
              <w:right w:val="single" w:sz="4" w:space="0" w:color="auto"/>
            </w:tcBorders>
            <w:shd w:val="clear" w:color="auto" w:fill="auto"/>
            <w:noWrap/>
            <w:vAlign w:val="center"/>
            <w:hideMark/>
          </w:tcPr>
          <w:p w14:paraId="0583A570"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X27</w:t>
            </w:r>
          </w:p>
        </w:tc>
        <w:tc>
          <w:tcPr>
            <w:tcW w:w="532" w:type="pct"/>
            <w:tcBorders>
              <w:top w:val="nil"/>
              <w:left w:val="nil"/>
              <w:bottom w:val="single" w:sz="8" w:space="0" w:color="auto"/>
              <w:right w:val="single" w:sz="4" w:space="0" w:color="auto"/>
            </w:tcBorders>
            <w:shd w:val="clear" w:color="auto" w:fill="auto"/>
            <w:noWrap/>
            <w:vAlign w:val="center"/>
            <w:hideMark/>
          </w:tcPr>
          <w:p w14:paraId="266E6406"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-0,131</w:t>
            </w:r>
          </w:p>
        </w:tc>
        <w:tc>
          <w:tcPr>
            <w:tcW w:w="532" w:type="pct"/>
            <w:tcBorders>
              <w:top w:val="nil"/>
              <w:left w:val="nil"/>
              <w:bottom w:val="single" w:sz="8" w:space="0" w:color="auto"/>
              <w:right w:val="single" w:sz="4" w:space="0" w:color="auto"/>
            </w:tcBorders>
            <w:shd w:val="clear" w:color="auto" w:fill="auto"/>
            <w:noWrap/>
            <w:vAlign w:val="center"/>
            <w:hideMark/>
          </w:tcPr>
          <w:p w14:paraId="740005B4"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0,145</w:t>
            </w:r>
          </w:p>
        </w:tc>
        <w:tc>
          <w:tcPr>
            <w:tcW w:w="532" w:type="pct"/>
            <w:tcBorders>
              <w:top w:val="nil"/>
              <w:left w:val="nil"/>
              <w:bottom w:val="single" w:sz="8" w:space="0" w:color="auto"/>
              <w:right w:val="single" w:sz="4" w:space="0" w:color="auto"/>
            </w:tcBorders>
            <w:shd w:val="clear" w:color="auto" w:fill="auto"/>
            <w:noWrap/>
            <w:vAlign w:val="center"/>
            <w:hideMark/>
          </w:tcPr>
          <w:p w14:paraId="3FE7CE31"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-0,025</w:t>
            </w:r>
          </w:p>
        </w:tc>
        <w:tc>
          <w:tcPr>
            <w:tcW w:w="532" w:type="pct"/>
            <w:tcBorders>
              <w:top w:val="nil"/>
              <w:left w:val="nil"/>
              <w:bottom w:val="single" w:sz="8" w:space="0" w:color="auto"/>
              <w:right w:val="single" w:sz="4" w:space="0" w:color="auto"/>
            </w:tcBorders>
            <w:shd w:val="clear" w:color="auto" w:fill="auto"/>
            <w:noWrap/>
            <w:vAlign w:val="center"/>
            <w:hideMark/>
          </w:tcPr>
          <w:p w14:paraId="3ADDF4C2"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-0,029</w:t>
            </w:r>
          </w:p>
        </w:tc>
        <w:tc>
          <w:tcPr>
            <w:tcW w:w="532" w:type="pct"/>
            <w:tcBorders>
              <w:top w:val="nil"/>
              <w:left w:val="nil"/>
              <w:bottom w:val="single" w:sz="8" w:space="0" w:color="auto"/>
              <w:right w:val="single" w:sz="4" w:space="0" w:color="auto"/>
            </w:tcBorders>
            <w:shd w:val="clear" w:color="auto" w:fill="auto"/>
            <w:noWrap/>
            <w:vAlign w:val="center"/>
            <w:hideMark/>
          </w:tcPr>
          <w:p w14:paraId="700390D6"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-0,005</w:t>
            </w:r>
          </w:p>
        </w:tc>
        <w:tc>
          <w:tcPr>
            <w:tcW w:w="532" w:type="pct"/>
            <w:tcBorders>
              <w:top w:val="nil"/>
              <w:left w:val="nil"/>
              <w:bottom w:val="single" w:sz="8" w:space="0" w:color="auto"/>
              <w:right w:val="single" w:sz="4" w:space="0" w:color="auto"/>
            </w:tcBorders>
            <w:shd w:val="clear" w:color="auto" w:fill="auto"/>
            <w:noWrap/>
            <w:vAlign w:val="center"/>
            <w:hideMark/>
          </w:tcPr>
          <w:p w14:paraId="53D86431"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0,011</w:t>
            </w:r>
          </w:p>
        </w:tc>
        <w:tc>
          <w:tcPr>
            <w:tcW w:w="532" w:type="pct"/>
            <w:tcBorders>
              <w:top w:val="nil"/>
              <w:left w:val="nil"/>
              <w:bottom w:val="single" w:sz="8" w:space="0" w:color="auto"/>
              <w:right w:val="single" w:sz="4" w:space="0" w:color="auto"/>
            </w:tcBorders>
            <w:shd w:val="clear" w:color="auto" w:fill="auto"/>
            <w:noWrap/>
            <w:vAlign w:val="center"/>
            <w:hideMark/>
          </w:tcPr>
          <w:p w14:paraId="2F888EC8" w14:textId="77777777" w:rsidR="00EE2858" w:rsidRPr="00EE2858" w:rsidRDefault="00EE2858" w:rsidP="00F078D5">
            <w:pPr>
              <w:spacing w:after="0" w:line="240" w:lineRule="auto"/>
              <w:jc w:val="center"/>
              <w:rPr>
                <w:rFonts w:ascii="Candara" w:eastAsia="Times New Roman" w:hAnsi="Candara" w:cs="Times New Roman"/>
                <w:b/>
                <w:bCs/>
              </w:rPr>
            </w:pPr>
            <w:r w:rsidRPr="00EE2858">
              <w:rPr>
                <w:rFonts w:ascii="Candara" w:eastAsia="Times New Roman" w:hAnsi="Candara" w:cs="Times New Roman"/>
                <w:b/>
                <w:bCs/>
              </w:rPr>
              <w:t>0,823</w:t>
            </w:r>
          </w:p>
        </w:tc>
        <w:tc>
          <w:tcPr>
            <w:tcW w:w="921" w:type="pct"/>
            <w:tcBorders>
              <w:top w:val="nil"/>
              <w:left w:val="nil"/>
              <w:bottom w:val="single" w:sz="8" w:space="0" w:color="auto"/>
              <w:right w:val="nil"/>
            </w:tcBorders>
            <w:shd w:val="clear" w:color="auto" w:fill="auto"/>
            <w:noWrap/>
            <w:vAlign w:val="center"/>
            <w:hideMark/>
          </w:tcPr>
          <w:p w14:paraId="24DA6679" w14:textId="77777777" w:rsidR="00EE2858" w:rsidRPr="00EE2858" w:rsidRDefault="00EE2858" w:rsidP="00F078D5">
            <w:pPr>
              <w:spacing w:after="0" w:line="240" w:lineRule="auto"/>
              <w:jc w:val="center"/>
              <w:rPr>
                <w:rFonts w:ascii="Candara" w:eastAsia="Times New Roman" w:hAnsi="Candara" w:cs="Times New Roman"/>
              </w:rPr>
            </w:pPr>
            <w:r w:rsidRPr="00EE2858">
              <w:rPr>
                <w:rFonts w:ascii="Candara" w:eastAsia="Times New Roman" w:hAnsi="Candara" w:cs="Times New Roman"/>
              </w:rPr>
              <w:t>0,717</w:t>
            </w:r>
          </w:p>
        </w:tc>
      </w:tr>
    </w:tbl>
    <w:p w14:paraId="74CD4B92" w14:textId="1EAF6DDF" w:rsidR="00E87553" w:rsidRDefault="00EE2858" w:rsidP="00E87553">
      <w:pPr>
        <w:pBdr>
          <w:top w:val="nil"/>
          <w:left w:val="nil"/>
          <w:bottom w:val="nil"/>
          <w:right w:val="nil"/>
          <w:between w:val="nil"/>
        </w:pBdr>
        <w:spacing w:after="0" w:line="360" w:lineRule="auto"/>
        <w:jc w:val="both"/>
        <w:rPr>
          <w:rFonts w:ascii="Candara" w:hAnsi="Candara" w:cs="Times New Roman"/>
          <w:sz w:val="20"/>
          <w:szCs w:val="20"/>
        </w:rPr>
      </w:pPr>
      <w:r w:rsidRPr="00EE2858">
        <w:rPr>
          <w:rFonts w:ascii="Candara" w:hAnsi="Candara" w:cs="Times New Roman"/>
          <w:sz w:val="20"/>
          <w:szCs w:val="20"/>
        </w:rPr>
        <w:t>Fonte: Elaborado pelos autores (2023).</w:t>
      </w:r>
    </w:p>
    <w:p w14:paraId="4316B63C" w14:textId="77777777" w:rsidR="00E87553" w:rsidRPr="00E87553" w:rsidRDefault="00E87553" w:rsidP="00E87553">
      <w:pPr>
        <w:pBdr>
          <w:top w:val="nil"/>
          <w:left w:val="nil"/>
          <w:bottom w:val="nil"/>
          <w:right w:val="nil"/>
          <w:between w:val="nil"/>
        </w:pBdr>
        <w:spacing w:after="0" w:line="360" w:lineRule="auto"/>
        <w:jc w:val="both"/>
        <w:rPr>
          <w:rFonts w:ascii="Candara" w:hAnsi="Candara" w:cs="Times New Roman"/>
          <w:sz w:val="20"/>
          <w:szCs w:val="20"/>
        </w:rPr>
      </w:pPr>
    </w:p>
    <w:p w14:paraId="689E195D" w14:textId="3BA276B6" w:rsidR="00EE2858" w:rsidRPr="00EE2858" w:rsidRDefault="00EE2858" w:rsidP="00EE285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EE2858">
        <w:rPr>
          <w:rFonts w:ascii="Candara" w:eastAsia="Candara" w:hAnsi="Candara" w:cs="Candara"/>
          <w:color w:val="000000"/>
          <w:sz w:val="24"/>
          <w:szCs w:val="24"/>
        </w:rPr>
        <w:t xml:space="preserve">Constata-se que o fator F1 explicou 40,94% da variância total, agrupando </w:t>
      </w:r>
      <w:r w:rsidR="00961C5B">
        <w:rPr>
          <w:rFonts w:ascii="Candara" w:eastAsia="Candara" w:hAnsi="Candara" w:cs="Candara"/>
          <w:color w:val="000000"/>
          <w:sz w:val="24"/>
          <w:szCs w:val="24"/>
        </w:rPr>
        <w:t xml:space="preserve">quinze </w:t>
      </w:r>
      <w:r w:rsidRPr="00EE2858">
        <w:rPr>
          <w:rFonts w:ascii="Candara" w:eastAsia="Candara" w:hAnsi="Candara" w:cs="Candara"/>
          <w:color w:val="000000"/>
          <w:sz w:val="24"/>
          <w:szCs w:val="24"/>
        </w:rPr>
        <w:t>variáveis com carga fatorial positiva. Este fator está fortemente relacionado com as variáveis X1, X2, X3</w:t>
      </w:r>
      <w:r w:rsidR="00F057B3">
        <w:rPr>
          <w:rFonts w:ascii="Candara" w:eastAsia="Candara" w:hAnsi="Candara" w:cs="Candara"/>
          <w:color w:val="000000"/>
          <w:sz w:val="24"/>
          <w:szCs w:val="24"/>
        </w:rPr>
        <w:t xml:space="preserve">, </w:t>
      </w:r>
      <w:r w:rsidRPr="00EE2858">
        <w:rPr>
          <w:rFonts w:ascii="Candara" w:eastAsia="Candara" w:hAnsi="Candara" w:cs="Candara"/>
          <w:color w:val="000000"/>
          <w:sz w:val="24"/>
          <w:szCs w:val="24"/>
        </w:rPr>
        <w:t>X4</w:t>
      </w:r>
      <w:r w:rsidR="00F057B3">
        <w:rPr>
          <w:rFonts w:ascii="Candara" w:eastAsia="Candara" w:hAnsi="Candara" w:cs="Candara"/>
          <w:color w:val="000000"/>
          <w:sz w:val="24"/>
          <w:szCs w:val="24"/>
        </w:rPr>
        <w:t xml:space="preserve"> e X5</w:t>
      </w:r>
      <w:r w:rsidRPr="00EE2858">
        <w:rPr>
          <w:rFonts w:ascii="Candara" w:eastAsia="Candara" w:hAnsi="Candara" w:cs="Candara"/>
          <w:color w:val="000000"/>
          <w:sz w:val="24"/>
          <w:szCs w:val="24"/>
        </w:rPr>
        <w:t xml:space="preserve"> que expressam o número de estabelecimentos agropecuários com produção de lavoura temporária, pecuária e criação de outros animais, que fazem plantio em nível</w:t>
      </w:r>
      <w:r w:rsidR="009D105D">
        <w:rPr>
          <w:rFonts w:ascii="Candara" w:eastAsia="Candara" w:hAnsi="Candara" w:cs="Candara"/>
          <w:color w:val="000000"/>
          <w:sz w:val="24"/>
          <w:szCs w:val="24"/>
        </w:rPr>
        <w:t xml:space="preserve">, </w:t>
      </w:r>
      <w:r w:rsidRPr="00EE2858">
        <w:rPr>
          <w:rFonts w:ascii="Candara" w:eastAsia="Candara" w:hAnsi="Candara" w:cs="Candara"/>
          <w:color w:val="000000"/>
          <w:sz w:val="24"/>
          <w:szCs w:val="24"/>
        </w:rPr>
        <w:t>rotação de culturas</w:t>
      </w:r>
      <w:r w:rsidR="009D105D">
        <w:rPr>
          <w:rFonts w:ascii="Candara" w:eastAsia="Candara" w:hAnsi="Candara" w:cs="Candara"/>
          <w:color w:val="000000"/>
          <w:sz w:val="24"/>
          <w:szCs w:val="24"/>
        </w:rPr>
        <w:t xml:space="preserve"> e </w:t>
      </w:r>
      <w:r w:rsidR="0084753E" w:rsidRPr="00EE2858">
        <w:rPr>
          <w:rFonts w:ascii="Candara" w:eastAsia="Candara" w:hAnsi="Candara" w:cs="Candara"/>
          <w:color w:val="000000"/>
          <w:sz w:val="24"/>
          <w:szCs w:val="24"/>
        </w:rPr>
        <w:t xml:space="preserve">pousio ou descanso de </w:t>
      </w:r>
      <w:r w:rsidR="0084753E" w:rsidRPr="00EE2858">
        <w:rPr>
          <w:rFonts w:ascii="Candara" w:eastAsia="Candara" w:hAnsi="Candara" w:cs="Candara"/>
          <w:color w:val="000000"/>
          <w:sz w:val="24"/>
          <w:szCs w:val="24"/>
        </w:rPr>
        <w:lastRenderedPageBreak/>
        <w:t>solos</w:t>
      </w:r>
      <w:r w:rsidRPr="00EE2858">
        <w:rPr>
          <w:rFonts w:ascii="Candara" w:eastAsia="Candara" w:hAnsi="Candara" w:cs="Candara"/>
          <w:color w:val="000000"/>
          <w:sz w:val="24"/>
          <w:szCs w:val="24"/>
        </w:rPr>
        <w:t xml:space="preserve">; </w:t>
      </w:r>
      <w:r w:rsidRPr="00E4234E">
        <w:rPr>
          <w:rFonts w:ascii="Candara" w:eastAsia="Candara" w:hAnsi="Candara" w:cs="Candara"/>
          <w:color w:val="000000" w:themeColor="text1"/>
          <w:sz w:val="24"/>
          <w:szCs w:val="24"/>
        </w:rPr>
        <w:t xml:space="preserve">com as variáveis X11, X12, X13, X14, X15, X16, X17, X18 e X19, </w:t>
      </w:r>
      <w:r w:rsidRPr="00EE2858">
        <w:rPr>
          <w:rFonts w:ascii="Candara" w:eastAsia="Candara" w:hAnsi="Candara" w:cs="Candara"/>
          <w:color w:val="000000"/>
          <w:sz w:val="24"/>
          <w:szCs w:val="24"/>
        </w:rPr>
        <w:t>que denotam o número de estabelecimentos agropecuários com uso ou não da agricultura familiar, que fazem uso de adubação química ou orgânica e de agrotóxicos, que fazem uso da agricultura ou pecuária orgânica e irrigação, que possui nascentes, rios ou riachos protegidas por mata e X21 que representa o número de estabelecimentos agropecuários com poços tubulares profundos não jorrantes.</w:t>
      </w:r>
    </w:p>
    <w:p w14:paraId="144001FE" w14:textId="3F42E7A3" w:rsidR="00EE2858" w:rsidRPr="00EE2858" w:rsidRDefault="00EE2858" w:rsidP="00EE285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EE2858">
        <w:rPr>
          <w:rFonts w:ascii="Candara" w:eastAsia="Candara" w:hAnsi="Candara" w:cs="Candara"/>
          <w:color w:val="000000"/>
          <w:sz w:val="24"/>
          <w:szCs w:val="24"/>
        </w:rPr>
        <w:t>O conjunto de variáveis des</w:t>
      </w:r>
      <w:r w:rsidR="00393F43">
        <w:rPr>
          <w:rFonts w:ascii="Candara" w:eastAsia="Candara" w:hAnsi="Candara" w:cs="Candara"/>
          <w:color w:val="000000"/>
          <w:sz w:val="24"/>
          <w:szCs w:val="24"/>
        </w:rPr>
        <w:t xml:space="preserve">te </w:t>
      </w:r>
      <w:r w:rsidRPr="00EE2858">
        <w:rPr>
          <w:rFonts w:ascii="Candara" w:eastAsia="Candara" w:hAnsi="Candara" w:cs="Candara"/>
          <w:color w:val="000000"/>
          <w:sz w:val="24"/>
          <w:szCs w:val="24"/>
        </w:rPr>
        <w:t>fator está associado com o perfil dos estabelecimentos agropecuários presentes na MOP. Observa-se elementos que caracterizam o tipo de agricultura praticada, as técnicas de conservação, os insumos utilizados e recursos de proteção natural dos cursos d'água. Contudo, as cargas fatoriais mais significantes desse fator estão atreladas à forte presença da agricultura familiar e o uso de agrotóxicos no processo de produção.</w:t>
      </w:r>
      <w:r w:rsidR="00412D30">
        <w:rPr>
          <w:rFonts w:ascii="Candara" w:eastAsia="Candara" w:hAnsi="Candara" w:cs="Candara"/>
          <w:color w:val="000000"/>
          <w:sz w:val="24"/>
          <w:szCs w:val="24"/>
        </w:rPr>
        <w:t xml:space="preserve"> </w:t>
      </w:r>
    </w:p>
    <w:p w14:paraId="33ED7482" w14:textId="77777777" w:rsidR="00EE2858" w:rsidRPr="00EE2858" w:rsidRDefault="00EE2858" w:rsidP="00EE285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EE2858">
        <w:rPr>
          <w:rFonts w:ascii="Candara" w:eastAsia="Candara" w:hAnsi="Candara" w:cs="Candara"/>
          <w:color w:val="000000"/>
          <w:sz w:val="24"/>
          <w:szCs w:val="24"/>
        </w:rPr>
        <w:t xml:space="preserve">O fator F2 explicou 11,95% da variância total apresentando relação positiva com três variáveis: X6 que representa o número de estabelecimentos agropecuários com proteção e/ou conservação de encostas; X7 que expressa os estabelecimentos com recuperação de mata ciliar e X8 que denota os estabelecimentos agropecuários com reflorestamento para proteção de nascentes. Verifica-se, que o F2 está relacionado com o manejo de conservação do solo, de modo a minimizar os impactos ambientais frente às ações antrópicas resultantes da produção agropecuária. </w:t>
      </w:r>
    </w:p>
    <w:p w14:paraId="13E6C8DF" w14:textId="4A2017F0" w:rsidR="00EE2858" w:rsidRPr="00EE2858" w:rsidRDefault="00EE2858" w:rsidP="00F9596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EE2858">
        <w:rPr>
          <w:rFonts w:ascii="Candara" w:eastAsia="Candara" w:hAnsi="Candara" w:cs="Candara"/>
          <w:color w:val="000000"/>
          <w:sz w:val="24"/>
          <w:szCs w:val="24"/>
        </w:rPr>
        <w:t xml:space="preserve">O fator F3 explicou 8,63% da variância total agrupando três variáveis com cargas significativas. Observa-se que a variável X22, que expressa o número de estabelecimentos agropecuários que obtiveram receitas com recebimento de Pagamento por Serviços Ambientais (PSA) e X23 que representa a variação percentual da área com pastagem no período de 1985 a 2021 estão positivamente </w:t>
      </w:r>
      <w:r w:rsidRPr="00EE2858">
        <w:rPr>
          <w:rFonts w:ascii="Candara" w:eastAsia="Candara" w:hAnsi="Candara" w:cs="Candara"/>
          <w:color w:val="000000"/>
          <w:sz w:val="24"/>
          <w:szCs w:val="24"/>
        </w:rPr>
        <w:lastRenderedPageBreak/>
        <w:t>relacionadas com o F3. Já a variável X24 que demonstra a variação percentual da área com floresta no período de 1985 a 2021 apresentou relação negativa com o F3.</w:t>
      </w:r>
      <w:r w:rsidR="00F95962">
        <w:rPr>
          <w:rFonts w:ascii="Candara" w:eastAsia="Candara" w:hAnsi="Candara" w:cs="Candara"/>
          <w:color w:val="000000"/>
          <w:sz w:val="24"/>
          <w:szCs w:val="24"/>
        </w:rPr>
        <w:t xml:space="preserve"> </w:t>
      </w:r>
      <w:r w:rsidRPr="00EE2858">
        <w:rPr>
          <w:rFonts w:ascii="Candara" w:eastAsia="Candara" w:hAnsi="Candara" w:cs="Candara"/>
          <w:color w:val="000000"/>
          <w:sz w:val="24"/>
          <w:szCs w:val="24"/>
        </w:rPr>
        <w:t>Nota-se que o avanço da área com pastagem está influenciando negativamente em áreas com floresta.</w:t>
      </w:r>
      <w:r w:rsidR="00F95962">
        <w:rPr>
          <w:rFonts w:ascii="Candara" w:eastAsia="Candara" w:hAnsi="Candara" w:cs="Candara"/>
          <w:color w:val="000000"/>
          <w:sz w:val="24"/>
          <w:szCs w:val="24"/>
        </w:rPr>
        <w:t xml:space="preserve"> </w:t>
      </w:r>
      <w:r w:rsidRPr="00EE2858">
        <w:rPr>
          <w:rFonts w:ascii="Candara" w:eastAsia="Candara" w:hAnsi="Candara" w:cs="Candara"/>
          <w:color w:val="000000"/>
          <w:sz w:val="24"/>
          <w:szCs w:val="24"/>
        </w:rPr>
        <w:t>Além disso, verifica-se que o incentivo via política por PSA (Bolsa Verde e Programas Estaduais) apesar de positivo, mostra-se insuficiente para conter a queda no percentual de áreas florestais nos municípios da mesorregião.</w:t>
      </w:r>
    </w:p>
    <w:p w14:paraId="17B4CBCF" w14:textId="32E7898F" w:rsidR="00EE2858" w:rsidRPr="00EE2858" w:rsidRDefault="00EE2858" w:rsidP="00EE285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EE2858">
        <w:rPr>
          <w:rFonts w:ascii="Candara" w:eastAsia="Candara" w:hAnsi="Candara" w:cs="Candara"/>
          <w:color w:val="000000"/>
          <w:sz w:val="24"/>
          <w:szCs w:val="24"/>
        </w:rPr>
        <w:t>O fator F4 explicou 8,50% da variância total agrupando</w:t>
      </w:r>
      <w:r w:rsidR="00961C5B">
        <w:rPr>
          <w:rFonts w:ascii="Candara" w:eastAsia="Candara" w:hAnsi="Candara" w:cs="Candara"/>
          <w:color w:val="000000"/>
          <w:sz w:val="24"/>
          <w:szCs w:val="24"/>
        </w:rPr>
        <w:t xml:space="preserve"> duas</w:t>
      </w:r>
      <w:r w:rsidRPr="00EE2858">
        <w:rPr>
          <w:rFonts w:ascii="Candara" w:eastAsia="Candara" w:hAnsi="Candara" w:cs="Candara"/>
          <w:color w:val="000000"/>
          <w:sz w:val="24"/>
          <w:szCs w:val="24"/>
        </w:rPr>
        <w:t xml:space="preserve"> variáveis com cargas positivas. Este fator está relacionado com as </w:t>
      </w:r>
      <w:r w:rsidR="004E2163">
        <w:rPr>
          <w:rFonts w:ascii="Candara" w:eastAsia="Candara" w:hAnsi="Candara" w:cs="Candara"/>
          <w:color w:val="000000"/>
          <w:sz w:val="24"/>
          <w:szCs w:val="24"/>
        </w:rPr>
        <w:t xml:space="preserve">variáveis </w:t>
      </w:r>
      <w:r w:rsidRPr="00EE2858">
        <w:rPr>
          <w:rFonts w:ascii="Candara" w:eastAsia="Candara" w:hAnsi="Candara" w:cs="Candara"/>
          <w:color w:val="000000"/>
          <w:sz w:val="24"/>
          <w:szCs w:val="24"/>
        </w:rPr>
        <w:t xml:space="preserve">X9 que expressa o número de estabelecimentos agropecuários que faz estabilização de voçorocas e X26 que representa a área cultivada com lavoura perene no ano de 2021. Observa-se que este fator </w:t>
      </w:r>
      <w:proofErr w:type="gramStart"/>
      <w:r w:rsidRPr="00EE2858">
        <w:rPr>
          <w:rFonts w:ascii="Candara" w:eastAsia="Candara" w:hAnsi="Candara" w:cs="Candara"/>
          <w:color w:val="000000"/>
          <w:sz w:val="24"/>
          <w:szCs w:val="24"/>
        </w:rPr>
        <w:t>associa-se</w:t>
      </w:r>
      <w:proofErr w:type="gramEnd"/>
      <w:r w:rsidRPr="00EE2858">
        <w:rPr>
          <w:rFonts w:ascii="Candara" w:eastAsia="Candara" w:hAnsi="Candara" w:cs="Candara"/>
          <w:color w:val="000000"/>
          <w:sz w:val="24"/>
          <w:szCs w:val="24"/>
        </w:rPr>
        <w:t xml:space="preserve"> ao desenvolvimento da agropecuária e a preservação do solo, percebendo-se uma relação positiva do uso de técnicas agrícolas conservacionistas em áreas cultivadas com culturas perenes</w:t>
      </w:r>
      <w:r w:rsidR="006163DA">
        <w:rPr>
          <w:rFonts w:ascii="Candara" w:eastAsia="Candara" w:hAnsi="Candara" w:cs="Candara"/>
          <w:color w:val="000000"/>
          <w:sz w:val="24"/>
          <w:szCs w:val="24"/>
        </w:rPr>
        <w:t xml:space="preserve">. </w:t>
      </w:r>
    </w:p>
    <w:p w14:paraId="45DE8DBD" w14:textId="2F52411E" w:rsidR="00826896" w:rsidRDefault="00EE2858" w:rsidP="00C11EF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EE2858">
        <w:rPr>
          <w:rFonts w:ascii="Candara" w:eastAsia="Candara" w:hAnsi="Candara" w:cs="Candara"/>
          <w:color w:val="000000"/>
          <w:sz w:val="24"/>
          <w:szCs w:val="24"/>
        </w:rPr>
        <w:t xml:space="preserve">Os fatores F5, F6 e F7 em conjunto representam 16,78% da variância total explicada. Cada um agrupou somente uma variável, todas com cargas significativas. O F5 agrupou a variável X20, que representa o número de estabelecimentos agropecuários com poços tubulares profundos jorrantes. O F6 agrupou a variável X25, que expressa a variação percentual da área cultivada com lavoura temporária de 1985 a 2021. Por fim, o F7 agrupou a variável X27, que denota a variação percentual da área de corpos d’água de 1985 a 2021 (rios, lagos, represas, reservatórios e outros corpos d'água). Esse conjunto de elementos estão relacionados com a área de reservatórios naturais e as áreas ocupadas com a produção de lavoura temporária. </w:t>
      </w:r>
    </w:p>
    <w:p w14:paraId="50622C16" w14:textId="3A27FC91" w:rsidR="00EE2858" w:rsidRDefault="00EE2858" w:rsidP="00E010E1">
      <w:pPr>
        <w:pBdr>
          <w:top w:val="nil"/>
          <w:left w:val="nil"/>
          <w:bottom w:val="nil"/>
          <w:right w:val="nil"/>
          <w:between w:val="nil"/>
        </w:pBdr>
        <w:tabs>
          <w:tab w:val="left" w:pos="1134"/>
        </w:tabs>
        <w:spacing w:after="120" w:line="360" w:lineRule="auto"/>
        <w:ind w:firstLine="851"/>
        <w:jc w:val="both"/>
        <w:rPr>
          <w:rFonts w:ascii="Candara" w:eastAsia="Candara" w:hAnsi="Candara" w:cs="Candara"/>
          <w:color w:val="000000"/>
          <w:sz w:val="24"/>
          <w:szCs w:val="24"/>
        </w:rPr>
      </w:pPr>
      <w:r w:rsidRPr="00826896">
        <w:rPr>
          <w:rFonts w:ascii="Candara" w:eastAsia="Candara" w:hAnsi="Candara" w:cs="Candara"/>
          <w:color w:val="000000"/>
          <w:sz w:val="24"/>
          <w:szCs w:val="24"/>
        </w:rPr>
        <w:t>4.</w:t>
      </w:r>
      <w:r w:rsidR="004B220B" w:rsidRPr="00826896">
        <w:rPr>
          <w:rFonts w:ascii="Candara" w:eastAsia="Candara" w:hAnsi="Candara" w:cs="Candara"/>
          <w:color w:val="000000"/>
          <w:sz w:val="24"/>
          <w:szCs w:val="24"/>
        </w:rPr>
        <w:t>2</w:t>
      </w:r>
      <w:r w:rsidR="009C2B1F">
        <w:rPr>
          <w:rFonts w:ascii="Candara" w:eastAsia="Candara" w:hAnsi="Candara" w:cs="Candara"/>
          <w:color w:val="000000"/>
          <w:sz w:val="24"/>
          <w:szCs w:val="24"/>
        </w:rPr>
        <w:t xml:space="preserve"> </w:t>
      </w:r>
      <w:r w:rsidRPr="00826896">
        <w:rPr>
          <w:rFonts w:ascii="Candara" w:eastAsia="Candara" w:hAnsi="Candara" w:cs="Candara"/>
          <w:color w:val="000000"/>
          <w:sz w:val="24"/>
          <w:szCs w:val="24"/>
        </w:rPr>
        <w:t xml:space="preserve">Índice de Pressão Ambiental dos Municípios do Oeste Paranaense  </w:t>
      </w:r>
    </w:p>
    <w:p w14:paraId="261B5508" w14:textId="77777777" w:rsidR="00F90AB4" w:rsidRDefault="00EE2858" w:rsidP="000C35AA">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EE2858">
        <w:rPr>
          <w:rFonts w:ascii="Candara" w:eastAsia="Candara" w:hAnsi="Candara" w:cs="Candara"/>
          <w:color w:val="000000"/>
          <w:sz w:val="24"/>
          <w:szCs w:val="24"/>
        </w:rPr>
        <w:lastRenderedPageBreak/>
        <w:t>Com os escores fatoriais apurados por meio da análise fatorial calculou-se o Índice de Pressão Ambiental (IPA).</w:t>
      </w:r>
      <w:r w:rsidR="00600CF7">
        <w:rPr>
          <w:rFonts w:ascii="Candara" w:eastAsia="Candara" w:hAnsi="Candara" w:cs="Candara"/>
          <w:color w:val="000000"/>
          <w:sz w:val="24"/>
          <w:szCs w:val="24"/>
        </w:rPr>
        <w:t xml:space="preserve"> </w:t>
      </w:r>
      <w:r w:rsidRPr="00EE2858">
        <w:rPr>
          <w:rFonts w:ascii="Candara" w:eastAsia="Candara" w:hAnsi="Candara" w:cs="Candara"/>
          <w:color w:val="000000"/>
          <w:sz w:val="24"/>
          <w:szCs w:val="24"/>
        </w:rPr>
        <w:t>A Figura 1 apresenta o IPA para os 50 municípios que fazem parte da mesorregião Oeste do Paraná.</w:t>
      </w:r>
    </w:p>
    <w:p w14:paraId="06098F2E" w14:textId="77777777" w:rsidR="00F90AB4" w:rsidRDefault="00F90AB4" w:rsidP="00F90AB4">
      <w:pPr>
        <w:pBdr>
          <w:top w:val="nil"/>
          <w:left w:val="nil"/>
          <w:bottom w:val="nil"/>
          <w:right w:val="nil"/>
          <w:between w:val="nil"/>
        </w:pBdr>
        <w:spacing w:after="0" w:line="360" w:lineRule="auto"/>
        <w:jc w:val="both"/>
        <w:rPr>
          <w:rFonts w:ascii="Candara" w:eastAsia="Candara" w:hAnsi="Candara" w:cs="Candara"/>
          <w:color w:val="000000"/>
          <w:sz w:val="24"/>
          <w:szCs w:val="24"/>
        </w:rPr>
      </w:pPr>
    </w:p>
    <w:p w14:paraId="4442787D" w14:textId="1599DB62" w:rsidR="00087CE1" w:rsidRDefault="00087CE1" w:rsidP="00F90AB4">
      <w:pPr>
        <w:pBdr>
          <w:top w:val="nil"/>
          <w:left w:val="nil"/>
          <w:bottom w:val="nil"/>
          <w:right w:val="nil"/>
          <w:between w:val="nil"/>
        </w:pBdr>
        <w:spacing w:after="0" w:line="240" w:lineRule="auto"/>
        <w:jc w:val="both"/>
        <w:rPr>
          <w:rFonts w:ascii="Candara" w:eastAsia="Candara" w:hAnsi="Candara" w:cs="Candara"/>
          <w:color w:val="000000"/>
          <w:sz w:val="24"/>
          <w:szCs w:val="24"/>
        </w:rPr>
      </w:pPr>
      <w:r w:rsidRPr="00EE2858">
        <w:rPr>
          <w:rFonts w:ascii="Candara" w:eastAsia="Candara" w:hAnsi="Candara" w:cs="Candara"/>
          <w:color w:val="000000"/>
          <w:sz w:val="24"/>
          <w:szCs w:val="24"/>
        </w:rPr>
        <w:t xml:space="preserve">Figura 1 – </w:t>
      </w:r>
      <w:r w:rsidR="00F90AB4">
        <w:rPr>
          <w:rFonts w:ascii="Candara" w:eastAsia="Candara" w:hAnsi="Candara" w:cs="Candara"/>
          <w:color w:val="000000"/>
          <w:sz w:val="24"/>
          <w:szCs w:val="24"/>
        </w:rPr>
        <w:t xml:space="preserve">IPA </w:t>
      </w:r>
      <w:r w:rsidRPr="00EE2858">
        <w:rPr>
          <w:rFonts w:ascii="Candara" w:eastAsia="Candara" w:hAnsi="Candara" w:cs="Candara"/>
          <w:color w:val="000000"/>
          <w:sz w:val="24"/>
          <w:szCs w:val="24"/>
        </w:rPr>
        <w:t>dos municípios da mesorregião Oeste do Paraná</w:t>
      </w:r>
    </w:p>
    <w:p w14:paraId="1A946005" w14:textId="07C892D6" w:rsidR="00EE2858" w:rsidRDefault="00087CE1" w:rsidP="00087CE1">
      <w:pPr>
        <w:pBdr>
          <w:top w:val="nil"/>
          <w:left w:val="nil"/>
          <w:bottom w:val="nil"/>
          <w:right w:val="nil"/>
          <w:between w:val="nil"/>
        </w:pBdr>
        <w:spacing w:after="0" w:line="240" w:lineRule="auto"/>
        <w:ind w:right="140"/>
        <w:jc w:val="both"/>
        <w:rPr>
          <w:rFonts w:ascii="Candara" w:eastAsia="Candara" w:hAnsi="Candara" w:cs="Candara"/>
          <w:color w:val="000000"/>
          <w:sz w:val="24"/>
          <w:szCs w:val="24"/>
        </w:rPr>
      </w:pPr>
      <w:r>
        <w:rPr>
          <w:noProof/>
        </w:rPr>
        <w:drawing>
          <wp:inline distT="0" distB="0" distL="0" distR="0" wp14:anchorId="5DF4A61D" wp14:editId="5C1BDB4B">
            <wp:extent cx="5372100" cy="3345180"/>
            <wp:effectExtent l="19050" t="19050" r="19050" b="26670"/>
            <wp:docPr id="1686937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3345180"/>
                    </a:xfrm>
                    <a:prstGeom prst="rect">
                      <a:avLst/>
                    </a:prstGeom>
                    <a:noFill/>
                    <a:ln>
                      <a:solidFill>
                        <a:schemeClr val="tx1"/>
                      </a:solidFill>
                    </a:ln>
                  </pic:spPr>
                </pic:pic>
              </a:graphicData>
            </a:graphic>
          </wp:inline>
        </w:drawing>
      </w:r>
      <w:r w:rsidR="00EE2858" w:rsidRPr="00EE2858">
        <w:rPr>
          <w:rFonts w:ascii="Candara" w:eastAsia="Candara" w:hAnsi="Candara" w:cs="Candara"/>
          <w:color w:val="000000"/>
          <w:sz w:val="24"/>
          <w:szCs w:val="24"/>
        </w:rPr>
        <w:t xml:space="preserve"> </w:t>
      </w:r>
    </w:p>
    <w:p w14:paraId="636B48D3" w14:textId="4EAFE6EE" w:rsidR="00EE2858" w:rsidRDefault="00EE2858" w:rsidP="00087CE1">
      <w:pPr>
        <w:pBdr>
          <w:top w:val="nil"/>
          <w:left w:val="nil"/>
          <w:bottom w:val="nil"/>
          <w:right w:val="nil"/>
          <w:between w:val="nil"/>
        </w:pBdr>
        <w:spacing w:after="0" w:line="240" w:lineRule="auto"/>
        <w:jc w:val="both"/>
        <w:rPr>
          <w:rFonts w:ascii="Candara" w:eastAsia="Candara" w:hAnsi="Candara" w:cs="Candara"/>
          <w:color w:val="000000"/>
          <w:sz w:val="20"/>
          <w:szCs w:val="20"/>
        </w:rPr>
      </w:pPr>
      <w:r w:rsidRPr="00087CE1">
        <w:rPr>
          <w:rFonts w:ascii="Candara" w:eastAsia="Candara" w:hAnsi="Candara" w:cs="Candara"/>
          <w:color w:val="000000"/>
          <w:sz w:val="20"/>
          <w:szCs w:val="20"/>
        </w:rPr>
        <w:t>Fonte: Elaborado pelos autores (2023).</w:t>
      </w:r>
    </w:p>
    <w:p w14:paraId="55CB39A2" w14:textId="706EDBE8" w:rsidR="00F90AB4" w:rsidRPr="00F90AB4" w:rsidRDefault="00F90AB4" w:rsidP="00F90AB4">
      <w:pPr>
        <w:tabs>
          <w:tab w:val="left" w:pos="3210"/>
        </w:tabs>
        <w:spacing w:line="360" w:lineRule="auto"/>
        <w:rPr>
          <w:rFonts w:ascii="Candara" w:eastAsia="Candara" w:hAnsi="Candara" w:cs="Candara"/>
          <w:sz w:val="20"/>
          <w:szCs w:val="20"/>
        </w:rPr>
      </w:pPr>
      <w:r>
        <w:rPr>
          <w:rFonts w:ascii="Candara" w:eastAsia="Candara" w:hAnsi="Candara" w:cs="Candara"/>
          <w:sz w:val="20"/>
          <w:szCs w:val="20"/>
        </w:rPr>
        <w:tab/>
      </w:r>
    </w:p>
    <w:p w14:paraId="2256C4D1" w14:textId="77777777" w:rsidR="00EE2858" w:rsidRPr="00EE2858" w:rsidRDefault="00EE2858" w:rsidP="00EE285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EE2858">
        <w:rPr>
          <w:rFonts w:ascii="Candara" w:eastAsia="Candara" w:hAnsi="Candara" w:cs="Candara"/>
          <w:color w:val="000000"/>
          <w:sz w:val="24"/>
          <w:szCs w:val="24"/>
        </w:rPr>
        <w:t xml:space="preserve">A média do IPA encontra-se em 19,21. De acordo com a classificação, dois municípios (4%) apresentaram nível de pressão ambiental alto. Na segunda categoria, médio, 13 municípios (26%) se destacaram. Por fim, na última categoria, baixo, foram constatados 35 municípios (70%). Observa-se que, em relação à proporção, a MOP apresentou IPA concentrado na categoria baixo. </w:t>
      </w:r>
    </w:p>
    <w:p w14:paraId="46CDF202" w14:textId="268338AA" w:rsidR="00EE2858" w:rsidRPr="00EE2858" w:rsidRDefault="00EE2858" w:rsidP="00624DC3">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EE2858">
        <w:rPr>
          <w:rFonts w:ascii="Candara" w:eastAsia="Candara" w:hAnsi="Candara" w:cs="Candara"/>
          <w:color w:val="000000"/>
          <w:sz w:val="24"/>
          <w:szCs w:val="24"/>
        </w:rPr>
        <w:lastRenderedPageBreak/>
        <w:t>Esse resultado pode ser um indicativo que os municípios da mesorregião estão desenvolvendo formas de produção que conciliem ganhos econômicos em consonância com a preservação ambiental.</w:t>
      </w:r>
      <w:r w:rsidR="00D23DD1">
        <w:rPr>
          <w:rFonts w:ascii="Candara" w:eastAsia="Candara" w:hAnsi="Candara" w:cs="Candara"/>
          <w:color w:val="000000"/>
          <w:sz w:val="24"/>
          <w:szCs w:val="24"/>
        </w:rPr>
        <w:t xml:space="preserve"> </w:t>
      </w:r>
      <w:r w:rsidRPr="00EE2858">
        <w:rPr>
          <w:rFonts w:ascii="Candara" w:eastAsia="Candara" w:hAnsi="Candara" w:cs="Candara"/>
          <w:color w:val="000000"/>
          <w:sz w:val="24"/>
          <w:szCs w:val="24"/>
        </w:rPr>
        <w:t>Contudo, verifica-se que os municípios de Cascavel e Toledo apresentaram alto IPA dentre os municípios da mesorregião. A dinâmica econômica desses municípios pode estar contribuindo para uma maior perturbação nos níveis de estresse ambiental. Pois, a polarização desses municípios se reflete na concentração expressiva do PIB fortemente influenciado pelo agronegócio (D</w:t>
      </w:r>
      <w:r w:rsidR="00E010E1">
        <w:rPr>
          <w:rFonts w:ascii="Candara" w:eastAsia="Candara" w:hAnsi="Candara" w:cs="Candara"/>
          <w:color w:val="000000"/>
          <w:sz w:val="24"/>
          <w:szCs w:val="24"/>
        </w:rPr>
        <w:t>e</w:t>
      </w:r>
      <w:r w:rsidRPr="00EE2858">
        <w:rPr>
          <w:rFonts w:ascii="Candara" w:eastAsia="Candara" w:hAnsi="Candara" w:cs="Candara"/>
          <w:color w:val="000000"/>
          <w:sz w:val="24"/>
          <w:szCs w:val="24"/>
        </w:rPr>
        <w:t xml:space="preserve"> L</w:t>
      </w:r>
      <w:r w:rsidR="00E010E1">
        <w:rPr>
          <w:rFonts w:ascii="Candara" w:eastAsia="Candara" w:hAnsi="Candara" w:cs="Candara"/>
          <w:color w:val="000000"/>
          <w:sz w:val="24"/>
          <w:szCs w:val="24"/>
        </w:rPr>
        <w:t xml:space="preserve">ima; </w:t>
      </w:r>
      <w:proofErr w:type="spellStart"/>
      <w:r w:rsidRPr="00EE2858">
        <w:rPr>
          <w:rFonts w:ascii="Candara" w:eastAsia="Candara" w:hAnsi="Candara" w:cs="Candara"/>
          <w:color w:val="000000"/>
          <w:sz w:val="24"/>
          <w:szCs w:val="24"/>
        </w:rPr>
        <w:t>E</w:t>
      </w:r>
      <w:r w:rsidR="00E010E1">
        <w:rPr>
          <w:rFonts w:ascii="Candara" w:eastAsia="Candara" w:hAnsi="Candara" w:cs="Candara"/>
          <w:color w:val="000000"/>
          <w:sz w:val="24"/>
          <w:szCs w:val="24"/>
        </w:rPr>
        <w:t>berhardt</w:t>
      </w:r>
      <w:proofErr w:type="spellEnd"/>
      <w:r w:rsidRPr="00EE2858">
        <w:rPr>
          <w:rFonts w:ascii="Candara" w:eastAsia="Candara" w:hAnsi="Candara" w:cs="Candara"/>
          <w:color w:val="000000"/>
          <w:sz w:val="24"/>
          <w:szCs w:val="24"/>
        </w:rPr>
        <w:t>; B</w:t>
      </w:r>
      <w:r w:rsidR="00E010E1">
        <w:rPr>
          <w:rFonts w:ascii="Candara" w:eastAsia="Candara" w:hAnsi="Candara" w:cs="Candara"/>
          <w:color w:val="000000"/>
          <w:sz w:val="24"/>
          <w:szCs w:val="24"/>
        </w:rPr>
        <w:t>arros</w:t>
      </w:r>
      <w:r w:rsidRPr="00EE2858">
        <w:rPr>
          <w:rFonts w:ascii="Candara" w:eastAsia="Candara" w:hAnsi="Candara" w:cs="Candara"/>
          <w:color w:val="000000"/>
          <w:sz w:val="24"/>
          <w:szCs w:val="24"/>
        </w:rPr>
        <w:t>, 2012).</w:t>
      </w:r>
    </w:p>
    <w:p w14:paraId="448EF876" w14:textId="48683AB5" w:rsidR="00EE2858" w:rsidRPr="00EE2858" w:rsidRDefault="00EE2858" w:rsidP="00923B13">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EE2858">
        <w:rPr>
          <w:rFonts w:ascii="Candara" w:eastAsia="Candara" w:hAnsi="Candara" w:cs="Candara"/>
          <w:color w:val="000000"/>
          <w:sz w:val="24"/>
          <w:szCs w:val="24"/>
        </w:rPr>
        <w:t>Dentre os municípios com maiores IPA médio, destacam-se: Marechal Cândido Rondon, Três Barras do Paraná e Guaraniaçu. Esses municípios caracterizam-se pelo forte dinamismo na produção de lavoura temporária e também pela grande aptidão na criação bovina.</w:t>
      </w:r>
      <w:r w:rsidR="00923B13">
        <w:rPr>
          <w:rFonts w:ascii="Candara" w:eastAsia="Candara" w:hAnsi="Candara" w:cs="Candara"/>
          <w:color w:val="000000"/>
          <w:sz w:val="24"/>
          <w:szCs w:val="24"/>
        </w:rPr>
        <w:t xml:space="preserve"> </w:t>
      </w:r>
      <w:r w:rsidRPr="00EE2858">
        <w:rPr>
          <w:rFonts w:ascii="Candara" w:eastAsia="Candara" w:hAnsi="Candara" w:cs="Candara"/>
          <w:color w:val="000000"/>
          <w:sz w:val="24"/>
          <w:szCs w:val="24"/>
        </w:rPr>
        <w:t>No que se refere à representatividade da atividade da pecuária, em 2019, a MOP representou a localidade que mais contribuiu para o Valor Bruto da produção estadual, com mais de 32%. Portanto, constata-se que a forte predominância do efetivo de bovinos no município tem provocado alterações no bioma local.</w:t>
      </w:r>
    </w:p>
    <w:p w14:paraId="1CB5CBBC" w14:textId="416F0B93" w:rsidR="00EE2858" w:rsidRDefault="00EE2858" w:rsidP="00315E87">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EE2858">
        <w:rPr>
          <w:rFonts w:ascii="Candara" w:eastAsia="Candara" w:hAnsi="Candara" w:cs="Candara"/>
          <w:color w:val="000000"/>
          <w:sz w:val="24"/>
          <w:szCs w:val="24"/>
        </w:rPr>
        <w:t>Por fim, os três municípios da mesorregião que apresentaram os menores valores de IPA da categoria baixo, são: Anahy (0,17), Entre Rios do Oeste (0,05) e Iguatu (0,00). Observou-se que os municípios que possuem menor PIB agropecuário e menor efetivo bovino exercem menos estresse ambiental no ambiente.</w:t>
      </w:r>
      <w:r w:rsidR="00315E87">
        <w:rPr>
          <w:rFonts w:ascii="Candara" w:eastAsia="Candara" w:hAnsi="Candara" w:cs="Candara"/>
          <w:color w:val="000000"/>
          <w:sz w:val="24"/>
          <w:szCs w:val="24"/>
        </w:rPr>
        <w:t xml:space="preserve"> O </w:t>
      </w:r>
      <w:r w:rsidRPr="00EE2858">
        <w:rPr>
          <w:rFonts w:ascii="Candara" w:eastAsia="Candara" w:hAnsi="Candara" w:cs="Candara"/>
          <w:color w:val="000000"/>
          <w:sz w:val="24"/>
          <w:szCs w:val="24"/>
        </w:rPr>
        <w:t>município de Foz do Iguaçu considerado uma das cidades-polo da MOP também apresentou baixo IPA (6,52). O baixo índice</w:t>
      </w:r>
      <w:r w:rsidR="00CD4024">
        <w:rPr>
          <w:rFonts w:ascii="Candara" w:eastAsia="Candara" w:hAnsi="Candara" w:cs="Candara"/>
          <w:color w:val="000000"/>
          <w:sz w:val="24"/>
          <w:szCs w:val="24"/>
        </w:rPr>
        <w:t xml:space="preserve"> deste município </w:t>
      </w:r>
      <w:r w:rsidRPr="00EE2858">
        <w:rPr>
          <w:rFonts w:ascii="Candara" w:eastAsia="Candara" w:hAnsi="Candara" w:cs="Candara"/>
          <w:color w:val="000000"/>
          <w:sz w:val="24"/>
          <w:szCs w:val="24"/>
        </w:rPr>
        <w:t>pode ter relação com sua aptidão econômica,</w:t>
      </w:r>
      <w:r w:rsidR="003A5B7E">
        <w:rPr>
          <w:rFonts w:ascii="Candara" w:eastAsia="Candara" w:hAnsi="Candara" w:cs="Candara"/>
          <w:color w:val="000000"/>
          <w:sz w:val="24"/>
          <w:szCs w:val="24"/>
        </w:rPr>
        <w:t xml:space="preserve"> que d</w:t>
      </w:r>
      <w:r w:rsidRPr="00EE2858">
        <w:rPr>
          <w:rFonts w:ascii="Candara" w:eastAsia="Candara" w:hAnsi="Candara" w:cs="Candara"/>
          <w:color w:val="000000"/>
          <w:sz w:val="24"/>
          <w:szCs w:val="24"/>
        </w:rPr>
        <w:t>iferente</w:t>
      </w:r>
      <w:r w:rsidR="00A4133C">
        <w:rPr>
          <w:rFonts w:ascii="Candara" w:eastAsia="Candara" w:hAnsi="Candara" w:cs="Candara"/>
          <w:color w:val="000000"/>
          <w:sz w:val="24"/>
          <w:szCs w:val="24"/>
        </w:rPr>
        <w:t xml:space="preserve">mente </w:t>
      </w:r>
      <w:r w:rsidRPr="00EE2858">
        <w:rPr>
          <w:rFonts w:ascii="Candara" w:eastAsia="Candara" w:hAnsi="Candara" w:cs="Candara"/>
          <w:color w:val="000000"/>
          <w:sz w:val="24"/>
          <w:szCs w:val="24"/>
        </w:rPr>
        <w:t xml:space="preserve">dos demais polos da mesorregião (Cascavel e </w:t>
      </w:r>
      <w:r w:rsidRPr="00EE2858">
        <w:rPr>
          <w:rFonts w:ascii="Candara" w:eastAsia="Candara" w:hAnsi="Candara" w:cs="Candara"/>
          <w:color w:val="000000"/>
          <w:sz w:val="24"/>
          <w:szCs w:val="24"/>
        </w:rPr>
        <w:lastRenderedPageBreak/>
        <w:t>Toledo),</w:t>
      </w:r>
      <w:r w:rsidR="00CD4024">
        <w:rPr>
          <w:rFonts w:ascii="Candara" w:eastAsia="Candara" w:hAnsi="Candara" w:cs="Candara"/>
          <w:color w:val="000000"/>
          <w:sz w:val="24"/>
          <w:szCs w:val="24"/>
        </w:rPr>
        <w:t xml:space="preserve"> </w:t>
      </w:r>
      <w:r w:rsidRPr="00EE2858">
        <w:rPr>
          <w:rFonts w:ascii="Candara" w:eastAsia="Candara" w:hAnsi="Candara" w:cs="Candara"/>
          <w:color w:val="000000"/>
          <w:sz w:val="24"/>
          <w:szCs w:val="24"/>
        </w:rPr>
        <w:t>mantém sua economia assentada no comércio interregional, na produção de energia e no turismo (D</w:t>
      </w:r>
      <w:r w:rsidR="00E010E1">
        <w:rPr>
          <w:rFonts w:ascii="Candara" w:eastAsia="Candara" w:hAnsi="Candara" w:cs="Candara"/>
          <w:color w:val="000000"/>
          <w:sz w:val="24"/>
          <w:szCs w:val="24"/>
        </w:rPr>
        <w:t>e Lima</w:t>
      </w:r>
      <w:r w:rsidRPr="00EE2858">
        <w:rPr>
          <w:rFonts w:ascii="Candara" w:eastAsia="Candara" w:hAnsi="Candara" w:cs="Candara"/>
          <w:color w:val="000000"/>
          <w:sz w:val="24"/>
          <w:szCs w:val="24"/>
        </w:rPr>
        <w:t xml:space="preserve">; </w:t>
      </w:r>
      <w:proofErr w:type="spellStart"/>
      <w:r w:rsidRPr="00EE2858">
        <w:rPr>
          <w:rFonts w:ascii="Candara" w:eastAsia="Candara" w:hAnsi="Candara" w:cs="Candara"/>
          <w:color w:val="000000"/>
          <w:sz w:val="24"/>
          <w:szCs w:val="24"/>
        </w:rPr>
        <w:t>E</w:t>
      </w:r>
      <w:r w:rsidR="00E010E1">
        <w:rPr>
          <w:rFonts w:ascii="Candara" w:eastAsia="Candara" w:hAnsi="Candara" w:cs="Candara"/>
          <w:color w:val="000000"/>
          <w:sz w:val="24"/>
          <w:szCs w:val="24"/>
        </w:rPr>
        <w:t>berhardt</w:t>
      </w:r>
      <w:proofErr w:type="spellEnd"/>
      <w:r w:rsidRPr="00EE2858">
        <w:rPr>
          <w:rFonts w:ascii="Candara" w:eastAsia="Candara" w:hAnsi="Candara" w:cs="Candara"/>
          <w:color w:val="000000"/>
          <w:sz w:val="24"/>
          <w:szCs w:val="24"/>
        </w:rPr>
        <w:t>; B</w:t>
      </w:r>
      <w:r w:rsidR="00E010E1">
        <w:rPr>
          <w:rFonts w:ascii="Candara" w:eastAsia="Candara" w:hAnsi="Candara" w:cs="Candara"/>
          <w:color w:val="000000"/>
          <w:sz w:val="24"/>
          <w:szCs w:val="24"/>
        </w:rPr>
        <w:t>arros</w:t>
      </w:r>
      <w:r w:rsidRPr="00EE2858">
        <w:rPr>
          <w:rFonts w:ascii="Candara" w:eastAsia="Candara" w:hAnsi="Candara" w:cs="Candara"/>
          <w:color w:val="000000"/>
          <w:sz w:val="24"/>
          <w:szCs w:val="24"/>
        </w:rPr>
        <w:t>, 2012).</w:t>
      </w:r>
    </w:p>
    <w:p w14:paraId="7FEBA9CA" w14:textId="716F9FBE" w:rsidR="00EE2858" w:rsidRPr="009C2B1F" w:rsidRDefault="00EE2858" w:rsidP="00993561">
      <w:pPr>
        <w:pBdr>
          <w:top w:val="nil"/>
          <w:left w:val="nil"/>
          <w:bottom w:val="nil"/>
          <w:right w:val="nil"/>
          <w:between w:val="nil"/>
        </w:pBdr>
        <w:tabs>
          <w:tab w:val="left" w:pos="1701"/>
        </w:tabs>
        <w:spacing w:after="120" w:line="360" w:lineRule="auto"/>
        <w:ind w:firstLine="851"/>
        <w:jc w:val="both"/>
        <w:rPr>
          <w:rFonts w:ascii="Candara" w:eastAsia="Candara" w:hAnsi="Candara" w:cs="Candara"/>
          <w:color w:val="000000"/>
          <w:sz w:val="24"/>
          <w:szCs w:val="24"/>
        </w:rPr>
      </w:pPr>
      <w:r w:rsidRPr="009C2B1F">
        <w:rPr>
          <w:rFonts w:ascii="Candara" w:eastAsia="Candara" w:hAnsi="Candara" w:cs="Candara"/>
          <w:color w:val="000000"/>
          <w:sz w:val="24"/>
          <w:szCs w:val="24"/>
        </w:rPr>
        <w:t>4.3</w:t>
      </w:r>
      <w:r w:rsidR="009C2B1F">
        <w:rPr>
          <w:rFonts w:ascii="Candara" w:eastAsia="Candara" w:hAnsi="Candara" w:cs="Candara"/>
          <w:color w:val="000000"/>
          <w:sz w:val="24"/>
          <w:szCs w:val="24"/>
        </w:rPr>
        <w:t xml:space="preserve"> </w:t>
      </w:r>
      <w:r w:rsidRPr="009C2B1F">
        <w:rPr>
          <w:rFonts w:ascii="Candara" w:eastAsia="Candara" w:hAnsi="Candara" w:cs="Candara"/>
          <w:color w:val="000000"/>
          <w:sz w:val="24"/>
          <w:szCs w:val="24"/>
        </w:rPr>
        <w:t>Agrupamento dos Municípios da MOP</w:t>
      </w:r>
    </w:p>
    <w:p w14:paraId="45A582CD" w14:textId="5FB778ED" w:rsidR="009C2B1F" w:rsidRDefault="00EE2858" w:rsidP="009C2B1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EE2858">
        <w:rPr>
          <w:rFonts w:ascii="Candara" w:eastAsia="Candara" w:hAnsi="Candara" w:cs="Candara"/>
          <w:color w:val="000000"/>
          <w:sz w:val="24"/>
          <w:szCs w:val="24"/>
        </w:rPr>
        <w:t xml:space="preserve">Por meio da matriz dos sete escores fatoriais calculados para os 50 municípios da mesorregião Oeste do Paraná foi possível agrupar 4 clusters com níveis de pressão ambiental dissimilares, conforme a Figura 2. </w:t>
      </w:r>
    </w:p>
    <w:p w14:paraId="510CD925" w14:textId="77777777" w:rsidR="009C2B1F" w:rsidRDefault="009C2B1F" w:rsidP="009C2B1F">
      <w:pPr>
        <w:pBdr>
          <w:top w:val="nil"/>
          <w:left w:val="nil"/>
          <w:bottom w:val="nil"/>
          <w:right w:val="nil"/>
          <w:between w:val="nil"/>
        </w:pBdr>
        <w:spacing w:after="0" w:line="240" w:lineRule="auto"/>
        <w:jc w:val="both"/>
        <w:rPr>
          <w:rFonts w:ascii="Candara" w:eastAsia="Candara" w:hAnsi="Candara" w:cs="Candara"/>
          <w:color w:val="000000"/>
          <w:sz w:val="24"/>
          <w:szCs w:val="24"/>
        </w:rPr>
      </w:pPr>
    </w:p>
    <w:p w14:paraId="2AB04CD2" w14:textId="674B9192" w:rsidR="00EE2858" w:rsidRPr="00EE2858" w:rsidRDefault="00EE2858" w:rsidP="009C2B1F">
      <w:pPr>
        <w:pBdr>
          <w:top w:val="nil"/>
          <w:left w:val="nil"/>
          <w:bottom w:val="nil"/>
          <w:right w:val="nil"/>
          <w:between w:val="nil"/>
        </w:pBdr>
        <w:spacing w:after="0" w:line="240" w:lineRule="auto"/>
        <w:jc w:val="both"/>
        <w:rPr>
          <w:rFonts w:ascii="Candara" w:eastAsia="Candara" w:hAnsi="Candara" w:cs="Candara"/>
          <w:color w:val="000000"/>
          <w:sz w:val="24"/>
          <w:szCs w:val="24"/>
        </w:rPr>
      </w:pPr>
      <w:r w:rsidRPr="00EE2858">
        <w:rPr>
          <w:rFonts w:ascii="Candara" w:eastAsia="Candara" w:hAnsi="Candara" w:cs="Candara"/>
          <w:color w:val="000000"/>
          <w:sz w:val="24"/>
          <w:szCs w:val="24"/>
        </w:rPr>
        <w:t>Figura 2 – Análise de Conglomerados dos Municípios da mesorregião Oeste do Paraná</w:t>
      </w:r>
      <w:r>
        <w:rPr>
          <w:rFonts w:ascii="Times New Roman" w:hAnsi="Times New Roman" w:cs="Times New Roman"/>
          <w:noProof/>
          <w:sz w:val="24"/>
          <w:szCs w:val="24"/>
          <w14:ligatures w14:val="standardContextual"/>
        </w:rPr>
        <w:drawing>
          <wp:inline distT="0" distB="0" distL="0" distR="0" wp14:anchorId="42005666" wp14:editId="483747CE">
            <wp:extent cx="5362575" cy="2882900"/>
            <wp:effectExtent l="19050" t="19050" r="28575" b="12700"/>
            <wp:docPr id="123151353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2575" cy="2882900"/>
                    </a:xfrm>
                    <a:prstGeom prst="rect">
                      <a:avLst/>
                    </a:prstGeom>
                    <a:noFill/>
                    <a:ln>
                      <a:solidFill>
                        <a:schemeClr val="tx1"/>
                      </a:solidFill>
                    </a:ln>
                  </pic:spPr>
                </pic:pic>
              </a:graphicData>
            </a:graphic>
          </wp:inline>
        </w:drawing>
      </w:r>
    </w:p>
    <w:p w14:paraId="2EDC6B0B" w14:textId="385E0B6F" w:rsidR="006439AC" w:rsidRDefault="00EE2858" w:rsidP="00F9267C">
      <w:pPr>
        <w:pBdr>
          <w:top w:val="nil"/>
          <w:left w:val="nil"/>
          <w:bottom w:val="nil"/>
          <w:right w:val="nil"/>
          <w:between w:val="nil"/>
        </w:pBdr>
        <w:spacing w:after="0" w:line="240" w:lineRule="auto"/>
        <w:jc w:val="both"/>
        <w:rPr>
          <w:rFonts w:ascii="Candara" w:eastAsia="Candara" w:hAnsi="Candara" w:cs="Candara"/>
          <w:color w:val="000000"/>
          <w:sz w:val="20"/>
          <w:szCs w:val="20"/>
        </w:rPr>
      </w:pPr>
      <w:r w:rsidRPr="009C2B1F">
        <w:rPr>
          <w:rFonts w:ascii="Candara" w:eastAsia="Candara" w:hAnsi="Candara" w:cs="Candara"/>
          <w:color w:val="000000"/>
          <w:sz w:val="20"/>
          <w:szCs w:val="20"/>
        </w:rPr>
        <w:t>Fonte: Elaborado pelos autores (2023).</w:t>
      </w:r>
    </w:p>
    <w:p w14:paraId="456AF0EC" w14:textId="32A95CA3" w:rsidR="001F3B07" w:rsidRPr="001F3B07" w:rsidRDefault="001F3B07" w:rsidP="001F3B07">
      <w:pPr>
        <w:tabs>
          <w:tab w:val="left" w:pos="1980"/>
        </w:tabs>
        <w:rPr>
          <w:rFonts w:ascii="Candara" w:eastAsia="Candara" w:hAnsi="Candara" w:cs="Candara"/>
          <w:sz w:val="20"/>
          <w:szCs w:val="20"/>
        </w:rPr>
      </w:pPr>
      <w:r>
        <w:rPr>
          <w:rFonts w:ascii="Candara" w:eastAsia="Candara" w:hAnsi="Candara" w:cs="Candara"/>
          <w:sz w:val="20"/>
          <w:szCs w:val="20"/>
        </w:rPr>
        <w:tab/>
      </w:r>
    </w:p>
    <w:p w14:paraId="28E1BCA5" w14:textId="77777777" w:rsidR="00EE2858" w:rsidRPr="00EE2858" w:rsidRDefault="00EE2858" w:rsidP="00EE285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EE2858">
        <w:rPr>
          <w:rFonts w:ascii="Candara" w:eastAsia="Candara" w:hAnsi="Candara" w:cs="Candara"/>
          <w:color w:val="000000"/>
          <w:sz w:val="24"/>
          <w:szCs w:val="24"/>
        </w:rPr>
        <w:t xml:space="preserve">O cluster 1 sofreu maior influência do F1 e F4, que agrupou somente o município de Cascavel. Estes fatores estão associados com o dinamismo da agropecuária, caracterizada pela expressiva presença da produção familiar, porém com uso intensificado de agrotóxicos e a necessidade de conservação do uso de solo para a obtenção de ganhos com produtividade. Nesse aspecto, Cascavel é destaque </w:t>
      </w:r>
      <w:r w:rsidRPr="00EE2858">
        <w:rPr>
          <w:rFonts w:ascii="Candara" w:eastAsia="Candara" w:hAnsi="Candara" w:cs="Candara"/>
          <w:color w:val="000000"/>
          <w:sz w:val="24"/>
          <w:szCs w:val="24"/>
        </w:rPr>
        <w:lastRenderedPageBreak/>
        <w:t>no segmento do agronegócio na mesorregião, com produção intensiva de soja, milho e trigo. No ano de 2021, produziu cerca de 300.000 toneladas de soja e milho e 76.362 toneladas de trigo (IBGE-PAM, 2021).</w:t>
      </w:r>
    </w:p>
    <w:p w14:paraId="770EDAC2" w14:textId="77777777" w:rsidR="00EE2858" w:rsidRPr="00EE2858" w:rsidRDefault="00EE2858" w:rsidP="00EE285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EE2858">
        <w:rPr>
          <w:rFonts w:ascii="Candara" w:eastAsia="Candara" w:hAnsi="Candara" w:cs="Candara"/>
          <w:color w:val="000000"/>
          <w:sz w:val="24"/>
          <w:szCs w:val="24"/>
        </w:rPr>
        <w:t>O cluster 2 foi mais impactado pelo F2 e F4. Ambos estão associados ao segmento agropecuário que almeja conciliar ganhos na produção agropecuária de maneira que incorra menos impacto aos recursos naturais presentes no território. Nesse cluster agrupou-se cinco municípios com similaridades nessa perspectiva: Palotina, Mercedes, Foz do Iguaçu, São José das Palmeiras e Iguatu.</w:t>
      </w:r>
    </w:p>
    <w:p w14:paraId="0FEB35FF" w14:textId="77777777" w:rsidR="00EE2858" w:rsidRPr="00EE2858" w:rsidRDefault="00EE2858" w:rsidP="00EE285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EE2858">
        <w:rPr>
          <w:rFonts w:ascii="Candara" w:eastAsia="Candara" w:hAnsi="Candara" w:cs="Candara"/>
          <w:color w:val="000000"/>
          <w:sz w:val="24"/>
          <w:szCs w:val="24"/>
        </w:rPr>
        <w:t xml:space="preserve">O cluster 3 foi mais influenciado pelo F5 e F6. Esses fatores estão relacionados com o número de poços artesianos (profundos jorrantes) e a proporção de áreas cultivadas com lavoura temporária no território. Esse cluster foi formado por dez municípios com similaridades nesses atributos: Guaraniaçu, São Miguel do Iguaçu, Terra Roxa, Assis Chateaubriand, Catanduvas, Nova Aurora, Jesuítas, Céu Azul, Campo Bonito e </w:t>
      </w:r>
      <w:proofErr w:type="spellStart"/>
      <w:r w:rsidRPr="00EE2858">
        <w:rPr>
          <w:rFonts w:ascii="Candara" w:eastAsia="Candara" w:hAnsi="Candara" w:cs="Candara"/>
          <w:color w:val="000000"/>
          <w:sz w:val="24"/>
          <w:szCs w:val="24"/>
        </w:rPr>
        <w:t>Ibema</w:t>
      </w:r>
      <w:proofErr w:type="spellEnd"/>
      <w:r w:rsidRPr="00EE2858">
        <w:rPr>
          <w:rFonts w:ascii="Candara" w:eastAsia="Candara" w:hAnsi="Candara" w:cs="Candara"/>
          <w:color w:val="000000"/>
          <w:sz w:val="24"/>
          <w:szCs w:val="24"/>
        </w:rPr>
        <w:t xml:space="preserve">. </w:t>
      </w:r>
    </w:p>
    <w:p w14:paraId="1EB08526" w14:textId="77777777" w:rsidR="00EE2858" w:rsidRDefault="00EE2858" w:rsidP="00EE285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EE2858">
        <w:rPr>
          <w:rFonts w:ascii="Candara" w:eastAsia="Candara" w:hAnsi="Candara" w:cs="Candara"/>
          <w:color w:val="000000"/>
          <w:sz w:val="24"/>
          <w:szCs w:val="24"/>
        </w:rPr>
        <w:t xml:space="preserve">Por fim, o cluster 4 não foi influenciado </w:t>
      </w:r>
      <w:proofErr w:type="spellStart"/>
      <w:r w:rsidRPr="00EE2858">
        <w:rPr>
          <w:rFonts w:ascii="Candara" w:eastAsia="Candara" w:hAnsi="Candara" w:cs="Candara"/>
          <w:color w:val="000000"/>
          <w:sz w:val="24"/>
          <w:szCs w:val="24"/>
        </w:rPr>
        <w:t>significamente</w:t>
      </w:r>
      <w:proofErr w:type="spellEnd"/>
      <w:r w:rsidRPr="00EE2858">
        <w:rPr>
          <w:rFonts w:ascii="Candara" w:eastAsia="Candara" w:hAnsi="Candara" w:cs="Candara"/>
          <w:color w:val="000000"/>
          <w:sz w:val="24"/>
          <w:szCs w:val="24"/>
        </w:rPr>
        <w:t xml:space="preserve"> pela maioria dos fatores. Esse grupo foi formado pela maior porção dos municípios da mesorregião (34). Destaca-se neste grupo a presença de municípios com grande potencial no cultivo de grãos, criação de bovinos e outros animais, tais como: Toledo, Marechal Cândido Rondon, Três Barras do Paraná, Santa Helena, Capitão Leônidas Marques, Medianeira, Matelândia, etc. Observou-se apenas uma leve influência do F7 que é associado a proporção de área com corpos d’água presente nestes territórios. Contudo, apesar da baixa influência do conjunto de fatores nesse grupo, nota-se que o volume de reserva natural de água disponível é um sinal de preocupação, pois pode </w:t>
      </w:r>
      <w:r w:rsidRPr="00EE2858">
        <w:rPr>
          <w:rFonts w:ascii="Candara" w:eastAsia="Candara" w:hAnsi="Candara" w:cs="Candara"/>
          <w:color w:val="000000"/>
          <w:sz w:val="24"/>
          <w:szCs w:val="24"/>
        </w:rPr>
        <w:lastRenderedPageBreak/>
        <w:t>comprometer tanto o bioma local como também o desempenho das atividades econômicas desses municípios.</w:t>
      </w:r>
    </w:p>
    <w:p w14:paraId="22F3F691" w14:textId="0309400D" w:rsidR="004B220B" w:rsidRPr="00993561" w:rsidRDefault="00072840" w:rsidP="00993561">
      <w:pPr>
        <w:pStyle w:val="PargrafodaLista"/>
        <w:numPr>
          <w:ilvl w:val="0"/>
          <w:numId w:val="2"/>
        </w:numPr>
        <w:pBdr>
          <w:top w:val="nil"/>
          <w:left w:val="nil"/>
          <w:bottom w:val="nil"/>
          <w:right w:val="nil"/>
          <w:between w:val="nil"/>
        </w:pBdr>
        <w:tabs>
          <w:tab w:val="left" w:pos="1134"/>
        </w:tabs>
        <w:spacing w:after="120" w:line="360" w:lineRule="auto"/>
        <w:ind w:left="0" w:firstLine="851"/>
        <w:jc w:val="both"/>
        <w:rPr>
          <w:rFonts w:ascii="Candara" w:eastAsia="Candara" w:hAnsi="Candara" w:cs="Candara"/>
          <w:color w:val="000000"/>
          <w:sz w:val="28"/>
          <w:szCs w:val="28"/>
        </w:rPr>
      </w:pPr>
      <w:r w:rsidRPr="00993561">
        <w:rPr>
          <w:rFonts w:ascii="Candara" w:eastAsia="Candara" w:hAnsi="Candara" w:cs="Candara"/>
          <w:color w:val="000000"/>
          <w:sz w:val="28"/>
          <w:szCs w:val="28"/>
        </w:rPr>
        <w:t xml:space="preserve">CONSIDERAÇÕES FINAIS   </w:t>
      </w:r>
    </w:p>
    <w:p w14:paraId="69160553" w14:textId="77777777" w:rsidR="004B220B" w:rsidRPr="00072840" w:rsidRDefault="004B220B" w:rsidP="004B220B">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072840">
        <w:rPr>
          <w:rFonts w:ascii="Candara" w:eastAsia="Candara" w:hAnsi="Candara" w:cs="Candara"/>
          <w:color w:val="000000"/>
          <w:sz w:val="24"/>
          <w:szCs w:val="24"/>
        </w:rPr>
        <w:t xml:space="preserve">Esta pesquisa teve como objetivo verificar o nível de pressão ambiental decorrente da produção agropecuária na MOP. Além disso, procurou identificar a existência de padrões semelhantes de pressão ambiental entre os 50 municípios que compõem a mesorregião. Pela análise fatorial obteve-se sete fatores que revelaram características importantes relacionadas aos estabelecimentos agropecuários na MOP. O fator F1, que agrupou a maioria das variáveis relacionadas à agropecuária, destacou a forte presença da agricultura familiar e do emprego em quantidades significativas de agrotóxicos na região. Além disso, o cultivo de soja e milho é predominante na mesorregião. </w:t>
      </w:r>
    </w:p>
    <w:p w14:paraId="0CD73B37" w14:textId="77777777" w:rsidR="004B220B" w:rsidRPr="00072840" w:rsidRDefault="004B220B" w:rsidP="004B220B">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072840">
        <w:rPr>
          <w:rFonts w:ascii="Candara" w:eastAsia="Candara" w:hAnsi="Candara" w:cs="Candara"/>
          <w:color w:val="000000"/>
          <w:sz w:val="24"/>
          <w:szCs w:val="24"/>
        </w:rPr>
        <w:t xml:space="preserve">O fator F2 relaciona-se à conservação do solo e do meio ambiente, com ênfase na proteção de encostas, recuperação de mata ciliar e reflorestamento de nascentes, práticas de prevenção de queda da produtividade nas propriedades agropecuárias. O F3 aponta para a importância das receitas provenientes de serviços ambientais e destaca a preocupação com o aumento da área de pastagem em detrimento da área florestal na região. O F4 está relacionado ao desenvolvimento da agropecuária e à conservação do solo, com destaque para práticas conservacionistas em áreas com culturas perenes. Por fim, os fatores F5, F6 e F7 indicam mudanças significativas na paisagem da região devido à modernização agrícola que propiciou aumento de áreas com lavouras temporárias em detrimento de áreas anteriormente naturais. O resultado desse padrão de produção alterou a quantidade de áreas com matas ciliares e corpos d'água presentes na mesorregião. </w:t>
      </w:r>
    </w:p>
    <w:p w14:paraId="0D6E214B" w14:textId="43925BB8" w:rsidR="004B220B" w:rsidRPr="00072840" w:rsidRDefault="009B54F3" w:rsidP="00EE753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072840">
        <w:rPr>
          <w:rFonts w:ascii="Candara" w:eastAsia="Candara" w:hAnsi="Candara" w:cs="Candara"/>
          <w:color w:val="000000"/>
          <w:sz w:val="24"/>
          <w:szCs w:val="24"/>
        </w:rPr>
        <w:lastRenderedPageBreak/>
        <w:t xml:space="preserve">Em relação ao </w:t>
      </w:r>
      <w:r w:rsidR="004B220B" w:rsidRPr="00072840">
        <w:rPr>
          <w:rFonts w:ascii="Candara" w:eastAsia="Candara" w:hAnsi="Candara" w:cs="Candara"/>
          <w:color w:val="000000"/>
          <w:sz w:val="24"/>
          <w:szCs w:val="24"/>
        </w:rPr>
        <w:t>Índice de Pressão Ambiental (IPA)</w:t>
      </w:r>
      <w:r w:rsidR="00EE753F" w:rsidRPr="00072840">
        <w:rPr>
          <w:rFonts w:ascii="Candara" w:eastAsia="Candara" w:hAnsi="Candara" w:cs="Candara"/>
          <w:color w:val="000000"/>
          <w:sz w:val="24"/>
          <w:szCs w:val="24"/>
        </w:rPr>
        <w:t xml:space="preserve">, os </w:t>
      </w:r>
      <w:r w:rsidR="004B220B" w:rsidRPr="00072840">
        <w:rPr>
          <w:rFonts w:ascii="Candara" w:eastAsia="Candara" w:hAnsi="Candara" w:cs="Candara"/>
          <w:color w:val="000000"/>
          <w:sz w:val="24"/>
          <w:szCs w:val="24"/>
        </w:rPr>
        <w:t>resultados mostraram que a maioria dos municípios possui um baixo nível de pressão ambiental, indicado por valores de IPA próximos a zero, o que sugere uma forma mais equilibrada entre ganhos econômicos e preservação ambiental na produção.</w:t>
      </w:r>
      <w:r w:rsidR="00EE753F" w:rsidRPr="00072840">
        <w:rPr>
          <w:rFonts w:ascii="Candara" w:eastAsia="Candara" w:hAnsi="Candara" w:cs="Candara"/>
          <w:color w:val="000000"/>
          <w:sz w:val="24"/>
          <w:szCs w:val="24"/>
        </w:rPr>
        <w:t xml:space="preserve"> </w:t>
      </w:r>
      <w:r w:rsidR="004B220B" w:rsidRPr="00072840">
        <w:rPr>
          <w:rFonts w:ascii="Candara" w:eastAsia="Candara" w:hAnsi="Candara" w:cs="Candara"/>
          <w:color w:val="000000"/>
          <w:sz w:val="24"/>
          <w:szCs w:val="24"/>
        </w:rPr>
        <w:t xml:space="preserve">No entanto, dois municípios, Cascavel e Toledo, apresentaram um alto nível de pressão ambiental devido à sua dinâmica econômica centrada no agronegócio, incluindo o uso intensivo de agrotóxicos. </w:t>
      </w:r>
    </w:p>
    <w:p w14:paraId="24721C42" w14:textId="44671317" w:rsidR="004F729B" w:rsidRPr="00072840" w:rsidRDefault="00EE753F" w:rsidP="00B30D8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072840">
        <w:rPr>
          <w:rFonts w:ascii="Candara" w:eastAsia="Candara" w:hAnsi="Candara" w:cs="Candara"/>
          <w:color w:val="000000"/>
          <w:sz w:val="24"/>
          <w:szCs w:val="24"/>
        </w:rPr>
        <w:t xml:space="preserve">Os municípios de </w:t>
      </w:r>
      <w:r w:rsidR="004B220B" w:rsidRPr="00072840">
        <w:rPr>
          <w:rFonts w:ascii="Candara" w:eastAsia="Candara" w:hAnsi="Candara" w:cs="Candara"/>
          <w:color w:val="000000"/>
          <w:sz w:val="24"/>
          <w:szCs w:val="24"/>
        </w:rPr>
        <w:t>Anahy, Entre Rios do Oeste e Iguatu apresentam os menores valores de IPA na categoria baixo, diminuindo o nível de estresse ambiental, devido ao menor PIB agropecuário e efetivo bovino, bem como o menor uso de agrotóxicos e adubação química. Feito a classificação pelo IPA,</w:t>
      </w:r>
      <w:r w:rsidR="00F551A6" w:rsidRPr="00072840">
        <w:rPr>
          <w:rFonts w:ascii="Candara" w:eastAsia="Candara" w:hAnsi="Candara" w:cs="Candara"/>
          <w:color w:val="000000"/>
          <w:sz w:val="24"/>
          <w:szCs w:val="24"/>
        </w:rPr>
        <w:t xml:space="preserve"> realizou-se a </w:t>
      </w:r>
      <w:r w:rsidR="004B220B" w:rsidRPr="00072840">
        <w:rPr>
          <w:rFonts w:ascii="Candara" w:eastAsia="Candara" w:hAnsi="Candara" w:cs="Candara"/>
          <w:color w:val="000000"/>
          <w:sz w:val="24"/>
          <w:szCs w:val="24"/>
        </w:rPr>
        <w:t>análise de agrupamentos</w:t>
      </w:r>
      <w:r w:rsidR="00B30D81" w:rsidRPr="00072840">
        <w:rPr>
          <w:rFonts w:ascii="Candara" w:eastAsia="Candara" w:hAnsi="Candara" w:cs="Candara"/>
          <w:color w:val="000000"/>
          <w:sz w:val="24"/>
          <w:szCs w:val="24"/>
        </w:rPr>
        <w:t xml:space="preserve">, </w:t>
      </w:r>
      <w:r w:rsidR="00020878" w:rsidRPr="00072840">
        <w:rPr>
          <w:rFonts w:ascii="Candara" w:eastAsia="Candara" w:hAnsi="Candara" w:cs="Candara"/>
          <w:color w:val="000000"/>
          <w:sz w:val="24"/>
          <w:szCs w:val="24"/>
        </w:rPr>
        <w:t xml:space="preserve">onde verificou-se a </w:t>
      </w:r>
      <w:r w:rsidR="004B220B" w:rsidRPr="00072840">
        <w:rPr>
          <w:rFonts w:ascii="Candara" w:eastAsia="Candara" w:hAnsi="Candara" w:cs="Candara"/>
          <w:color w:val="000000"/>
          <w:sz w:val="24"/>
          <w:szCs w:val="24"/>
        </w:rPr>
        <w:t>existência de</w:t>
      </w:r>
      <w:r w:rsidR="00020878" w:rsidRPr="00072840">
        <w:rPr>
          <w:rFonts w:ascii="Candara" w:eastAsia="Candara" w:hAnsi="Candara" w:cs="Candara"/>
          <w:color w:val="000000"/>
          <w:sz w:val="24"/>
          <w:szCs w:val="24"/>
        </w:rPr>
        <w:t xml:space="preserve"> quatro </w:t>
      </w:r>
      <w:r w:rsidR="004B220B" w:rsidRPr="00072840">
        <w:rPr>
          <w:rFonts w:ascii="Candara" w:eastAsia="Candara" w:hAnsi="Candara" w:cs="Candara"/>
          <w:color w:val="000000"/>
          <w:sz w:val="24"/>
          <w:szCs w:val="24"/>
        </w:rPr>
        <w:t xml:space="preserve">grupos com padrões </w:t>
      </w:r>
      <w:r w:rsidR="00247F6E">
        <w:rPr>
          <w:rFonts w:ascii="Candara" w:eastAsia="Candara" w:hAnsi="Candara" w:cs="Candara"/>
          <w:color w:val="000000"/>
          <w:sz w:val="24"/>
          <w:szCs w:val="24"/>
        </w:rPr>
        <w:t xml:space="preserve">distintos </w:t>
      </w:r>
      <w:r w:rsidR="004B220B" w:rsidRPr="00072840">
        <w:rPr>
          <w:rFonts w:ascii="Candara" w:eastAsia="Candara" w:hAnsi="Candara" w:cs="Candara"/>
          <w:color w:val="000000"/>
          <w:sz w:val="24"/>
          <w:szCs w:val="24"/>
        </w:rPr>
        <w:t>de pressão ambiental.</w:t>
      </w:r>
    </w:p>
    <w:p w14:paraId="78B74ABB" w14:textId="7ABC4A0F" w:rsidR="004B220B" w:rsidRPr="00072840" w:rsidRDefault="004B220B" w:rsidP="00B30D8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072840">
        <w:rPr>
          <w:rFonts w:ascii="Candara" w:eastAsia="Candara" w:hAnsi="Candara" w:cs="Candara"/>
          <w:color w:val="000000"/>
          <w:sz w:val="24"/>
          <w:szCs w:val="24"/>
        </w:rPr>
        <w:t xml:space="preserve">O cluster 1 agrupou somente um município, Cascavel, que foi fortemente impacto pelo fator 4. O cluster 2 agrupou cinco municípios e foi influenciado em maior proporção pelo fator 2 e 4. O cluster 3 agrupou 10 munícipios e foi influenciado pelos fatores 5 e 6. Por fim, o cluster 4 agrupou 34 municípios, sendo o grupo com a menor influência dos sete fatores utilizados na análise. O fator 7 que está relacionado com a proporção de área com corpos d’água foi o único que teve uma leve influência nesse grupo de municípios. Em particular, esse grupo evidencia uma preocupação com sua reserva natural de água, o que pode afetar tanto o bioma quanto as atividades econômicas que geram o desenvolvimento local. </w:t>
      </w:r>
    </w:p>
    <w:p w14:paraId="10710B3C" w14:textId="6204B922" w:rsidR="004B220B" w:rsidRPr="00072840" w:rsidRDefault="004F729B" w:rsidP="004B220B">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072840">
        <w:rPr>
          <w:rFonts w:ascii="Candara" w:eastAsia="Candara" w:hAnsi="Candara" w:cs="Candara"/>
          <w:color w:val="000000"/>
          <w:sz w:val="24"/>
          <w:szCs w:val="24"/>
        </w:rPr>
        <w:t>A partir dessa pesquisa, espera-se</w:t>
      </w:r>
      <w:r w:rsidR="004B220B" w:rsidRPr="00072840">
        <w:rPr>
          <w:rFonts w:ascii="Candara" w:eastAsia="Candara" w:hAnsi="Candara" w:cs="Candara"/>
          <w:color w:val="000000"/>
          <w:sz w:val="24"/>
          <w:szCs w:val="24"/>
        </w:rPr>
        <w:t xml:space="preserve"> que sejam efetuadas investigações que ressaltam a necessidade de abordagens mais seguras na agricultura da região Oeste </w:t>
      </w:r>
      <w:r w:rsidR="004B220B" w:rsidRPr="00072840">
        <w:rPr>
          <w:rFonts w:ascii="Candara" w:eastAsia="Candara" w:hAnsi="Candara" w:cs="Candara"/>
          <w:color w:val="000000"/>
          <w:sz w:val="24"/>
          <w:szCs w:val="24"/>
        </w:rPr>
        <w:lastRenderedPageBreak/>
        <w:t xml:space="preserve">Paranaense, especialmente no que diz respeito ao uso de agrotóxicos, conservação do solo, proteção ambiental e desenvolvimento territorial sustentável. Esses desafios representam uma oportunidade para compensar e promover práticas agrícolas mais sustentáveis, provendo assim o bem estar econômico, social e ambiental da região. </w:t>
      </w:r>
    </w:p>
    <w:p w14:paraId="24B28961" w14:textId="77777777" w:rsidR="00072840" w:rsidRDefault="00072840" w:rsidP="004B220B">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69787802" w14:textId="77777777" w:rsidR="00993561" w:rsidRDefault="0037206E" w:rsidP="00993561">
      <w:pPr>
        <w:pBdr>
          <w:top w:val="nil"/>
          <w:left w:val="nil"/>
          <w:bottom w:val="nil"/>
          <w:right w:val="nil"/>
          <w:between w:val="nil"/>
        </w:pBdr>
        <w:spacing w:after="120" w:line="360" w:lineRule="auto"/>
        <w:ind w:firstLine="851"/>
        <w:jc w:val="both"/>
        <w:rPr>
          <w:rFonts w:ascii="Candara" w:eastAsia="Candara" w:hAnsi="Candara" w:cs="Candara"/>
          <w:bCs/>
          <w:color w:val="000000"/>
          <w:sz w:val="28"/>
          <w:szCs w:val="28"/>
        </w:rPr>
      </w:pPr>
      <w:r w:rsidRPr="00993561">
        <w:rPr>
          <w:rFonts w:ascii="Candara" w:eastAsia="Candara" w:hAnsi="Candara" w:cs="Candara"/>
          <w:bCs/>
          <w:color w:val="000000"/>
          <w:sz w:val="28"/>
          <w:szCs w:val="28"/>
        </w:rPr>
        <w:t>REFERÊNCIAS</w:t>
      </w:r>
    </w:p>
    <w:p w14:paraId="6B095DD5" w14:textId="77777777" w:rsidR="004B220B" w:rsidRPr="00D201D7" w:rsidRDefault="004B220B" w:rsidP="00993561">
      <w:pPr>
        <w:spacing w:before="120" w:after="120" w:line="240" w:lineRule="auto"/>
        <w:rPr>
          <w:rFonts w:ascii="Candara" w:hAnsi="Candara" w:cs="Times New Roman"/>
          <w:sz w:val="24"/>
          <w:szCs w:val="24"/>
        </w:rPr>
      </w:pPr>
      <w:r w:rsidRPr="00D201D7">
        <w:rPr>
          <w:rFonts w:ascii="Candara" w:hAnsi="Candara" w:cs="Times New Roman"/>
          <w:sz w:val="24"/>
          <w:szCs w:val="24"/>
        </w:rPr>
        <w:t>ARRAES, R. A.; MARIANO, F. Z.; &amp; SIMONASSI, A. G. Causas do desmatamento no Brasil e seu ordenamento no contexto mundial. </w:t>
      </w:r>
      <w:r w:rsidRPr="00D201D7">
        <w:rPr>
          <w:rFonts w:ascii="Candara" w:hAnsi="Candara" w:cs="Times New Roman"/>
          <w:b/>
          <w:bCs/>
          <w:sz w:val="24"/>
          <w:szCs w:val="24"/>
        </w:rPr>
        <w:t>Revista de Economia e Sociologia Rural</w:t>
      </w:r>
      <w:r w:rsidRPr="00D201D7">
        <w:rPr>
          <w:rFonts w:ascii="Candara" w:hAnsi="Candara" w:cs="Times New Roman"/>
          <w:sz w:val="24"/>
          <w:szCs w:val="24"/>
        </w:rPr>
        <w:t>, v. 50, n. 1, p. 119-140, 2012.</w:t>
      </w:r>
    </w:p>
    <w:p w14:paraId="6161B1CF" w14:textId="77777777" w:rsidR="004B220B" w:rsidRPr="00D201D7" w:rsidRDefault="004B220B" w:rsidP="00993561">
      <w:pPr>
        <w:spacing w:before="120" w:after="120" w:line="240" w:lineRule="auto"/>
        <w:rPr>
          <w:rFonts w:ascii="Candara" w:hAnsi="Candara" w:cs="Times New Roman"/>
          <w:sz w:val="24"/>
          <w:szCs w:val="24"/>
        </w:rPr>
      </w:pPr>
      <w:r w:rsidRPr="00D201D7">
        <w:rPr>
          <w:rFonts w:ascii="Candara" w:hAnsi="Candara" w:cs="Times New Roman"/>
          <w:sz w:val="24"/>
          <w:szCs w:val="24"/>
        </w:rPr>
        <w:t xml:space="preserve">BHERING, S. B. </w:t>
      </w:r>
      <w:r w:rsidRPr="00D201D7">
        <w:rPr>
          <w:rFonts w:ascii="Candara" w:hAnsi="Candara" w:cs="Times New Roman"/>
          <w:b/>
          <w:bCs/>
          <w:sz w:val="24"/>
          <w:szCs w:val="24"/>
        </w:rPr>
        <w:t>Mapa de Solos do Estado do Paraná</w:t>
      </w:r>
      <w:r w:rsidRPr="00D201D7">
        <w:rPr>
          <w:rFonts w:ascii="Candara" w:hAnsi="Candara" w:cs="Times New Roman"/>
          <w:sz w:val="24"/>
          <w:szCs w:val="24"/>
        </w:rPr>
        <w:t>. Rio de Janeiro: Embrapa Solos, 2007. 73p.</w:t>
      </w:r>
    </w:p>
    <w:p w14:paraId="4ABA65ED" w14:textId="77777777" w:rsidR="004B220B" w:rsidRPr="00D201D7" w:rsidRDefault="004B220B" w:rsidP="00993561">
      <w:pPr>
        <w:autoSpaceDE w:val="0"/>
        <w:autoSpaceDN w:val="0"/>
        <w:adjustRightInd w:val="0"/>
        <w:spacing w:before="120" w:after="120" w:line="240" w:lineRule="auto"/>
        <w:rPr>
          <w:rFonts w:ascii="Candara" w:hAnsi="Candara" w:cs="Times New Roman"/>
          <w:sz w:val="24"/>
          <w:szCs w:val="24"/>
        </w:rPr>
      </w:pPr>
      <w:r w:rsidRPr="00D201D7">
        <w:rPr>
          <w:rFonts w:ascii="Candara" w:hAnsi="Candara" w:cs="Times New Roman"/>
          <w:sz w:val="24"/>
          <w:szCs w:val="24"/>
          <w:shd w:val="clear" w:color="auto" w:fill="FFFFFF"/>
        </w:rPr>
        <w:t xml:space="preserve">DE LIMA, Jandir Ferrera; EBERHARDT, Paulo Henrique De </w:t>
      </w:r>
      <w:proofErr w:type="spellStart"/>
      <w:r w:rsidRPr="00D201D7">
        <w:rPr>
          <w:rFonts w:ascii="Candara" w:hAnsi="Candara" w:cs="Times New Roman"/>
          <w:sz w:val="24"/>
          <w:szCs w:val="24"/>
          <w:shd w:val="clear" w:color="auto" w:fill="FFFFFF"/>
        </w:rPr>
        <w:t>Cezaro</w:t>
      </w:r>
      <w:proofErr w:type="spellEnd"/>
      <w:r w:rsidRPr="00D201D7">
        <w:rPr>
          <w:rFonts w:ascii="Candara" w:hAnsi="Candara" w:cs="Times New Roman"/>
          <w:sz w:val="24"/>
          <w:szCs w:val="24"/>
          <w:shd w:val="clear" w:color="auto" w:fill="FFFFFF"/>
        </w:rPr>
        <w:t>; BARROS, Augusto Luiz Heck. Os Territórios Econômicos no Oeste do Paraná: Uma Análise do seu Crescimento no início do Século XXI. </w:t>
      </w:r>
      <w:r w:rsidRPr="00D201D7">
        <w:rPr>
          <w:rFonts w:ascii="Candara" w:hAnsi="Candara" w:cs="Times New Roman"/>
          <w:b/>
          <w:bCs/>
          <w:sz w:val="24"/>
          <w:szCs w:val="24"/>
        </w:rPr>
        <w:t>Revista Ciências Sociais em Perspectiva</w:t>
      </w:r>
      <w:r w:rsidRPr="00D201D7">
        <w:rPr>
          <w:rFonts w:ascii="Candara" w:hAnsi="Candara" w:cs="Times New Roman"/>
          <w:sz w:val="24"/>
          <w:szCs w:val="24"/>
        </w:rPr>
        <w:t>, </w:t>
      </w:r>
      <w:r w:rsidRPr="00D201D7">
        <w:rPr>
          <w:rFonts w:ascii="Candara" w:hAnsi="Candara" w:cs="Times New Roman"/>
          <w:i/>
          <w:iCs/>
          <w:sz w:val="24"/>
          <w:szCs w:val="24"/>
        </w:rPr>
        <w:t>[S. l.]</w:t>
      </w:r>
      <w:r w:rsidRPr="00D201D7">
        <w:rPr>
          <w:rFonts w:ascii="Candara" w:hAnsi="Candara" w:cs="Times New Roman"/>
          <w:sz w:val="24"/>
          <w:szCs w:val="24"/>
        </w:rPr>
        <w:t>, v. 10, n. 18, 2012.</w:t>
      </w:r>
    </w:p>
    <w:p w14:paraId="2F052E8A" w14:textId="77777777" w:rsidR="004B220B" w:rsidRPr="00D201D7" w:rsidRDefault="004B220B" w:rsidP="00993561">
      <w:pPr>
        <w:autoSpaceDE w:val="0"/>
        <w:autoSpaceDN w:val="0"/>
        <w:adjustRightInd w:val="0"/>
        <w:spacing w:before="120" w:after="120" w:line="240" w:lineRule="auto"/>
        <w:rPr>
          <w:rFonts w:ascii="Candara" w:hAnsi="Candara" w:cs="Times New Roman"/>
          <w:sz w:val="24"/>
          <w:szCs w:val="24"/>
        </w:rPr>
      </w:pPr>
      <w:r w:rsidRPr="00D201D7">
        <w:rPr>
          <w:rFonts w:ascii="Candara" w:hAnsi="Candara" w:cs="Times New Roman"/>
          <w:sz w:val="24"/>
          <w:szCs w:val="24"/>
        </w:rPr>
        <w:t xml:space="preserve">FIPECAFI. </w:t>
      </w:r>
      <w:r w:rsidRPr="00D201D7">
        <w:rPr>
          <w:rFonts w:ascii="Candara" w:hAnsi="Candara" w:cs="Times New Roman"/>
          <w:b/>
          <w:bCs/>
          <w:sz w:val="24"/>
          <w:szCs w:val="24"/>
        </w:rPr>
        <w:t>Análise Multivariada: para os cursos de administração, ciências contábeis e economia</w:t>
      </w:r>
      <w:r w:rsidRPr="00D201D7">
        <w:rPr>
          <w:rFonts w:ascii="Candara" w:hAnsi="Candara" w:cs="Times New Roman"/>
          <w:sz w:val="24"/>
          <w:szCs w:val="24"/>
        </w:rPr>
        <w:t xml:space="preserve"> / FIPECAFI – Fundação Instituto de Pesquisas Contábeis, Atuariais e Financeiras; Luiz J. Corrar, Edilson Paulo, José Maria Dias Filho (coordenadores). – São Paulo: Atlas, 2017.</w:t>
      </w:r>
    </w:p>
    <w:p w14:paraId="0DDF974F" w14:textId="77777777" w:rsidR="004B220B" w:rsidRPr="00D201D7" w:rsidRDefault="004B220B" w:rsidP="00993561">
      <w:pPr>
        <w:spacing w:before="120" w:after="120" w:line="240" w:lineRule="auto"/>
        <w:rPr>
          <w:rFonts w:ascii="Candara" w:hAnsi="Candara" w:cs="Times New Roman"/>
          <w:sz w:val="24"/>
          <w:szCs w:val="24"/>
          <w:shd w:val="clear" w:color="auto" w:fill="FFFFFF"/>
        </w:rPr>
      </w:pPr>
      <w:r w:rsidRPr="00D201D7">
        <w:rPr>
          <w:rFonts w:ascii="Candara" w:hAnsi="Candara" w:cs="Times New Roman"/>
          <w:sz w:val="24"/>
          <w:szCs w:val="24"/>
          <w:shd w:val="clear" w:color="auto" w:fill="FFFFFF"/>
        </w:rPr>
        <w:t>HAIR, Joseph F. et al. </w:t>
      </w:r>
      <w:r w:rsidRPr="00D201D7">
        <w:rPr>
          <w:rFonts w:ascii="Candara" w:hAnsi="Candara" w:cs="Times New Roman"/>
          <w:b/>
          <w:bCs/>
          <w:sz w:val="24"/>
          <w:szCs w:val="24"/>
          <w:shd w:val="clear" w:color="auto" w:fill="FFFFFF"/>
        </w:rPr>
        <w:t>Análise multivariada de dados</w:t>
      </w:r>
      <w:r w:rsidRPr="00D201D7">
        <w:rPr>
          <w:rFonts w:ascii="Candara" w:hAnsi="Candara" w:cs="Times New Roman"/>
          <w:sz w:val="24"/>
          <w:szCs w:val="24"/>
          <w:shd w:val="clear" w:color="auto" w:fill="FFFFFF"/>
        </w:rPr>
        <w:t>. – 6 ed. – Porto Alegre: Bookman editora, 2009.</w:t>
      </w:r>
    </w:p>
    <w:p w14:paraId="55BC5F08" w14:textId="77777777" w:rsidR="004B220B" w:rsidRPr="00D201D7" w:rsidRDefault="004B220B" w:rsidP="00993561">
      <w:pPr>
        <w:spacing w:before="120" w:after="120" w:line="240" w:lineRule="auto"/>
        <w:rPr>
          <w:rFonts w:ascii="Candara" w:hAnsi="Candara" w:cs="Times New Roman"/>
          <w:sz w:val="24"/>
          <w:szCs w:val="24"/>
          <w:shd w:val="clear" w:color="auto" w:fill="FFFFFF"/>
        </w:rPr>
      </w:pPr>
      <w:r w:rsidRPr="00D201D7">
        <w:rPr>
          <w:rFonts w:ascii="Candara" w:hAnsi="Candara" w:cs="Times New Roman"/>
          <w:sz w:val="24"/>
          <w:szCs w:val="24"/>
        </w:rPr>
        <w:t xml:space="preserve">IBGE – INSTITUTO BRASILEIRO DE GEOGRAFIA E ESTATÍSTICA. </w:t>
      </w:r>
      <w:r w:rsidRPr="00D201D7">
        <w:rPr>
          <w:rFonts w:ascii="Candara" w:hAnsi="Candara" w:cs="Times New Roman"/>
          <w:sz w:val="24"/>
          <w:szCs w:val="24"/>
          <w:shd w:val="clear" w:color="auto" w:fill="F9F9F9"/>
        </w:rPr>
        <w:t xml:space="preserve">Área da unidade territorial – 2022. </w:t>
      </w:r>
      <w:r w:rsidRPr="00D201D7">
        <w:rPr>
          <w:rFonts w:ascii="Candara" w:hAnsi="Candara" w:cs="Times New Roman"/>
          <w:sz w:val="24"/>
          <w:szCs w:val="24"/>
        </w:rPr>
        <w:t>Disponível em: &lt;https://cidades.ibge.gov.br/brasil/</w:t>
      </w:r>
      <w:proofErr w:type="spellStart"/>
      <w:r w:rsidRPr="00D201D7">
        <w:rPr>
          <w:rFonts w:ascii="Candara" w:hAnsi="Candara" w:cs="Times New Roman"/>
          <w:sz w:val="24"/>
          <w:szCs w:val="24"/>
        </w:rPr>
        <w:t>pr</w:t>
      </w:r>
      <w:proofErr w:type="spellEnd"/>
      <w:r w:rsidRPr="00D201D7">
        <w:rPr>
          <w:rFonts w:ascii="Candara" w:hAnsi="Candara" w:cs="Times New Roman"/>
          <w:sz w:val="24"/>
          <w:szCs w:val="24"/>
        </w:rPr>
        <w:t xml:space="preserve">/panorama&gt;. </w:t>
      </w:r>
      <w:r w:rsidRPr="00D201D7">
        <w:rPr>
          <w:rFonts w:ascii="Candara" w:hAnsi="Candara" w:cs="Times New Roman"/>
          <w:sz w:val="24"/>
          <w:szCs w:val="24"/>
          <w:shd w:val="clear" w:color="auto" w:fill="FFFFFF"/>
        </w:rPr>
        <w:t>Acesso em:</w:t>
      </w:r>
      <w:r w:rsidRPr="00D201D7">
        <w:rPr>
          <w:rFonts w:ascii="Candara" w:hAnsi="Candara" w:cs="Times New Roman"/>
          <w:b/>
          <w:bCs/>
          <w:sz w:val="24"/>
          <w:szCs w:val="24"/>
          <w:shd w:val="clear" w:color="auto" w:fill="FFFFFF"/>
        </w:rPr>
        <w:t xml:space="preserve"> </w:t>
      </w:r>
      <w:r w:rsidRPr="00D201D7">
        <w:rPr>
          <w:rFonts w:ascii="Candara" w:hAnsi="Candara" w:cs="Times New Roman"/>
          <w:sz w:val="24"/>
          <w:szCs w:val="24"/>
          <w:shd w:val="clear" w:color="auto" w:fill="FFFFFF"/>
        </w:rPr>
        <w:t xml:space="preserve">09 set. 2023. </w:t>
      </w:r>
    </w:p>
    <w:p w14:paraId="36968BA0" w14:textId="77777777" w:rsidR="004B220B" w:rsidRPr="00D201D7" w:rsidRDefault="004B220B" w:rsidP="00993561">
      <w:pPr>
        <w:autoSpaceDE w:val="0"/>
        <w:autoSpaceDN w:val="0"/>
        <w:adjustRightInd w:val="0"/>
        <w:spacing w:before="120" w:after="120" w:line="240" w:lineRule="auto"/>
        <w:rPr>
          <w:rFonts w:ascii="Candara" w:hAnsi="Candara" w:cs="Times New Roman"/>
          <w:sz w:val="24"/>
          <w:szCs w:val="24"/>
          <w:shd w:val="clear" w:color="auto" w:fill="FFFFFF"/>
        </w:rPr>
      </w:pPr>
      <w:r w:rsidRPr="00D201D7">
        <w:rPr>
          <w:rFonts w:ascii="Candara" w:hAnsi="Candara" w:cs="Times New Roman"/>
          <w:sz w:val="24"/>
          <w:szCs w:val="24"/>
        </w:rPr>
        <w:t xml:space="preserve">INSTITUTO BRASILEIRO DE GEOGRAFIA E ESTATÍSTICA (IBGE). </w:t>
      </w:r>
      <w:r w:rsidRPr="00D201D7">
        <w:rPr>
          <w:rFonts w:ascii="Candara" w:hAnsi="Candara" w:cs="Times New Roman"/>
          <w:b/>
          <w:bCs/>
          <w:sz w:val="24"/>
          <w:szCs w:val="24"/>
        </w:rPr>
        <w:t xml:space="preserve">Censo Agropecuário 2017 – Resultados Definitivos. </w:t>
      </w:r>
      <w:r w:rsidRPr="00D201D7">
        <w:rPr>
          <w:rFonts w:ascii="Candara" w:hAnsi="Candara" w:cs="Times New Roman"/>
          <w:sz w:val="24"/>
          <w:szCs w:val="24"/>
        </w:rPr>
        <w:t>Disponível em: &lt;https://sidra.ibge.gov.br/pesquisa/censo-agropecuario/censo-agropecuario-2017/&gt;.</w:t>
      </w:r>
      <w:r w:rsidRPr="00D201D7">
        <w:rPr>
          <w:rFonts w:ascii="Candara" w:hAnsi="Candara" w:cs="Times New Roman"/>
          <w:sz w:val="24"/>
          <w:szCs w:val="24"/>
          <w:shd w:val="clear" w:color="auto" w:fill="FFFFFF"/>
        </w:rPr>
        <w:t xml:space="preserve"> Acesso em:</w:t>
      </w:r>
      <w:r w:rsidRPr="00D201D7">
        <w:rPr>
          <w:rFonts w:ascii="Candara" w:hAnsi="Candara" w:cs="Times New Roman"/>
          <w:b/>
          <w:bCs/>
          <w:sz w:val="24"/>
          <w:szCs w:val="24"/>
          <w:shd w:val="clear" w:color="auto" w:fill="FFFFFF"/>
        </w:rPr>
        <w:t xml:space="preserve"> </w:t>
      </w:r>
      <w:r w:rsidRPr="00D201D7">
        <w:rPr>
          <w:rFonts w:ascii="Candara" w:hAnsi="Candara" w:cs="Times New Roman"/>
          <w:sz w:val="24"/>
          <w:szCs w:val="24"/>
          <w:shd w:val="clear" w:color="auto" w:fill="FFFFFF"/>
        </w:rPr>
        <w:t xml:space="preserve">09 set. 2023. </w:t>
      </w:r>
    </w:p>
    <w:p w14:paraId="48774B2C" w14:textId="77777777" w:rsidR="004B220B" w:rsidRPr="00D201D7" w:rsidRDefault="004B220B" w:rsidP="00993561">
      <w:pPr>
        <w:autoSpaceDE w:val="0"/>
        <w:autoSpaceDN w:val="0"/>
        <w:adjustRightInd w:val="0"/>
        <w:spacing w:before="120" w:after="120" w:line="240" w:lineRule="auto"/>
        <w:rPr>
          <w:rFonts w:ascii="Candara" w:hAnsi="Candara" w:cs="Times New Roman"/>
          <w:sz w:val="24"/>
          <w:szCs w:val="24"/>
        </w:rPr>
      </w:pPr>
      <w:r w:rsidRPr="00D201D7">
        <w:rPr>
          <w:rFonts w:ascii="Candara" w:hAnsi="Candara" w:cs="Times New Roman"/>
          <w:sz w:val="24"/>
          <w:szCs w:val="24"/>
        </w:rPr>
        <w:lastRenderedPageBreak/>
        <w:t xml:space="preserve">INSTITUTO BRASILEIRO DE GEOGRAFIA E ESTATÍSTICA (IBGE). </w:t>
      </w:r>
      <w:r w:rsidRPr="00D201D7">
        <w:rPr>
          <w:rFonts w:ascii="Candara" w:hAnsi="Candara" w:cs="Times New Roman"/>
          <w:b/>
          <w:bCs/>
          <w:sz w:val="24"/>
          <w:szCs w:val="24"/>
        </w:rPr>
        <w:t>Pesquisa da Pecuária Municipal (PPM) – 2021.</w:t>
      </w:r>
      <w:r w:rsidRPr="00D201D7">
        <w:rPr>
          <w:rFonts w:ascii="Candara" w:hAnsi="Candara" w:cs="Times New Roman"/>
          <w:sz w:val="24"/>
          <w:szCs w:val="24"/>
        </w:rPr>
        <w:t xml:space="preserve"> Disponível em: &lt;https://sidra.ibge.gov.br/pesquisa/</w:t>
      </w:r>
      <w:proofErr w:type="spellStart"/>
      <w:r w:rsidRPr="00D201D7">
        <w:rPr>
          <w:rFonts w:ascii="Candara" w:hAnsi="Candara" w:cs="Times New Roman"/>
          <w:sz w:val="24"/>
          <w:szCs w:val="24"/>
        </w:rPr>
        <w:t>ppm</w:t>
      </w:r>
      <w:proofErr w:type="spellEnd"/>
      <w:r w:rsidRPr="00D201D7">
        <w:rPr>
          <w:rFonts w:ascii="Candara" w:hAnsi="Candara" w:cs="Times New Roman"/>
          <w:sz w:val="24"/>
          <w:szCs w:val="24"/>
        </w:rPr>
        <w:t>/quadros/brasil/2021&gt;.</w:t>
      </w:r>
      <w:r w:rsidRPr="00D201D7">
        <w:rPr>
          <w:rFonts w:ascii="Candara" w:hAnsi="Candara" w:cs="Times New Roman"/>
          <w:sz w:val="24"/>
          <w:szCs w:val="24"/>
          <w:shd w:val="clear" w:color="auto" w:fill="FFFFFF"/>
        </w:rPr>
        <w:t xml:space="preserve"> Acesso em:</w:t>
      </w:r>
      <w:r w:rsidRPr="00D201D7">
        <w:rPr>
          <w:rFonts w:ascii="Candara" w:hAnsi="Candara" w:cs="Times New Roman"/>
          <w:b/>
          <w:bCs/>
          <w:sz w:val="24"/>
          <w:szCs w:val="24"/>
          <w:shd w:val="clear" w:color="auto" w:fill="FFFFFF"/>
        </w:rPr>
        <w:t xml:space="preserve"> </w:t>
      </w:r>
      <w:r w:rsidRPr="00D201D7">
        <w:rPr>
          <w:rFonts w:ascii="Candara" w:hAnsi="Candara" w:cs="Times New Roman"/>
          <w:sz w:val="24"/>
          <w:szCs w:val="24"/>
          <w:shd w:val="clear" w:color="auto" w:fill="FFFFFF"/>
        </w:rPr>
        <w:t>09 set. 2023.</w:t>
      </w:r>
    </w:p>
    <w:p w14:paraId="238BACDB" w14:textId="77777777" w:rsidR="004B220B" w:rsidRPr="00D201D7" w:rsidRDefault="004B220B" w:rsidP="00993561">
      <w:pPr>
        <w:autoSpaceDE w:val="0"/>
        <w:autoSpaceDN w:val="0"/>
        <w:adjustRightInd w:val="0"/>
        <w:spacing w:before="120" w:after="120" w:line="240" w:lineRule="auto"/>
        <w:rPr>
          <w:rFonts w:ascii="Candara" w:hAnsi="Candara" w:cs="Times New Roman"/>
          <w:sz w:val="24"/>
          <w:szCs w:val="24"/>
          <w:shd w:val="clear" w:color="auto" w:fill="FFFFFF"/>
        </w:rPr>
      </w:pPr>
      <w:r w:rsidRPr="00D201D7">
        <w:rPr>
          <w:rFonts w:ascii="Candara" w:hAnsi="Candara" w:cs="Times New Roman"/>
          <w:sz w:val="24"/>
          <w:szCs w:val="24"/>
        </w:rPr>
        <w:t xml:space="preserve">INSTITUTO BRASILEIRO DE GEOGRAFIA E ESTATÍSTICA (IBGE). </w:t>
      </w:r>
      <w:r w:rsidRPr="00D201D7">
        <w:rPr>
          <w:rFonts w:ascii="Candara" w:hAnsi="Candara" w:cs="Times New Roman"/>
          <w:b/>
          <w:bCs/>
          <w:sz w:val="24"/>
          <w:szCs w:val="24"/>
        </w:rPr>
        <w:t>Pesquisa Agrícola Municipal (PAM) – 2021.</w:t>
      </w:r>
      <w:r w:rsidRPr="00D201D7">
        <w:rPr>
          <w:rFonts w:ascii="Candara" w:hAnsi="Candara" w:cs="Times New Roman"/>
          <w:sz w:val="24"/>
          <w:szCs w:val="24"/>
        </w:rPr>
        <w:t xml:space="preserve">  Disponível em: &lt;https://sidra.ibge.gov.br/pesquisa/</w:t>
      </w:r>
      <w:proofErr w:type="spellStart"/>
      <w:r w:rsidRPr="00D201D7">
        <w:rPr>
          <w:rFonts w:ascii="Candara" w:hAnsi="Candara" w:cs="Times New Roman"/>
          <w:sz w:val="24"/>
          <w:szCs w:val="24"/>
        </w:rPr>
        <w:t>pam</w:t>
      </w:r>
      <w:proofErr w:type="spellEnd"/>
      <w:r w:rsidRPr="00D201D7">
        <w:rPr>
          <w:rFonts w:ascii="Candara" w:hAnsi="Candara" w:cs="Times New Roman"/>
          <w:sz w:val="24"/>
          <w:szCs w:val="24"/>
        </w:rPr>
        <w:t>/tabelas</w:t>
      </w:r>
      <w:r w:rsidRPr="00D201D7">
        <w:rPr>
          <w:rFonts w:ascii="Candara" w:hAnsi="Candara" w:cs="Times New Roman"/>
          <w:sz w:val="24"/>
          <w:szCs w:val="24"/>
          <w:shd w:val="clear" w:color="auto" w:fill="FFFFFF"/>
        </w:rPr>
        <w:t>&gt;. Acesso em:</w:t>
      </w:r>
      <w:r w:rsidRPr="00D201D7">
        <w:rPr>
          <w:rFonts w:ascii="Candara" w:hAnsi="Candara" w:cs="Times New Roman"/>
          <w:b/>
          <w:bCs/>
          <w:sz w:val="24"/>
          <w:szCs w:val="24"/>
          <w:shd w:val="clear" w:color="auto" w:fill="FFFFFF"/>
        </w:rPr>
        <w:t xml:space="preserve"> </w:t>
      </w:r>
      <w:r w:rsidRPr="00D201D7">
        <w:rPr>
          <w:rFonts w:ascii="Candara" w:hAnsi="Candara" w:cs="Times New Roman"/>
          <w:sz w:val="24"/>
          <w:szCs w:val="24"/>
          <w:shd w:val="clear" w:color="auto" w:fill="FFFFFF"/>
        </w:rPr>
        <w:t>09 set. 2023.</w:t>
      </w:r>
    </w:p>
    <w:p w14:paraId="4617F967" w14:textId="77777777" w:rsidR="004B220B" w:rsidRPr="00D201D7" w:rsidRDefault="004B220B" w:rsidP="00993561">
      <w:pPr>
        <w:spacing w:before="120" w:after="120" w:line="240" w:lineRule="auto"/>
        <w:rPr>
          <w:rFonts w:ascii="Candara" w:hAnsi="Candara" w:cs="Times New Roman"/>
          <w:sz w:val="24"/>
          <w:szCs w:val="24"/>
        </w:rPr>
      </w:pPr>
      <w:r w:rsidRPr="00D201D7">
        <w:rPr>
          <w:rFonts w:ascii="Candara" w:hAnsi="Candara" w:cs="Times New Roman"/>
          <w:sz w:val="24"/>
          <w:szCs w:val="24"/>
        </w:rPr>
        <w:t xml:space="preserve">IPEA – Instituto de Pesquisa Econômica Aplicada. Brasília: Rio de Janeiro: </w:t>
      </w:r>
      <w:r w:rsidRPr="00D201D7">
        <w:rPr>
          <w:rFonts w:ascii="Candara" w:hAnsi="Candara" w:cs="Times New Roman"/>
          <w:b/>
          <w:bCs/>
          <w:sz w:val="24"/>
          <w:szCs w:val="24"/>
        </w:rPr>
        <w:t>Ipea</w:t>
      </w:r>
      <w:r w:rsidRPr="00D201D7">
        <w:rPr>
          <w:rFonts w:ascii="Candara" w:hAnsi="Candara" w:cs="Times New Roman"/>
          <w:sz w:val="24"/>
          <w:szCs w:val="24"/>
        </w:rPr>
        <w:t>, 2012</w:t>
      </w:r>
    </w:p>
    <w:p w14:paraId="21366DD7" w14:textId="77777777" w:rsidR="004B220B" w:rsidRPr="00D201D7" w:rsidRDefault="004B220B" w:rsidP="00993561">
      <w:pPr>
        <w:spacing w:before="120" w:after="120" w:line="240" w:lineRule="auto"/>
        <w:rPr>
          <w:rFonts w:ascii="Candara" w:hAnsi="Candara" w:cs="Times New Roman"/>
          <w:sz w:val="24"/>
          <w:szCs w:val="24"/>
        </w:rPr>
      </w:pPr>
      <w:r w:rsidRPr="00D201D7">
        <w:rPr>
          <w:rFonts w:ascii="Candara" w:hAnsi="Candara" w:cs="Times New Roman"/>
          <w:sz w:val="24"/>
          <w:szCs w:val="24"/>
        </w:rPr>
        <w:t xml:space="preserve">MARTINE, George. A trajetória da modernização agrícola: a quem </w:t>
      </w:r>
      <w:proofErr w:type="gramStart"/>
      <w:r w:rsidRPr="00D201D7">
        <w:rPr>
          <w:rFonts w:ascii="Candara" w:hAnsi="Candara" w:cs="Times New Roman"/>
          <w:sz w:val="24"/>
          <w:szCs w:val="24"/>
        </w:rPr>
        <w:t>beneficia?.</w:t>
      </w:r>
      <w:proofErr w:type="gramEnd"/>
      <w:r w:rsidRPr="00D201D7">
        <w:rPr>
          <w:rFonts w:ascii="Candara" w:hAnsi="Candara" w:cs="Times New Roman"/>
          <w:sz w:val="24"/>
          <w:szCs w:val="24"/>
        </w:rPr>
        <w:t xml:space="preserve"> Lua Nova: </w:t>
      </w:r>
      <w:r w:rsidRPr="00D201D7">
        <w:rPr>
          <w:rFonts w:ascii="Candara" w:hAnsi="Candara" w:cs="Times New Roman"/>
          <w:b/>
          <w:bCs/>
          <w:sz w:val="24"/>
          <w:szCs w:val="24"/>
        </w:rPr>
        <w:t>Revista de Cultura e Política</w:t>
      </w:r>
      <w:r w:rsidRPr="00D201D7">
        <w:rPr>
          <w:rFonts w:ascii="Candara" w:hAnsi="Candara" w:cs="Times New Roman"/>
          <w:sz w:val="24"/>
          <w:szCs w:val="24"/>
        </w:rPr>
        <w:t>, São Paulo, n. 23, p.7-37, Mar. 1990.</w:t>
      </w:r>
    </w:p>
    <w:p w14:paraId="1094C509" w14:textId="77777777" w:rsidR="004B220B" w:rsidRPr="00D201D7" w:rsidRDefault="004B220B" w:rsidP="00993561">
      <w:pPr>
        <w:spacing w:before="120" w:after="120" w:line="240" w:lineRule="auto"/>
        <w:rPr>
          <w:rFonts w:ascii="Candara" w:hAnsi="Candara" w:cs="Times New Roman"/>
          <w:sz w:val="24"/>
          <w:szCs w:val="24"/>
        </w:rPr>
      </w:pPr>
      <w:r w:rsidRPr="00D201D7">
        <w:rPr>
          <w:rFonts w:ascii="Candara" w:hAnsi="Candara" w:cs="Times New Roman"/>
          <w:sz w:val="24"/>
          <w:szCs w:val="24"/>
        </w:rPr>
        <w:t xml:space="preserve">MATTEI, T.; CATTELAN, R.; PIFFER, M. Análise Espacial do grau de diversificação agropecuária e desenvolvimento rural do Paraná. </w:t>
      </w:r>
      <w:r w:rsidRPr="00D201D7">
        <w:rPr>
          <w:rFonts w:ascii="Candara" w:hAnsi="Candara" w:cs="Times New Roman"/>
          <w:b/>
          <w:bCs/>
          <w:sz w:val="24"/>
          <w:szCs w:val="24"/>
        </w:rPr>
        <w:t>Desenvolvimento em Questão</w:t>
      </w:r>
      <w:r w:rsidRPr="00D201D7">
        <w:rPr>
          <w:rFonts w:ascii="Candara" w:hAnsi="Candara" w:cs="Times New Roman"/>
          <w:sz w:val="24"/>
          <w:szCs w:val="24"/>
        </w:rPr>
        <w:t xml:space="preserve">, Editora </w:t>
      </w:r>
      <w:proofErr w:type="spellStart"/>
      <w:r w:rsidRPr="00D201D7">
        <w:rPr>
          <w:rFonts w:ascii="Candara" w:hAnsi="Candara" w:cs="Times New Roman"/>
          <w:sz w:val="24"/>
          <w:szCs w:val="24"/>
        </w:rPr>
        <w:t>Unijuí</w:t>
      </w:r>
      <w:proofErr w:type="spellEnd"/>
      <w:r w:rsidRPr="00D201D7">
        <w:rPr>
          <w:rFonts w:ascii="Candara" w:hAnsi="Candara" w:cs="Times New Roman"/>
          <w:sz w:val="24"/>
          <w:szCs w:val="24"/>
        </w:rPr>
        <w:t>: n. 59, 2023.</w:t>
      </w:r>
    </w:p>
    <w:p w14:paraId="4034C006" w14:textId="77777777" w:rsidR="004B220B" w:rsidRPr="00D201D7" w:rsidRDefault="004B220B" w:rsidP="00993561">
      <w:pPr>
        <w:spacing w:before="120" w:after="120" w:line="240" w:lineRule="auto"/>
        <w:rPr>
          <w:rFonts w:ascii="Candara" w:hAnsi="Candara" w:cs="Times New Roman"/>
          <w:sz w:val="24"/>
          <w:szCs w:val="24"/>
        </w:rPr>
      </w:pPr>
      <w:r w:rsidRPr="00D201D7">
        <w:rPr>
          <w:rFonts w:ascii="Candara" w:hAnsi="Candara" w:cs="Times New Roman"/>
          <w:sz w:val="24"/>
          <w:szCs w:val="24"/>
          <w:lang w:val="en-US"/>
        </w:rPr>
        <w:t xml:space="preserve">OECD. Environmental Indicators for Agriculture: Concepts and Framework. </w:t>
      </w:r>
      <w:r w:rsidRPr="00D201D7">
        <w:rPr>
          <w:rFonts w:ascii="Candara" w:hAnsi="Candara" w:cs="Times New Roman"/>
          <w:b/>
          <w:bCs/>
          <w:sz w:val="24"/>
          <w:szCs w:val="24"/>
        </w:rPr>
        <w:t xml:space="preserve">OECD </w:t>
      </w:r>
      <w:proofErr w:type="spellStart"/>
      <w:r w:rsidRPr="00D201D7">
        <w:rPr>
          <w:rFonts w:ascii="Candara" w:hAnsi="Candara" w:cs="Times New Roman"/>
          <w:b/>
          <w:bCs/>
          <w:sz w:val="24"/>
          <w:szCs w:val="24"/>
        </w:rPr>
        <w:t>Publications</w:t>
      </w:r>
      <w:proofErr w:type="spellEnd"/>
      <w:r w:rsidRPr="00D201D7">
        <w:rPr>
          <w:rFonts w:ascii="Candara" w:hAnsi="Candara" w:cs="Times New Roman"/>
          <w:b/>
          <w:bCs/>
          <w:sz w:val="24"/>
          <w:szCs w:val="24"/>
        </w:rPr>
        <w:t xml:space="preserve"> Service</w:t>
      </w:r>
      <w:r w:rsidRPr="00D201D7">
        <w:rPr>
          <w:rFonts w:ascii="Candara" w:hAnsi="Candara" w:cs="Times New Roman"/>
          <w:sz w:val="24"/>
          <w:szCs w:val="24"/>
        </w:rPr>
        <w:t>, Paris: 1999.</w:t>
      </w:r>
    </w:p>
    <w:p w14:paraId="36CC23A9" w14:textId="77777777" w:rsidR="004B220B" w:rsidRPr="00D201D7" w:rsidRDefault="004B220B" w:rsidP="00993561">
      <w:pPr>
        <w:spacing w:before="120" w:after="120" w:line="240" w:lineRule="auto"/>
        <w:rPr>
          <w:rFonts w:ascii="Candara" w:hAnsi="Candara" w:cs="Times New Roman"/>
          <w:sz w:val="24"/>
          <w:szCs w:val="24"/>
        </w:rPr>
      </w:pPr>
      <w:r w:rsidRPr="00D201D7">
        <w:rPr>
          <w:rFonts w:ascii="Candara" w:hAnsi="Candara" w:cs="Times New Roman"/>
          <w:sz w:val="24"/>
          <w:szCs w:val="24"/>
        </w:rPr>
        <w:t>PEREIRA, S. S.; &amp; CURI, R. C. Meio ambiente, impacto ambiental e desenvolvimento sustentável: conceituações teóricas sobre o despertar da consciência ambiental. </w:t>
      </w:r>
      <w:r w:rsidRPr="00D201D7">
        <w:rPr>
          <w:rFonts w:ascii="Candara" w:hAnsi="Candara" w:cs="Times New Roman"/>
          <w:b/>
          <w:bCs/>
          <w:sz w:val="24"/>
          <w:szCs w:val="24"/>
        </w:rPr>
        <w:t>REUNIR</w:t>
      </w:r>
      <w:r w:rsidRPr="00D201D7">
        <w:rPr>
          <w:rFonts w:ascii="Candara" w:hAnsi="Candara" w:cs="Times New Roman"/>
          <w:sz w:val="24"/>
          <w:szCs w:val="24"/>
        </w:rPr>
        <w:t>–Revista de Administração, Contabilidade e Sustentabilidade, v. 2, n. 4, p. 35-57, 2012.</w:t>
      </w:r>
    </w:p>
    <w:p w14:paraId="2350060C" w14:textId="77777777" w:rsidR="004B220B" w:rsidRPr="00D201D7" w:rsidRDefault="004B220B" w:rsidP="00993561">
      <w:pPr>
        <w:spacing w:before="120" w:after="120" w:line="240" w:lineRule="auto"/>
        <w:rPr>
          <w:rFonts w:ascii="Candara" w:hAnsi="Candara" w:cs="Times New Roman"/>
          <w:sz w:val="24"/>
          <w:szCs w:val="24"/>
        </w:rPr>
      </w:pPr>
      <w:r w:rsidRPr="00D201D7">
        <w:rPr>
          <w:rFonts w:ascii="Candara" w:hAnsi="Candara" w:cs="Times New Roman"/>
          <w:sz w:val="24"/>
          <w:szCs w:val="24"/>
        </w:rPr>
        <w:t xml:space="preserve">SANTOS, L. J. C.; OKA-FIORI, C.; CANALI, N. E.; FIORI, A. P.; SILVEIRA, C. T.; SILVA, J. M. F.; ROSS, J. L. S. Mapeamento geomorfológico do Estado do Paraná. </w:t>
      </w:r>
      <w:r w:rsidRPr="00D201D7">
        <w:rPr>
          <w:rFonts w:ascii="Candara" w:hAnsi="Candara" w:cs="Times New Roman"/>
          <w:b/>
          <w:bCs/>
          <w:sz w:val="24"/>
          <w:szCs w:val="24"/>
        </w:rPr>
        <w:t>Revista Brasileira de Geomorfologia</w:t>
      </w:r>
      <w:r w:rsidRPr="00D201D7">
        <w:rPr>
          <w:rFonts w:ascii="Candara" w:hAnsi="Candara" w:cs="Times New Roman"/>
          <w:sz w:val="24"/>
          <w:szCs w:val="24"/>
        </w:rPr>
        <w:t>, Curitiba, v. 2, n. 7, p. 03-12, 2006.</w:t>
      </w:r>
    </w:p>
    <w:p w14:paraId="5E685E18" w14:textId="77777777" w:rsidR="004B220B" w:rsidRPr="00D201D7" w:rsidRDefault="004B220B" w:rsidP="00993561">
      <w:pPr>
        <w:spacing w:before="120" w:after="120" w:line="240" w:lineRule="auto"/>
        <w:rPr>
          <w:rFonts w:ascii="Candara" w:hAnsi="Candara" w:cs="Times New Roman"/>
          <w:sz w:val="24"/>
          <w:szCs w:val="24"/>
        </w:rPr>
      </w:pPr>
      <w:r w:rsidRPr="00D201D7">
        <w:rPr>
          <w:rFonts w:ascii="Candara" w:hAnsi="Candara" w:cs="Times New Roman"/>
          <w:sz w:val="24"/>
          <w:szCs w:val="24"/>
        </w:rPr>
        <w:t xml:space="preserve">SILVA, J.V.N.; ESPADRIZANO, B.S.S.; PORTO, C.E.; SAKAI, O.A.; BATISTELA, V.R. Propostas de destinação de Resíduos com Base na Produção Agrícola das Mesorregiões do Estado do Paraná.  </w:t>
      </w:r>
      <w:r w:rsidRPr="00D201D7">
        <w:rPr>
          <w:rFonts w:ascii="Candara" w:hAnsi="Candara" w:cs="Times New Roman"/>
          <w:b/>
          <w:bCs/>
          <w:sz w:val="24"/>
          <w:szCs w:val="24"/>
        </w:rPr>
        <w:t>Caderno de Geografia</w:t>
      </w:r>
      <w:r w:rsidRPr="00D201D7">
        <w:rPr>
          <w:rFonts w:ascii="Candara" w:hAnsi="Candara" w:cs="Times New Roman"/>
          <w:sz w:val="24"/>
          <w:szCs w:val="24"/>
        </w:rPr>
        <w:t>, v.32, n.6, 2022</w:t>
      </w:r>
    </w:p>
    <w:sectPr w:rsidR="004B220B" w:rsidRPr="00D201D7">
      <w:headerReference w:type="default" r:id="rId10"/>
      <w:footerReference w:type="default" r:id="rId1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D58694" w14:textId="77777777" w:rsidR="00A55FDF" w:rsidRDefault="00A55FDF">
      <w:pPr>
        <w:spacing w:after="0" w:line="240" w:lineRule="auto"/>
      </w:pPr>
      <w:r>
        <w:separator/>
      </w:r>
    </w:p>
  </w:endnote>
  <w:endnote w:type="continuationSeparator" w:id="0">
    <w:p w14:paraId="740B2F91" w14:textId="77777777" w:rsidR="00A55FDF" w:rsidRDefault="00A55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5E100F" w14:textId="77777777" w:rsidR="00A55FDF" w:rsidRDefault="00A55FDF">
      <w:pPr>
        <w:spacing w:after="0" w:line="240" w:lineRule="auto"/>
      </w:pPr>
      <w:r>
        <w:separator/>
      </w:r>
    </w:p>
  </w:footnote>
  <w:footnote w:type="continuationSeparator" w:id="0">
    <w:p w14:paraId="60E099F8" w14:textId="77777777" w:rsidR="00A55FDF" w:rsidRDefault="00A55FDF">
      <w:pPr>
        <w:spacing w:after="0" w:line="240" w:lineRule="auto"/>
      </w:pPr>
      <w:r>
        <w:continuationSeparator/>
      </w:r>
    </w:p>
  </w:footnote>
  <w:footnote w:id="1">
    <w:p w14:paraId="07734D6E" w14:textId="63578D5D" w:rsidR="005B483D" w:rsidRPr="00FB0014" w:rsidRDefault="00CE7EE5" w:rsidP="00FB0014">
      <w:pPr>
        <w:pBdr>
          <w:top w:val="nil"/>
          <w:left w:val="nil"/>
          <w:bottom w:val="nil"/>
          <w:right w:val="nil"/>
          <w:between w:val="nil"/>
        </w:pBdr>
        <w:spacing w:line="240" w:lineRule="auto"/>
        <w:jc w:val="both"/>
        <w:rPr>
          <w:rFonts w:ascii="Candara" w:eastAsia="Candara" w:hAnsi="Candara" w:cs="Candara"/>
          <w:color w:val="000000"/>
          <w:sz w:val="20"/>
          <w:szCs w:val="20"/>
        </w:rPr>
      </w:pPr>
      <w:r w:rsidRPr="00FB0014">
        <w:rPr>
          <w:rFonts w:ascii="Candara" w:hAnsi="Candara"/>
          <w:sz w:val="20"/>
          <w:szCs w:val="20"/>
          <w:vertAlign w:val="superscript"/>
        </w:rPr>
        <w:footnoteRef/>
      </w:r>
      <w:r w:rsidRPr="00FB0014">
        <w:rPr>
          <w:rFonts w:ascii="Candara" w:eastAsia="Candara" w:hAnsi="Candara" w:cs="Candara"/>
          <w:color w:val="000000"/>
          <w:sz w:val="20"/>
          <w:szCs w:val="20"/>
        </w:rPr>
        <w:t xml:space="preserve"> </w:t>
      </w:r>
      <w:r w:rsidR="00BA0D03" w:rsidRPr="00FB0014">
        <w:rPr>
          <w:rFonts w:ascii="Candara" w:eastAsia="Candara" w:hAnsi="Candara" w:cs="Candara"/>
          <w:color w:val="000000"/>
          <w:sz w:val="20"/>
          <w:szCs w:val="20"/>
        </w:rPr>
        <w:t>Doutoranda</w:t>
      </w:r>
      <w:r w:rsidR="00FB0014" w:rsidRPr="00FB0014">
        <w:rPr>
          <w:rFonts w:ascii="Candara" w:eastAsia="Candara" w:hAnsi="Candara" w:cs="Candara"/>
          <w:color w:val="000000"/>
          <w:sz w:val="20"/>
          <w:szCs w:val="20"/>
        </w:rPr>
        <w:t xml:space="preserve"> </w:t>
      </w:r>
      <w:r w:rsidR="00FB0014" w:rsidRPr="00FB0014">
        <w:rPr>
          <w:rFonts w:ascii="Candara" w:hAnsi="Candara" w:cs="Times New Roman"/>
          <w:bCs/>
          <w:sz w:val="20"/>
          <w:szCs w:val="20"/>
        </w:rPr>
        <w:t>em Desenvolvimento Regional e Agronegócio (PGDRA)</w:t>
      </w:r>
      <w:r w:rsidR="00FB0014" w:rsidRPr="00FB0014">
        <w:rPr>
          <w:rFonts w:ascii="Candara" w:hAnsi="Candara" w:cs="Times New Roman"/>
          <w:bCs/>
          <w:sz w:val="20"/>
          <w:szCs w:val="20"/>
          <w:shd w:val="clear" w:color="auto" w:fill="FFFFFF"/>
        </w:rPr>
        <w:t xml:space="preserve"> – UNIOESTE</w:t>
      </w:r>
      <w:r w:rsidR="00BA0D03" w:rsidRPr="00FB0014">
        <w:rPr>
          <w:rFonts w:ascii="Candara" w:eastAsia="Candara" w:hAnsi="Candara" w:cs="Candara"/>
          <w:color w:val="000000" w:themeColor="text1"/>
          <w:sz w:val="20"/>
          <w:szCs w:val="20"/>
        </w:rPr>
        <w:t>, Toledo – Brasil.</w:t>
      </w:r>
      <w:r w:rsidR="00FB0014" w:rsidRPr="00FB0014">
        <w:rPr>
          <w:rFonts w:ascii="Candara" w:eastAsia="Candara" w:hAnsi="Candara" w:cs="Candara"/>
          <w:color w:val="000000" w:themeColor="text1"/>
          <w:sz w:val="20"/>
          <w:szCs w:val="20"/>
        </w:rPr>
        <w:t xml:space="preserve"> </w:t>
      </w:r>
      <w:r w:rsidR="00FB0014" w:rsidRPr="00FB0014">
        <w:rPr>
          <w:rFonts w:ascii="Candara" w:hAnsi="Candara" w:cs="Times New Roman"/>
          <w:bCs/>
          <w:sz w:val="20"/>
          <w:szCs w:val="20"/>
        </w:rPr>
        <w:t>Bolsista da Coordenação de Aperfeiçoamento de Pessoal de Nível Superior (CAPES).</w:t>
      </w:r>
      <w:r w:rsidR="00FB0014" w:rsidRPr="00FB0014">
        <w:rPr>
          <w:rFonts w:ascii="Candara" w:eastAsia="Candara" w:hAnsi="Candara" w:cs="Candara"/>
          <w:color w:val="000000" w:themeColor="text1"/>
          <w:sz w:val="20"/>
          <w:szCs w:val="20"/>
        </w:rPr>
        <w:t xml:space="preserve"> </w:t>
      </w:r>
      <w:r w:rsidR="00FB0014" w:rsidRPr="00FB0014">
        <w:rPr>
          <w:rFonts w:ascii="Candara" w:hAnsi="Candara" w:cs="Times New Roman"/>
          <w:bCs/>
          <w:sz w:val="20"/>
          <w:szCs w:val="20"/>
        </w:rPr>
        <w:t>E-mail</w:t>
      </w:r>
      <w:r w:rsidR="00FB0014" w:rsidRPr="00FB0014">
        <w:rPr>
          <w:rFonts w:ascii="Candara" w:eastAsia="Candara" w:hAnsi="Candara" w:cs="Candara"/>
          <w:color w:val="000000" w:themeColor="text1"/>
          <w:sz w:val="20"/>
          <w:szCs w:val="20"/>
        </w:rPr>
        <w:t xml:space="preserve">: </w:t>
      </w:r>
      <w:r w:rsidR="00FB0014" w:rsidRPr="00FB0014">
        <w:rPr>
          <w:rFonts w:ascii="Candara" w:eastAsia="Candara" w:hAnsi="Candara" w:cs="Candara"/>
          <w:sz w:val="20"/>
          <w:szCs w:val="20"/>
        </w:rPr>
        <w:t>alexandra.cardoso@grupointegrado.br</w:t>
      </w:r>
      <w:r w:rsidR="00BA0D03" w:rsidRPr="00FB0014">
        <w:rPr>
          <w:rFonts w:ascii="Candara" w:eastAsia="Candara" w:hAnsi="Candara" w:cs="Candara"/>
          <w:color w:val="000000" w:themeColor="text1"/>
          <w:sz w:val="20"/>
          <w:szCs w:val="20"/>
        </w:rPr>
        <w:t xml:space="preserve">. </w:t>
      </w:r>
    </w:p>
  </w:footnote>
  <w:footnote w:id="2">
    <w:p w14:paraId="6D6E3B2B" w14:textId="7D13C0D3" w:rsidR="005B483D" w:rsidRPr="00FB0014" w:rsidRDefault="00CE7EE5" w:rsidP="00FB0014">
      <w:pPr>
        <w:pBdr>
          <w:top w:val="nil"/>
          <w:left w:val="nil"/>
          <w:bottom w:val="nil"/>
          <w:right w:val="nil"/>
          <w:between w:val="nil"/>
        </w:pBdr>
        <w:spacing w:line="240" w:lineRule="auto"/>
        <w:jc w:val="both"/>
        <w:rPr>
          <w:rFonts w:ascii="Candara" w:eastAsia="Times New Roman" w:hAnsi="Candara" w:cs="Times New Roman"/>
          <w:color w:val="000000"/>
          <w:sz w:val="20"/>
          <w:szCs w:val="20"/>
        </w:rPr>
      </w:pPr>
      <w:r w:rsidRPr="00FB0014">
        <w:rPr>
          <w:rFonts w:ascii="Candara" w:hAnsi="Candara"/>
          <w:sz w:val="20"/>
          <w:szCs w:val="20"/>
          <w:vertAlign w:val="superscript"/>
        </w:rPr>
        <w:footnoteRef/>
      </w:r>
      <w:r w:rsidRPr="00FB0014">
        <w:rPr>
          <w:rFonts w:ascii="Candara" w:eastAsia="Candara" w:hAnsi="Candara" w:cs="Candara"/>
          <w:color w:val="000000"/>
          <w:sz w:val="20"/>
          <w:szCs w:val="20"/>
        </w:rPr>
        <w:t xml:space="preserve"> </w:t>
      </w:r>
      <w:r w:rsidR="00BA0D03" w:rsidRPr="00FB0014">
        <w:rPr>
          <w:rFonts w:ascii="Candara" w:eastAsia="Candara" w:hAnsi="Candara" w:cs="Candara"/>
          <w:color w:val="000000"/>
          <w:sz w:val="20"/>
          <w:szCs w:val="20"/>
        </w:rPr>
        <w:t xml:space="preserve">Doutorando </w:t>
      </w:r>
      <w:r w:rsidR="00FB0014" w:rsidRPr="00FB0014">
        <w:rPr>
          <w:rFonts w:ascii="Candara" w:hAnsi="Candara" w:cs="Times New Roman"/>
          <w:bCs/>
          <w:sz w:val="20"/>
          <w:szCs w:val="20"/>
        </w:rPr>
        <w:t>em Desenvolvimento Regional e Agronegócio (PGDRA)</w:t>
      </w:r>
      <w:r w:rsidR="00FB0014" w:rsidRPr="00FB0014">
        <w:rPr>
          <w:rFonts w:ascii="Candara" w:hAnsi="Candara" w:cs="Times New Roman"/>
          <w:bCs/>
          <w:sz w:val="20"/>
          <w:szCs w:val="20"/>
          <w:shd w:val="clear" w:color="auto" w:fill="FFFFFF"/>
        </w:rPr>
        <w:t xml:space="preserve"> – UNIOESTE</w:t>
      </w:r>
      <w:r w:rsidR="00FB0014" w:rsidRPr="00FB0014">
        <w:rPr>
          <w:rFonts w:ascii="Candara" w:eastAsia="Candara" w:hAnsi="Candara" w:cs="Candara"/>
          <w:color w:val="000000" w:themeColor="text1"/>
          <w:sz w:val="20"/>
          <w:szCs w:val="20"/>
        </w:rPr>
        <w:t xml:space="preserve">, Toledo – Brasil. </w:t>
      </w:r>
      <w:r w:rsidR="00FB0014" w:rsidRPr="00FB0014">
        <w:rPr>
          <w:rFonts w:ascii="Candara" w:hAnsi="Candara" w:cs="Times New Roman"/>
          <w:bCs/>
          <w:sz w:val="20"/>
          <w:szCs w:val="20"/>
        </w:rPr>
        <w:t>Bolsista da Coordenação de Aperfeiçoamento de Pessoal de Nível Superior (CAPES).</w:t>
      </w:r>
      <w:r w:rsidR="00FB0014" w:rsidRPr="00FB0014">
        <w:rPr>
          <w:rFonts w:ascii="Candara" w:eastAsia="Candara" w:hAnsi="Candara" w:cs="Candara"/>
          <w:color w:val="000000" w:themeColor="text1"/>
          <w:sz w:val="20"/>
          <w:szCs w:val="20"/>
        </w:rPr>
        <w:t xml:space="preserve"> </w:t>
      </w:r>
      <w:r w:rsidR="00FB0014" w:rsidRPr="00FB0014">
        <w:rPr>
          <w:rFonts w:ascii="Candara" w:hAnsi="Candara" w:cs="Times New Roman"/>
          <w:bCs/>
          <w:sz w:val="20"/>
          <w:szCs w:val="20"/>
        </w:rPr>
        <w:t>E-mail</w:t>
      </w:r>
      <w:r w:rsidR="00FB0014" w:rsidRPr="00FB0014">
        <w:rPr>
          <w:rFonts w:ascii="Candara" w:eastAsia="Candara" w:hAnsi="Candara" w:cs="Candara"/>
          <w:color w:val="000000" w:themeColor="text1"/>
          <w:sz w:val="20"/>
          <w:szCs w:val="20"/>
        </w:rPr>
        <w:t xml:space="preserve">: </w:t>
      </w:r>
      <w:r w:rsidR="00BA0D03" w:rsidRPr="00FB0014">
        <w:rPr>
          <w:rFonts w:ascii="Candara" w:eastAsia="Candara" w:hAnsi="Candara" w:cs="Candara"/>
          <w:color w:val="000000" w:themeColor="text1"/>
          <w:sz w:val="20"/>
          <w:szCs w:val="20"/>
        </w:rPr>
        <w:t>leandrogtaune@gmail.com</w:t>
      </w:r>
      <w:r w:rsidR="005917FE" w:rsidRPr="00FB0014">
        <w:rPr>
          <w:rFonts w:ascii="Candara" w:eastAsia="Candara" w:hAnsi="Candara" w:cs="Candara"/>
          <w:color w:val="000000" w:themeColor="text1"/>
          <w:sz w:val="20"/>
          <w:szCs w:val="20"/>
        </w:rPr>
        <w:t>.</w:t>
      </w:r>
    </w:p>
  </w:footnote>
  <w:footnote w:id="3">
    <w:p w14:paraId="22B6F4D2" w14:textId="6AEA9F81" w:rsidR="00BA0D03" w:rsidRDefault="00BA0D03" w:rsidP="00FB0014">
      <w:pPr>
        <w:pStyle w:val="Textodenotaderodap"/>
        <w:jc w:val="both"/>
      </w:pPr>
      <w:r w:rsidRPr="00FB0014">
        <w:rPr>
          <w:rStyle w:val="Refdenotaderodap"/>
          <w:rFonts w:ascii="Candara" w:hAnsi="Candara"/>
        </w:rPr>
        <w:footnoteRef/>
      </w:r>
      <w:r w:rsidRPr="00FB0014">
        <w:rPr>
          <w:rFonts w:ascii="Candara" w:hAnsi="Candara"/>
        </w:rPr>
        <w:t xml:space="preserve"> Docente</w:t>
      </w:r>
      <w:r w:rsidR="00FB0014" w:rsidRPr="00FB0014">
        <w:rPr>
          <w:rFonts w:ascii="Candara" w:hAnsi="Candara"/>
        </w:rPr>
        <w:t xml:space="preserve"> no Programa de Pós-Graduação em Desenvolvimento Regional e Agronegócio (PGDRA) </w:t>
      </w:r>
      <w:r w:rsidRPr="00FB0014">
        <w:rPr>
          <w:rFonts w:ascii="Candara" w:hAnsi="Candara"/>
        </w:rPr>
        <w:t>da Universidade Estadual do Oeste do Paraná – UNIOESTE, Toledo – Brasil.</w:t>
      </w:r>
      <w:r w:rsidR="00FB0014">
        <w:rPr>
          <w:rFonts w:ascii="Candara" w:hAnsi="Candara"/>
        </w:rPr>
        <w:t xml:space="preserve"> </w:t>
      </w:r>
      <w:r w:rsidR="00FB0014" w:rsidRPr="00FB0014">
        <w:rPr>
          <w:rFonts w:ascii="Candara" w:hAnsi="Candara" w:cs="Times New Roman"/>
          <w:bCs/>
        </w:rPr>
        <w:t>E-mail</w:t>
      </w:r>
      <w:r w:rsidR="00FB0014" w:rsidRPr="00FB0014">
        <w:rPr>
          <w:rFonts w:ascii="Candara" w:eastAsia="Candara" w:hAnsi="Candara" w:cs="Candara"/>
          <w:color w:val="000000" w:themeColor="text1"/>
        </w:rPr>
        <w:t xml:space="preserve">: </w:t>
      </w:r>
      <w:r w:rsidR="00FB0014" w:rsidRPr="00FB0014">
        <w:rPr>
          <w:rFonts w:ascii="Candara" w:hAnsi="Candara"/>
        </w:rPr>
        <w:t>mopiffer@yahoo.com.br</w:t>
      </w:r>
      <w:r w:rsidR="005917FE" w:rsidRPr="00FB0014">
        <w:rPr>
          <w:rFonts w:ascii="Candara" w:hAnsi="Candara"/>
        </w:rPr>
        <w:t>.</w:t>
      </w:r>
      <w:r w:rsidR="00FB0014">
        <w:rPr>
          <w:rFonts w:ascii="Candara" w:hAnsi="Candar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43FA1CA1"/>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469399194">
    <w:abstractNumId w:val="0"/>
  </w:num>
  <w:num w:numId="2" w16cid:durableId="709914348">
    <w:abstractNumId w:val="2"/>
  </w:num>
  <w:num w:numId="3" w16cid:durableId="100495177">
    <w:abstractNumId w:val="3"/>
  </w:num>
  <w:num w:numId="4" w16cid:durableId="1990488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0348E"/>
    <w:rsid w:val="0000473E"/>
    <w:rsid w:val="000111B4"/>
    <w:rsid w:val="00020878"/>
    <w:rsid w:val="000350CB"/>
    <w:rsid w:val="00052599"/>
    <w:rsid w:val="00072840"/>
    <w:rsid w:val="000806F1"/>
    <w:rsid w:val="00087033"/>
    <w:rsid w:val="00087CE1"/>
    <w:rsid w:val="00097223"/>
    <w:rsid w:val="00097C6D"/>
    <w:rsid w:val="000A5E2C"/>
    <w:rsid w:val="000C35AA"/>
    <w:rsid w:val="000C4292"/>
    <w:rsid w:val="000F408A"/>
    <w:rsid w:val="000F6A03"/>
    <w:rsid w:val="001002DC"/>
    <w:rsid w:val="0010625E"/>
    <w:rsid w:val="00106E8F"/>
    <w:rsid w:val="0011083C"/>
    <w:rsid w:val="00130412"/>
    <w:rsid w:val="00134EFA"/>
    <w:rsid w:val="00140AA2"/>
    <w:rsid w:val="00143248"/>
    <w:rsid w:val="001444E4"/>
    <w:rsid w:val="001739EE"/>
    <w:rsid w:val="001A1907"/>
    <w:rsid w:val="001B22BA"/>
    <w:rsid w:val="001B58AB"/>
    <w:rsid w:val="001F11DC"/>
    <w:rsid w:val="001F3B07"/>
    <w:rsid w:val="00205381"/>
    <w:rsid w:val="00207744"/>
    <w:rsid w:val="002077A3"/>
    <w:rsid w:val="00220ECE"/>
    <w:rsid w:val="00247F6E"/>
    <w:rsid w:val="002652C1"/>
    <w:rsid w:val="00265B07"/>
    <w:rsid w:val="002723DD"/>
    <w:rsid w:val="002A7B4A"/>
    <w:rsid w:val="002B780E"/>
    <w:rsid w:val="002D6EA1"/>
    <w:rsid w:val="00301A9C"/>
    <w:rsid w:val="00304A1F"/>
    <w:rsid w:val="00315E87"/>
    <w:rsid w:val="00325398"/>
    <w:rsid w:val="0037206E"/>
    <w:rsid w:val="00393F43"/>
    <w:rsid w:val="003A1A9B"/>
    <w:rsid w:val="003A5B7E"/>
    <w:rsid w:val="003B3C6C"/>
    <w:rsid w:val="003B3FD6"/>
    <w:rsid w:val="003B4621"/>
    <w:rsid w:val="003C650D"/>
    <w:rsid w:val="003D06F2"/>
    <w:rsid w:val="003E76FA"/>
    <w:rsid w:val="0040254C"/>
    <w:rsid w:val="00412D30"/>
    <w:rsid w:val="00444E2D"/>
    <w:rsid w:val="00494754"/>
    <w:rsid w:val="004B220B"/>
    <w:rsid w:val="004B25F2"/>
    <w:rsid w:val="004B6A16"/>
    <w:rsid w:val="004C3DF1"/>
    <w:rsid w:val="004E2163"/>
    <w:rsid w:val="004F3BD1"/>
    <w:rsid w:val="004F729B"/>
    <w:rsid w:val="005245F7"/>
    <w:rsid w:val="00533661"/>
    <w:rsid w:val="005420A8"/>
    <w:rsid w:val="00590FBF"/>
    <w:rsid w:val="005917FE"/>
    <w:rsid w:val="005953AE"/>
    <w:rsid w:val="005A4840"/>
    <w:rsid w:val="005B483D"/>
    <w:rsid w:val="00600CF7"/>
    <w:rsid w:val="00605AD2"/>
    <w:rsid w:val="006105CC"/>
    <w:rsid w:val="006163DA"/>
    <w:rsid w:val="00624DC3"/>
    <w:rsid w:val="00625956"/>
    <w:rsid w:val="006439AC"/>
    <w:rsid w:val="00654EAC"/>
    <w:rsid w:val="00660D88"/>
    <w:rsid w:val="00674CB0"/>
    <w:rsid w:val="006844EC"/>
    <w:rsid w:val="0069479B"/>
    <w:rsid w:val="00694DC1"/>
    <w:rsid w:val="006A18D2"/>
    <w:rsid w:val="006A52ED"/>
    <w:rsid w:val="006D2764"/>
    <w:rsid w:val="006E1C4D"/>
    <w:rsid w:val="006F0E72"/>
    <w:rsid w:val="00706907"/>
    <w:rsid w:val="00721ADE"/>
    <w:rsid w:val="0073012E"/>
    <w:rsid w:val="00757B58"/>
    <w:rsid w:val="007A1F2B"/>
    <w:rsid w:val="007B3E97"/>
    <w:rsid w:val="007C449E"/>
    <w:rsid w:val="007C4D94"/>
    <w:rsid w:val="007E5CFC"/>
    <w:rsid w:val="008240A3"/>
    <w:rsid w:val="00826896"/>
    <w:rsid w:val="00843023"/>
    <w:rsid w:val="0084753E"/>
    <w:rsid w:val="00885501"/>
    <w:rsid w:val="0089614E"/>
    <w:rsid w:val="008A09CA"/>
    <w:rsid w:val="008C34E3"/>
    <w:rsid w:val="008D1BDD"/>
    <w:rsid w:val="00904C7B"/>
    <w:rsid w:val="00923B13"/>
    <w:rsid w:val="00961C5B"/>
    <w:rsid w:val="00967F7A"/>
    <w:rsid w:val="009877ED"/>
    <w:rsid w:val="00993561"/>
    <w:rsid w:val="00997086"/>
    <w:rsid w:val="009B54F3"/>
    <w:rsid w:val="009B718B"/>
    <w:rsid w:val="009C2B1F"/>
    <w:rsid w:val="009D105D"/>
    <w:rsid w:val="009D3D79"/>
    <w:rsid w:val="009E1048"/>
    <w:rsid w:val="009E7AB8"/>
    <w:rsid w:val="00A23E2F"/>
    <w:rsid w:val="00A37CDA"/>
    <w:rsid w:val="00A4133C"/>
    <w:rsid w:val="00A44839"/>
    <w:rsid w:val="00A44AF7"/>
    <w:rsid w:val="00A55FDF"/>
    <w:rsid w:val="00A81C58"/>
    <w:rsid w:val="00A92AEE"/>
    <w:rsid w:val="00AB22CC"/>
    <w:rsid w:val="00AC1BED"/>
    <w:rsid w:val="00AE751C"/>
    <w:rsid w:val="00B068C1"/>
    <w:rsid w:val="00B259F1"/>
    <w:rsid w:val="00B30D81"/>
    <w:rsid w:val="00B74865"/>
    <w:rsid w:val="00B76476"/>
    <w:rsid w:val="00BA0D03"/>
    <w:rsid w:val="00BA4BDA"/>
    <w:rsid w:val="00BA576B"/>
    <w:rsid w:val="00BB69E7"/>
    <w:rsid w:val="00BD2290"/>
    <w:rsid w:val="00BE1B86"/>
    <w:rsid w:val="00BE34A6"/>
    <w:rsid w:val="00BF0B10"/>
    <w:rsid w:val="00BF694E"/>
    <w:rsid w:val="00C11EFE"/>
    <w:rsid w:val="00C17023"/>
    <w:rsid w:val="00C2579F"/>
    <w:rsid w:val="00C42C86"/>
    <w:rsid w:val="00C46373"/>
    <w:rsid w:val="00C47E66"/>
    <w:rsid w:val="00C52439"/>
    <w:rsid w:val="00C61271"/>
    <w:rsid w:val="00CB6579"/>
    <w:rsid w:val="00CC177A"/>
    <w:rsid w:val="00CD4024"/>
    <w:rsid w:val="00CE7EE5"/>
    <w:rsid w:val="00CE7F2A"/>
    <w:rsid w:val="00D201D7"/>
    <w:rsid w:val="00D23DD1"/>
    <w:rsid w:val="00D456D2"/>
    <w:rsid w:val="00D74BB4"/>
    <w:rsid w:val="00D82EFE"/>
    <w:rsid w:val="00DE3291"/>
    <w:rsid w:val="00E00688"/>
    <w:rsid w:val="00E010E1"/>
    <w:rsid w:val="00E07769"/>
    <w:rsid w:val="00E361D1"/>
    <w:rsid w:val="00E37054"/>
    <w:rsid w:val="00E4234E"/>
    <w:rsid w:val="00E606EC"/>
    <w:rsid w:val="00E81325"/>
    <w:rsid w:val="00E87553"/>
    <w:rsid w:val="00EA067A"/>
    <w:rsid w:val="00EA3F7B"/>
    <w:rsid w:val="00EE2858"/>
    <w:rsid w:val="00EE753F"/>
    <w:rsid w:val="00EF7761"/>
    <w:rsid w:val="00F057B3"/>
    <w:rsid w:val="00F13D52"/>
    <w:rsid w:val="00F36999"/>
    <w:rsid w:val="00F416DD"/>
    <w:rsid w:val="00F54AC1"/>
    <w:rsid w:val="00F551A6"/>
    <w:rsid w:val="00F7390B"/>
    <w:rsid w:val="00F90AB4"/>
    <w:rsid w:val="00F9267C"/>
    <w:rsid w:val="00F942A6"/>
    <w:rsid w:val="00F95962"/>
    <w:rsid w:val="00FB0014"/>
    <w:rsid w:val="00FC3AB8"/>
    <w:rsid w:val="00FE50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paragraph" w:styleId="Textodenotaderodap">
    <w:name w:val="footnote text"/>
    <w:basedOn w:val="Normal"/>
    <w:link w:val="TextodenotaderodapChar"/>
    <w:uiPriority w:val="99"/>
    <w:semiHidden/>
    <w:unhideWhenUsed/>
    <w:rsid w:val="00BA0D0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A0D03"/>
    <w:rPr>
      <w:sz w:val="20"/>
      <w:szCs w:val="20"/>
    </w:rPr>
  </w:style>
  <w:style w:type="character" w:styleId="Refdenotaderodap">
    <w:name w:val="footnote reference"/>
    <w:basedOn w:val="Fontepargpadro"/>
    <w:uiPriority w:val="99"/>
    <w:semiHidden/>
    <w:unhideWhenUsed/>
    <w:rsid w:val="00BA0D03"/>
    <w:rPr>
      <w:vertAlign w:val="superscript"/>
    </w:rPr>
  </w:style>
  <w:style w:type="character" w:styleId="Hyperlink">
    <w:name w:val="Hyperlink"/>
    <w:basedOn w:val="Fontepargpadro"/>
    <w:uiPriority w:val="99"/>
    <w:unhideWhenUsed/>
    <w:rsid w:val="00BA0D03"/>
    <w:rPr>
      <w:color w:val="0000FF" w:themeColor="hyperlink"/>
      <w:u w:val="single"/>
    </w:rPr>
  </w:style>
  <w:style w:type="character" w:styleId="MenoPendente">
    <w:name w:val="Unresolved Mention"/>
    <w:basedOn w:val="Fontepargpadro"/>
    <w:uiPriority w:val="99"/>
    <w:semiHidden/>
    <w:unhideWhenUsed/>
    <w:rsid w:val="00BA0D03"/>
    <w:rPr>
      <w:color w:val="605E5C"/>
      <w:shd w:val="clear" w:color="auto" w:fill="E1DFDD"/>
    </w:rPr>
  </w:style>
  <w:style w:type="character" w:styleId="Forte">
    <w:name w:val="Strong"/>
    <w:basedOn w:val="Fontepargpadro"/>
    <w:uiPriority w:val="22"/>
    <w:qFormat/>
    <w:rsid w:val="004B220B"/>
    <w:rPr>
      <w:b/>
      <w:bCs/>
    </w:rPr>
  </w:style>
  <w:style w:type="table" w:styleId="Tabelacomgrade">
    <w:name w:val="Table Grid"/>
    <w:basedOn w:val="Tabelanormal"/>
    <w:uiPriority w:val="39"/>
    <w:rsid w:val="00207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semiHidden/>
    <w:rsid w:val="002077A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5D645-D072-447C-B26E-461C95105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5301</Words>
  <Characters>28628</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ivan felipe kungel</cp:lastModifiedBy>
  <cp:revision>3</cp:revision>
  <dcterms:created xsi:type="dcterms:W3CDTF">2024-08-31T23:12:00Z</dcterms:created>
  <dcterms:modified xsi:type="dcterms:W3CDTF">2024-08-31T23:12:00Z</dcterms:modified>
</cp:coreProperties>
</file>