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A3885" w14:textId="77777777" w:rsidR="00B434C1" w:rsidRPr="00D76053" w:rsidRDefault="00B434C1" w:rsidP="00B434C1">
      <w:pPr>
        <w:jc w:val="center"/>
        <w:rPr>
          <w:b/>
          <w:bCs/>
          <w:sz w:val="24"/>
          <w:szCs w:val="24"/>
        </w:rPr>
      </w:pPr>
      <w:r w:rsidRPr="00D76053">
        <w:rPr>
          <w:b/>
          <w:bCs/>
          <w:sz w:val="24"/>
          <w:szCs w:val="24"/>
        </w:rPr>
        <w:t>NECESSIDADES EM SAÚDE DE REFUGIADOS INDÍGENAS WARAO: RECORTE SOBRE A VIOLÊNCIA MULTIDIMENSIONAL E O SOFRIMENTO PSÍQUICO</w:t>
      </w:r>
    </w:p>
    <w:p w14:paraId="70E7119E" w14:textId="77777777" w:rsidR="00B434C1" w:rsidRDefault="00B434C1" w:rsidP="00B434C1">
      <w:pPr>
        <w:jc w:val="both"/>
        <w:rPr>
          <w:b/>
          <w:bCs/>
        </w:rPr>
      </w:pPr>
    </w:p>
    <w:p w14:paraId="7CF3551E" w14:textId="0C2B2D30" w:rsidR="00B434C1" w:rsidRPr="00D76053" w:rsidRDefault="00B434C1" w:rsidP="00B434C1">
      <w:pPr>
        <w:jc w:val="both"/>
        <w:rPr>
          <w:rFonts w:ascii="Times New Roman" w:hAnsi="Times New Roman" w:cs="Times New Roman"/>
          <w:sz w:val="24"/>
          <w:szCs w:val="24"/>
        </w:rPr>
      </w:pPr>
      <w:r w:rsidRPr="00D76053">
        <w:rPr>
          <w:rFonts w:ascii="Times New Roman" w:hAnsi="Times New Roman" w:cs="Times New Roman"/>
          <w:b/>
          <w:bCs/>
          <w:sz w:val="24"/>
          <w:szCs w:val="24"/>
        </w:rPr>
        <w:t xml:space="preserve">INTRODUÇÃO: </w:t>
      </w:r>
      <w:r w:rsidRPr="00D76053">
        <w:rPr>
          <w:rFonts w:ascii="Times New Roman" w:hAnsi="Times New Roman" w:cs="Times New Roman"/>
          <w:sz w:val="24"/>
          <w:szCs w:val="24"/>
        </w:rPr>
        <w:t xml:space="preserve">A crise política e econômica na Venezuela, intensificada a partir de 2016, desencadeou um dos maiores fluxos migratórios da história recente da América Latina. Entre os grupos em deslocamento, destacam-se os indígenas da etnia Warao, originários do Delta do Rio Orinoco. Diferente da migração voluntária, o deslocamento Warao caracteriza-se como refúgio humanitário, um ato forçado por perseguições, violações de direitos humanos e a total falta de condições para a garantia da dignidade da vida. A chegada dos Warao em Belém, Pará, em abril de 2017, revelou uma realidade de extrema vulnerabilidade. Expulsos de seus territórios originais na década de 1970 pela expansão de indústrias petroleiras, o grupo perdeu sua soberania alimentar e bases de reprodução social. No cenário urbano de Belém, essa população enfrenta a intersecção de determinantes sociais adversos: precariedade habitacional, insegurança alimentar crônica e barreiras linguísticas severas. A problematização reside no fato de que o sistema de saúde brasileiro, embora universal, muitas vezes falha em acolher as especificidades culturais e as demandas invisíveis de populações refugiadas. A justificativa para este estudo na área da Enfermagem pauta-se na necessidade de compreender a saúde indígena para além do modelo biomédico, reconhecendo a violência multidimensional — física, sexual, institucional e simbólica — como um determinante central do processo saúde-doença e do sofrimento psíquico desse grupo. </w:t>
      </w:r>
      <w:r w:rsidRPr="00D76053">
        <w:rPr>
          <w:rFonts w:ascii="Times New Roman" w:hAnsi="Times New Roman" w:cs="Times New Roman"/>
          <w:b/>
          <w:bCs/>
          <w:sz w:val="24"/>
          <w:szCs w:val="24"/>
        </w:rPr>
        <w:t xml:space="preserve">OBJETIV: </w:t>
      </w:r>
      <w:r w:rsidRPr="00D76053">
        <w:rPr>
          <w:rFonts w:ascii="Times New Roman" w:hAnsi="Times New Roman" w:cs="Times New Roman"/>
          <w:sz w:val="24"/>
          <w:szCs w:val="24"/>
        </w:rPr>
        <w:t>Identificar necessidades em saúde dos refugiados indígenas da etnia Warao</w:t>
      </w:r>
      <w:r w:rsidR="0019712E" w:rsidRPr="00D76053">
        <w:rPr>
          <w:rFonts w:ascii="Times New Roman" w:hAnsi="Times New Roman" w:cs="Times New Roman"/>
          <w:sz w:val="24"/>
          <w:szCs w:val="24"/>
        </w:rPr>
        <w:t>.</w:t>
      </w:r>
      <w:r w:rsidRPr="00D76053">
        <w:rPr>
          <w:rFonts w:ascii="Times New Roman" w:hAnsi="Times New Roman" w:cs="Times New Roman"/>
          <w:sz w:val="24"/>
          <w:szCs w:val="24"/>
        </w:rPr>
        <w:t xml:space="preserve"> </w:t>
      </w:r>
      <w:r w:rsidRPr="00D76053">
        <w:rPr>
          <w:rFonts w:ascii="Times New Roman" w:hAnsi="Times New Roman" w:cs="Times New Roman"/>
          <w:b/>
          <w:bCs/>
          <w:sz w:val="24"/>
          <w:szCs w:val="24"/>
        </w:rPr>
        <w:t xml:space="preserve">MÉTODO: </w:t>
      </w:r>
      <w:r w:rsidRPr="00D76053">
        <w:rPr>
          <w:rFonts w:ascii="Times New Roman" w:hAnsi="Times New Roman" w:cs="Times New Roman"/>
          <w:sz w:val="24"/>
          <w:szCs w:val="24"/>
        </w:rPr>
        <w:t>Trata-se de uma pesquisa qualitativa, de natureza documental, constituindo-se como um recorte de uma tese de doutorado. A fonte primária foi a transcrição integral do documentário "</w:t>
      </w:r>
      <w:proofErr w:type="spellStart"/>
      <w:r w:rsidRPr="00D76053">
        <w:rPr>
          <w:rFonts w:ascii="Times New Roman" w:hAnsi="Times New Roman" w:cs="Times New Roman"/>
          <w:sz w:val="24"/>
          <w:szCs w:val="24"/>
        </w:rPr>
        <w:t>Janoko</w:t>
      </w:r>
      <w:proofErr w:type="spellEnd"/>
      <w:r w:rsidRPr="00D76053">
        <w:rPr>
          <w:rFonts w:ascii="Times New Roman" w:hAnsi="Times New Roman" w:cs="Times New Roman"/>
          <w:sz w:val="24"/>
          <w:szCs w:val="24"/>
        </w:rPr>
        <w:t xml:space="preserve"> Warao" (2024), produzido pelo PPGSP-UFPA em parceria com o Ministério Público do Pará. O material capta narrativas de dez falantes: oito refugiados Warao e dois técnicos da assistência social, identificados por códigos alfanuméricos (P1 a P11) para garantir a rastreabilidade analítica. O referencial teórico-analítico baseia-se na concepção de Necessidades em Saúde como necessidade de reprodução social de Mendes-Gonçalves , que compreende a saúde como resultado da inserção do indivíduo no modo de produção e na vida social. A análise de dados seguiu o rigor da Análise de Conteúdo Temática de Laurence Bardin , estruturada em três polos cronológicos:  1. </w:t>
      </w:r>
      <w:r w:rsidRPr="00D76053">
        <w:rPr>
          <w:rFonts w:ascii="Times New Roman" w:hAnsi="Times New Roman" w:cs="Times New Roman"/>
          <w:b/>
          <w:bCs/>
          <w:sz w:val="24"/>
          <w:szCs w:val="24"/>
        </w:rPr>
        <w:t>Pré-análise:</w:t>
      </w:r>
      <w:r w:rsidRPr="00D76053">
        <w:rPr>
          <w:rFonts w:ascii="Times New Roman" w:hAnsi="Times New Roman" w:cs="Times New Roman"/>
          <w:sz w:val="24"/>
          <w:szCs w:val="24"/>
        </w:rPr>
        <w:t xml:space="preserve"> Realização de leitura flutuante para apreensão global e formulação de hipóteses; 2. </w:t>
      </w:r>
      <w:r w:rsidRPr="00D76053">
        <w:rPr>
          <w:rFonts w:ascii="Times New Roman" w:hAnsi="Times New Roman" w:cs="Times New Roman"/>
          <w:b/>
          <w:bCs/>
          <w:sz w:val="24"/>
          <w:szCs w:val="24"/>
        </w:rPr>
        <w:t>Exploração do material:</w:t>
      </w:r>
      <w:r w:rsidRPr="00D76053">
        <w:rPr>
          <w:rFonts w:ascii="Times New Roman" w:hAnsi="Times New Roman" w:cs="Times New Roman"/>
          <w:sz w:val="24"/>
          <w:szCs w:val="24"/>
        </w:rPr>
        <w:t xml:space="preserve"> Operações de codificação para identificar Unidades de Registro (UR) e Unidades de Contexto (UC); 3. </w:t>
      </w:r>
      <w:r w:rsidRPr="00D76053">
        <w:rPr>
          <w:rFonts w:ascii="Times New Roman" w:hAnsi="Times New Roman" w:cs="Times New Roman"/>
          <w:b/>
          <w:bCs/>
          <w:sz w:val="24"/>
          <w:szCs w:val="24"/>
        </w:rPr>
        <w:t>Tratamento dos resultados:</w:t>
      </w:r>
      <w:r w:rsidRPr="00D76053">
        <w:rPr>
          <w:rFonts w:ascii="Times New Roman" w:hAnsi="Times New Roman" w:cs="Times New Roman"/>
          <w:sz w:val="24"/>
          <w:szCs w:val="24"/>
        </w:rPr>
        <w:t xml:space="preserve"> Processo de inferência e interpretação. A transcrição foi realizada pelo software </w:t>
      </w:r>
      <w:proofErr w:type="spellStart"/>
      <w:r w:rsidRPr="00D76053">
        <w:rPr>
          <w:rFonts w:ascii="Times New Roman" w:hAnsi="Times New Roman" w:cs="Times New Roman"/>
          <w:sz w:val="24"/>
          <w:szCs w:val="24"/>
        </w:rPr>
        <w:t>TurboScribe</w:t>
      </w:r>
      <w:proofErr w:type="spellEnd"/>
      <w:r w:rsidRPr="00D76053">
        <w:rPr>
          <w:rFonts w:ascii="Times New Roman" w:hAnsi="Times New Roman" w:cs="Times New Roman"/>
          <w:sz w:val="24"/>
          <w:szCs w:val="24"/>
        </w:rPr>
        <w:t xml:space="preserve">® e o </w:t>
      </w:r>
      <w:r w:rsidRPr="00D76053">
        <w:rPr>
          <w:rFonts w:ascii="Times New Roman" w:hAnsi="Times New Roman" w:cs="Times New Roman"/>
          <w:i/>
          <w:iCs/>
          <w:sz w:val="24"/>
          <w:szCs w:val="24"/>
        </w:rPr>
        <w:t>corpus</w:t>
      </w:r>
      <w:r w:rsidRPr="00D76053">
        <w:rPr>
          <w:rFonts w:ascii="Times New Roman" w:hAnsi="Times New Roman" w:cs="Times New Roman"/>
          <w:sz w:val="24"/>
          <w:szCs w:val="24"/>
        </w:rPr>
        <w:t xml:space="preserve"> foi validado pelos critérios de exaustividade, representatividade, homogeneidade e </w:t>
      </w:r>
      <w:r w:rsidRPr="00D76053">
        <w:rPr>
          <w:rFonts w:ascii="Times New Roman" w:hAnsi="Times New Roman" w:cs="Times New Roman"/>
          <w:sz w:val="24"/>
          <w:szCs w:val="24"/>
        </w:rPr>
        <w:lastRenderedPageBreak/>
        <w:t xml:space="preserve">pertinência.  </w:t>
      </w:r>
      <w:r w:rsidRPr="00D76053">
        <w:rPr>
          <w:rFonts w:ascii="Times New Roman" w:hAnsi="Times New Roman" w:cs="Times New Roman"/>
          <w:b/>
          <w:bCs/>
          <w:sz w:val="24"/>
          <w:szCs w:val="24"/>
        </w:rPr>
        <w:t xml:space="preserve">RESULTADOS E DISCUSSÃO: </w:t>
      </w:r>
      <w:r w:rsidRPr="00D76053">
        <w:rPr>
          <w:rFonts w:ascii="Times New Roman" w:hAnsi="Times New Roman" w:cs="Times New Roman"/>
          <w:sz w:val="24"/>
          <w:szCs w:val="24"/>
        </w:rPr>
        <w:t xml:space="preserve">A exploração do material permitiu a construção da categoria central: </w:t>
      </w:r>
      <w:r w:rsidRPr="00D76053">
        <w:rPr>
          <w:rFonts w:ascii="Times New Roman" w:hAnsi="Times New Roman" w:cs="Times New Roman"/>
          <w:b/>
          <w:bCs/>
          <w:sz w:val="24"/>
          <w:szCs w:val="24"/>
        </w:rPr>
        <w:t>"Necessidades em saúde mental: o trauma do refúgio e a violência multidimensional"</w:t>
      </w:r>
      <w:r w:rsidRPr="00D76053">
        <w:rPr>
          <w:rFonts w:ascii="Times New Roman" w:hAnsi="Times New Roman" w:cs="Times New Roman"/>
          <w:sz w:val="24"/>
          <w:szCs w:val="24"/>
        </w:rPr>
        <w:t xml:space="preserve">. De acordo com Mendes-Gonçalves, as necessidades de saúde não são naturais, mas criadas socialmente no processo de reprodução da vida. Para os Warao, essa reprodução foi interrompida pela ruptura territorial, gerando subcategorias de sofrimento detalhadas no quadro a seguir: </w:t>
      </w:r>
      <w:r w:rsidRPr="00D76053">
        <w:rPr>
          <w:rFonts w:ascii="Times New Roman" w:hAnsi="Times New Roman" w:cs="Times New Roman"/>
          <w:b/>
          <w:bCs/>
          <w:sz w:val="24"/>
          <w:szCs w:val="24"/>
        </w:rPr>
        <w:t xml:space="preserve">Subcategorias: </w:t>
      </w:r>
      <w:r w:rsidRPr="00FD2DD6">
        <w:rPr>
          <w:rFonts w:ascii="Times New Roman" w:hAnsi="Times New Roman" w:cs="Times New Roman"/>
          <w:sz w:val="24"/>
          <w:szCs w:val="24"/>
        </w:rPr>
        <w:t>Trauma da violência sexual e de gênero;</w:t>
      </w:r>
      <w:r w:rsidRPr="00D76053">
        <w:rPr>
          <w:rFonts w:ascii="Times New Roman" w:hAnsi="Times New Roman" w:cs="Times New Roman"/>
          <w:b/>
          <w:bCs/>
          <w:sz w:val="24"/>
          <w:szCs w:val="24"/>
        </w:rPr>
        <w:t xml:space="preserve">  Unidades de Registro (UR): </w:t>
      </w:r>
      <w:r w:rsidRPr="00D76053">
        <w:rPr>
          <w:rFonts w:ascii="Times New Roman" w:hAnsi="Times New Roman" w:cs="Times New Roman"/>
          <w:sz w:val="24"/>
          <w:szCs w:val="24"/>
        </w:rPr>
        <w:t xml:space="preserve">“violência sexual”, “abuso”, “mulher indígena”, “trauma”, “meninas”. </w:t>
      </w:r>
      <w:r w:rsidRPr="00D76053">
        <w:rPr>
          <w:rFonts w:ascii="Times New Roman" w:hAnsi="Times New Roman" w:cs="Times New Roman"/>
          <w:b/>
          <w:bCs/>
          <w:sz w:val="24"/>
          <w:szCs w:val="24"/>
        </w:rPr>
        <w:t xml:space="preserve">Evidências empíricas (UC): </w:t>
      </w:r>
      <w:r w:rsidRPr="00D76053">
        <w:rPr>
          <w:rFonts w:ascii="Times New Roman" w:hAnsi="Times New Roman" w:cs="Times New Roman"/>
          <w:sz w:val="24"/>
          <w:szCs w:val="24"/>
        </w:rPr>
        <w:t xml:space="preserve">“Conheci o que é violência sexual, abuso contra a mulher indígena, algo que nos assusta muito... vivemos um pouco de trauma” (P3). </w:t>
      </w:r>
      <w:r w:rsidRPr="00D76053">
        <w:rPr>
          <w:rFonts w:ascii="Times New Roman" w:hAnsi="Times New Roman" w:cs="Times New Roman"/>
          <w:b/>
          <w:bCs/>
          <w:sz w:val="24"/>
          <w:szCs w:val="24"/>
        </w:rPr>
        <w:t>Subcategorias</w:t>
      </w:r>
      <w:r w:rsidRPr="00FD2DD6">
        <w:rPr>
          <w:rFonts w:ascii="Times New Roman" w:hAnsi="Times New Roman" w:cs="Times New Roman"/>
          <w:sz w:val="24"/>
          <w:szCs w:val="24"/>
        </w:rPr>
        <w:t>: Xenofobia e humilhação social</w:t>
      </w:r>
      <w:r w:rsidRPr="00D76053">
        <w:rPr>
          <w:rFonts w:ascii="Times New Roman" w:hAnsi="Times New Roman" w:cs="Times New Roman"/>
          <w:b/>
          <w:bCs/>
          <w:sz w:val="24"/>
          <w:szCs w:val="24"/>
        </w:rPr>
        <w:t xml:space="preserve">; Unidades de Registro (UR): </w:t>
      </w:r>
      <w:r w:rsidRPr="00D76053">
        <w:rPr>
          <w:rFonts w:ascii="Times New Roman" w:hAnsi="Times New Roman" w:cs="Times New Roman"/>
          <w:sz w:val="24"/>
          <w:szCs w:val="24"/>
        </w:rPr>
        <w:t xml:space="preserve">“hostilizadas”, “xenofobia”, “insultos”, “malas </w:t>
      </w:r>
      <w:proofErr w:type="spellStart"/>
      <w:r w:rsidRPr="00D76053">
        <w:rPr>
          <w:rFonts w:ascii="Times New Roman" w:hAnsi="Times New Roman" w:cs="Times New Roman"/>
          <w:sz w:val="24"/>
          <w:szCs w:val="24"/>
        </w:rPr>
        <w:t>palabras</w:t>
      </w:r>
      <w:proofErr w:type="spellEnd"/>
      <w:r w:rsidRPr="00D76053">
        <w:rPr>
          <w:rFonts w:ascii="Times New Roman" w:hAnsi="Times New Roman" w:cs="Times New Roman"/>
          <w:sz w:val="24"/>
          <w:szCs w:val="24"/>
        </w:rPr>
        <w:t xml:space="preserve">”, “vergonha”. </w:t>
      </w:r>
      <w:r w:rsidRPr="00D76053">
        <w:rPr>
          <w:rFonts w:ascii="Times New Roman" w:hAnsi="Times New Roman" w:cs="Times New Roman"/>
          <w:b/>
          <w:bCs/>
          <w:sz w:val="24"/>
          <w:szCs w:val="24"/>
        </w:rPr>
        <w:t xml:space="preserve">Evidências Empíricas (UC): </w:t>
      </w:r>
      <w:r w:rsidRPr="00D76053">
        <w:rPr>
          <w:rFonts w:ascii="Times New Roman" w:hAnsi="Times New Roman" w:cs="Times New Roman"/>
          <w:sz w:val="24"/>
          <w:szCs w:val="24"/>
        </w:rPr>
        <w:t xml:space="preserve">“Estive pedindo dinheiro na rua e para muitos foi mal, ou seja, foi criticada, foi prejudicada, com malas palavras” (P2). </w:t>
      </w:r>
      <w:r w:rsidRPr="00D76053">
        <w:rPr>
          <w:rFonts w:ascii="Times New Roman" w:hAnsi="Times New Roman" w:cs="Times New Roman"/>
          <w:b/>
          <w:bCs/>
          <w:sz w:val="24"/>
          <w:szCs w:val="24"/>
        </w:rPr>
        <w:t xml:space="preserve">A Violência como eixo transversal: </w:t>
      </w:r>
      <w:r w:rsidRPr="00D76053">
        <w:rPr>
          <w:rFonts w:ascii="Times New Roman" w:hAnsi="Times New Roman" w:cs="Times New Roman"/>
          <w:sz w:val="24"/>
          <w:szCs w:val="24"/>
        </w:rPr>
        <w:t xml:space="preserve">A análise demonstra que a violência aparece como um eixo transversal que afeta a dignidade e a sobrevivência. </w:t>
      </w:r>
      <w:proofErr w:type="spellStart"/>
      <w:r w:rsidRPr="00D76053">
        <w:rPr>
          <w:rFonts w:ascii="Times New Roman" w:hAnsi="Times New Roman" w:cs="Times New Roman"/>
          <w:sz w:val="24"/>
          <w:szCs w:val="24"/>
        </w:rPr>
        <w:t>Gardenia</w:t>
      </w:r>
      <w:proofErr w:type="spellEnd"/>
      <w:r w:rsidRPr="00D76053">
        <w:rPr>
          <w:rFonts w:ascii="Times New Roman" w:hAnsi="Times New Roman" w:cs="Times New Roman"/>
          <w:sz w:val="24"/>
          <w:szCs w:val="24"/>
        </w:rPr>
        <w:t xml:space="preserve"> Warao (P3) denuncia a existência de abusos sexuais em abrigos e espaços públicos, revelando que a saúde mental das mulheres é comprometida por um estado de alerta constante em relação às filhas adolescentes. Esse quadro configura uma "ansiedade coletiva", onde a sensação de insegurança impede o desenvolvimento da vida cotidiana.  </w:t>
      </w:r>
      <w:r w:rsidRPr="00D76053">
        <w:rPr>
          <w:rFonts w:ascii="Times New Roman" w:hAnsi="Times New Roman" w:cs="Times New Roman"/>
          <w:b/>
          <w:bCs/>
          <w:sz w:val="24"/>
          <w:szCs w:val="24"/>
        </w:rPr>
        <w:t xml:space="preserve">Xenofobia e o estigma da "Coleta": </w:t>
      </w:r>
      <w:r w:rsidRPr="00D76053">
        <w:rPr>
          <w:rFonts w:ascii="Times New Roman" w:hAnsi="Times New Roman" w:cs="Times New Roman"/>
          <w:sz w:val="24"/>
          <w:szCs w:val="24"/>
        </w:rPr>
        <w:t xml:space="preserve">A interação com a sociedade urbana de Belém é frequentemente hostil. O ato da "coleta" de dinheiro nos sinais, ressignificado pelo técnico Paulo (P1) como uma transposição cultural da busca por frutos nas matas de origem, é interpretado pela população local como mendicância. Essa incompreensão gera xenofobia e insultos ("malas </w:t>
      </w:r>
      <w:proofErr w:type="spellStart"/>
      <w:r w:rsidRPr="00D76053">
        <w:rPr>
          <w:rFonts w:ascii="Times New Roman" w:hAnsi="Times New Roman" w:cs="Times New Roman"/>
          <w:sz w:val="24"/>
          <w:szCs w:val="24"/>
        </w:rPr>
        <w:t>palabras</w:t>
      </w:r>
      <w:proofErr w:type="spellEnd"/>
      <w:r w:rsidRPr="00D76053">
        <w:rPr>
          <w:rFonts w:ascii="Times New Roman" w:hAnsi="Times New Roman" w:cs="Times New Roman"/>
          <w:sz w:val="24"/>
          <w:szCs w:val="24"/>
        </w:rPr>
        <w:t xml:space="preserve">"), resultando em sentimentos de vergonha e desvalorização. Sob a ótica de Mendes-Gonçalves, essa hostilidade impede a reprodução social digna, amordaçando a agência política do indígena. </w:t>
      </w:r>
      <w:r w:rsidRPr="00D76053">
        <w:rPr>
          <w:rFonts w:ascii="Times New Roman" w:hAnsi="Times New Roman" w:cs="Times New Roman"/>
          <w:b/>
          <w:bCs/>
          <w:sz w:val="24"/>
          <w:szCs w:val="24"/>
        </w:rPr>
        <w:t xml:space="preserve">CONSIDERAÇÕES FINAIS: </w:t>
      </w:r>
      <w:r w:rsidRPr="00D76053">
        <w:rPr>
          <w:rFonts w:ascii="Times New Roman" w:hAnsi="Times New Roman" w:cs="Times New Roman"/>
          <w:sz w:val="24"/>
          <w:szCs w:val="24"/>
        </w:rPr>
        <w:t>A análise das narrativas revela que a saúde dos Warao em Belém é um sistema complexo de carências. Identificou-se que as necessidades em saúde mental são indissociáveis da violência de gênero e da xenofobia urbana. O sofrimento psíquico desse grupo não é apenas clínico, mas ético-político, derivado de uma política pública de exclusão que invisibiliza sua cultura e seu idioma. Conclui-se que o atendimento de enfermagem a essa população exige a superação da barreira da incomunicabilidade. É imperativo que os serviços de saúde reconheçam o "</w:t>
      </w:r>
      <w:proofErr w:type="spellStart"/>
      <w:r w:rsidRPr="00D76053">
        <w:rPr>
          <w:rFonts w:ascii="Times New Roman" w:hAnsi="Times New Roman" w:cs="Times New Roman"/>
          <w:sz w:val="24"/>
          <w:szCs w:val="24"/>
        </w:rPr>
        <w:t>Janoko</w:t>
      </w:r>
      <w:proofErr w:type="spellEnd"/>
      <w:r w:rsidRPr="00D76053">
        <w:rPr>
          <w:rFonts w:ascii="Times New Roman" w:hAnsi="Times New Roman" w:cs="Times New Roman"/>
          <w:sz w:val="24"/>
          <w:szCs w:val="24"/>
        </w:rPr>
        <w:t xml:space="preserve">" (a casa/lugar do Warao) e a "Coleta" como elementos estruturantes de sua identidade, promovendo um cuidado que acolha a subjetividade indígena e mitigue o trauma do refúgio. </w:t>
      </w:r>
      <w:r w:rsidRPr="00D76053">
        <w:rPr>
          <w:rFonts w:ascii="Times New Roman" w:hAnsi="Times New Roman" w:cs="Times New Roman"/>
          <w:b/>
          <w:bCs/>
          <w:sz w:val="24"/>
          <w:szCs w:val="24"/>
        </w:rPr>
        <w:t xml:space="preserve">CONTRIBUIÇÕES PARA A ENFERMAGEM: </w:t>
      </w:r>
      <w:r w:rsidRPr="00D76053">
        <w:rPr>
          <w:rFonts w:ascii="Times New Roman" w:hAnsi="Times New Roman" w:cs="Times New Roman"/>
          <w:sz w:val="24"/>
          <w:szCs w:val="24"/>
        </w:rPr>
        <w:t xml:space="preserve">Este estudo contribui para a Enfermagem ao fornecer evidências para a implementação do cuidado transcultural. Os impactos incluem: </w:t>
      </w:r>
      <w:r w:rsidRPr="00D76053">
        <w:rPr>
          <w:rFonts w:ascii="Times New Roman" w:hAnsi="Times New Roman" w:cs="Times New Roman"/>
          <w:b/>
          <w:bCs/>
          <w:sz w:val="24"/>
          <w:szCs w:val="24"/>
        </w:rPr>
        <w:t>qualificação da assistência:</w:t>
      </w:r>
      <w:r w:rsidRPr="00D76053">
        <w:rPr>
          <w:rFonts w:ascii="Times New Roman" w:hAnsi="Times New Roman" w:cs="Times New Roman"/>
          <w:sz w:val="24"/>
          <w:szCs w:val="24"/>
        </w:rPr>
        <w:t xml:space="preserve"> Orientar enfermeiros da Atenção Primária para a identificação de sinais de violência sexual e sofrimento mental em refugiados; h</w:t>
      </w:r>
      <w:r w:rsidRPr="00D76053">
        <w:rPr>
          <w:rFonts w:ascii="Times New Roman" w:hAnsi="Times New Roman" w:cs="Times New Roman"/>
          <w:b/>
          <w:bCs/>
          <w:sz w:val="24"/>
          <w:szCs w:val="24"/>
        </w:rPr>
        <w:t>umanização e mediação:</w:t>
      </w:r>
      <w:r w:rsidRPr="00D76053">
        <w:rPr>
          <w:rFonts w:ascii="Times New Roman" w:hAnsi="Times New Roman" w:cs="Times New Roman"/>
          <w:sz w:val="24"/>
          <w:szCs w:val="24"/>
        </w:rPr>
        <w:t xml:space="preserve"> Propor a inclusão de mediadores culturais </w:t>
      </w:r>
      <w:r w:rsidRPr="00D76053">
        <w:rPr>
          <w:rFonts w:ascii="Times New Roman" w:hAnsi="Times New Roman" w:cs="Times New Roman"/>
          <w:sz w:val="24"/>
          <w:szCs w:val="24"/>
        </w:rPr>
        <w:lastRenderedPageBreak/>
        <w:t>indígenas e protocolos de anamnese bilíngue para reduzir o medo institucional e o risco de diagnósticos equivocados; e</w:t>
      </w:r>
      <w:r w:rsidRPr="00D76053">
        <w:rPr>
          <w:rFonts w:ascii="Times New Roman" w:hAnsi="Times New Roman" w:cs="Times New Roman"/>
          <w:b/>
          <w:bCs/>
          <w:sz w:val="24"/>
          <w:szCs w:val="24"/>
        </w:rPr>
        <w:t>ducação permanente:</w:t>
      </w:r>
      <w:r w:rsidRPr="00D76053">
        <w:rPr>
          <w:rFonts w:ascii="Times New Roman" w:hAnsi="Times New Roman" w:cs="Times New Roman"/>
          <w:sz w:val="24"/>
          <w:szCs w:val="24"/>
        </w:rPr>
        <w:t xml:space="preserve"> Fortalecer a formação de profissionais com competências culturais, essenciais para garantir a equidade e a integralidade do cuidado no SUS em contextos de alta complexidade migratória.</w:t>
      </w:r>
    </w:p>
    <w:p w14:paraId="1E1551A4" w14:textId="77777777" w:rsidR="00B434C1" w:rsidRPr="00D16CAA" w:rsidRDefault="00B434C1" w:rsidP="00B434C1">
      <w:pPr>
        <w:rPr>
          <w:b/>
          <w:bCs/>
        </w:rPr>
      </w:pPr>
      <w:r w:rsidRPr="00D16CAA">
        <w:rPr>
          <w:b/>
          <w:bCs/>
        </w:rPr>
        <w:t>REFERÊNCIAS</w:t>
      </w:r>
    </w:p>
    <w:p w14:paraId="32E9D03A" w14:textId="77777777" w:rsidR="00B434C1" w:rsidRPr="00D16CAA" w:rsidRDefault="00B434C1" w:rsidP="00B434C1">
      <w:pPr>
        <w:numPr>
          <w:ilvl w:val="0"/>
          <w:numId w:val="1"/>
        </w:numPr>
      </w:pPr>
      <w:r w:rsidRPr="00D16CAA">
        <w:t>Brasil. Ministério da Justiça e Segurança Pública. Comitê Nacional para os Refugiados (CONARE). Dados sobre refúgio no Brasil. Brasília; 2024.</w:t>
      </w:r>
    </w:p>
    <w:p w14:paraId="4EE61E21" w14:textId="77777777" w:rsidR="00B434C1" w:rsidRPr="00D16CAA" w:rsidRDefault="00B434C1" w:rsidP="00B434C1">
      <w:pPr>
        <w:numPr>
          <w:ilvl w:val="0"/>
          <w:numId w:val="1"/>
        </w:numPr>
      </w:pPr>
      <w:r w:rsidRPr="00D16CAA">
        <w:t>UNHCR. Agência da ONU para Refugiados. Os Warao no Brasil: contribuições da antropologia para a proteção de indígenas refugiados e migrantes. Brasília: ACNUR; 2021.</w:t>
      </w:r>
    </w:p>
    <w:p w14:paraId="6D1EC8C1" w14:textId="77777777" w:rsidR="00B434C1" w:rsidRPr="00D16CAA" w:rsidRDefault="00B434C1" w:rsidP="00B434C1">
      <w:pPr>
        <w:numPr>
          <w:ilvl w:val="0"/>
          <w:numId w:val="1"/>
        </w:numPr>
      </w:pPr>
      <w:r w:rsidRPr="00D16CAA">
        <w:t>Rosa M, Tardelli G, Rosa M. A mobilidade Warao no Brasil e os modos de gestão de uma população em trânsito. Rio de Janeiro: E-</w:t>
      </w:r>
      <w:proofErr w:type="spellStart"/>
      <w:r w:rsidRPr="00D16CAA">
        <w:t>papers</w:t>
      </w:r>
      <w:proofErr w:type="spellEnd"/>
      <w:r w:rsidRPr="00D16CAA">
        <w:t>; 2024.</w:t>
      </w:r>
    </w:p>
    <w:p w14:paraId="51087C1D" w14:textId="77777777" w:rsidR="00B434C1" w:rsidRPr="00D16CAA" w:rsidRDefault="00B434C1" w:rsidP="00B434C1">
      <w:pPr>
        <w:numPr>
          <w:ilvl w:val="0"/>
          <w:numId w:val="1"/>
        </w:numPr>
      </w:pPr>
      <w:r w:rsidRPr="00D16CAA">
        <w:t xml:space="preserve">Lima AFS, Santos CEB, Alves NR, et al. Cuidados de Enfermagem ao povo Warao: um relato de experiência baseado na teoria transcultural. Rev </w:t>
      </w:r>
      <w:proofErr w:type="spellStart"/>
      <w:r w:rsidRPr="00D16CAA">
        <w:t>Esc</w:t>
      </w:r>
      <w:proofErr w:type="spellEnd"/>
      <w:r w:rsidRPr="00D16CAA">
        <w:t xml:space="preserve"> Enferm USP. 2023;57:e20230035.</w:t>
      </w:r>
    </w:p>
    <w:p w14:paraId="4D8E42DF" w14:textId="77777777" w:rsidR="00B434C1" w:rsidRPr="00D16CAA" w:rsidRDefault="00B434C1" w:rsidP="00B434C1">
      <w:pPr>
        <w:numPr>
          <w:ilvl w:val="0"/>
          <w:numId w:val="1"/>
        </w:numPr>
      </w:pPr>
      <w:r w:rsidRPr="00D16CAA">
        <w:t xml:space="preserve">Braga MD, et al. Saúde e vulnerabilidade dos indígenas Warao no contexto migratório para o Brasil. Rev </w:t>
      </w:r>
      <w:proofErr w:type="spellStart"/>
      <w:r w:rsidRPr="00D16CAA">
        <w:t>Saude</w:t>
      </w:r>
      <w:proofErr w:type="spellEnd"/>
      <w:r w:rsidRPr="00D16CAA">
        <w:t xml:space="preserve"> Publica. 2021;55:e233.</w:t>
      </w:r>
    </w:p>
    <w:p w14:paraId="65A832C9" w14:textId="77777777" w:rsidR="00B434C1" w:rsidRPr="00D16CAA" w:rsidRDefault="00B434C1" w:rsidP="00B434C1">
      <w:pPr>
        <w:numPr>
          <w:ilvl w:val="0"/>
          <w:numId w:val="1"/>
        </w:numPr>
      </w:pPr>
      <w:r w:rsidRPr="00D16CAA">
        <w:t xml:space="preserve">PPGSP-IFCH-UFPA. Documentário </w:t>
      </w:r>
      <w:proofErr w:type="spellStart"/>
      <w:r w:rsidRPr="00D16CAA">
        <w:t>Janoko</w:t>
      </w:r>
      <w:proofErr w:type="spellEnd"/>
      <w:r w:rsidRPr="00D16CAA">
        <w:t xml:space="preserve"> Warao. Belém: UFPA/MPPA; 2024. Disponível em: </w:t>
      </w:r>
      <w:hyperlink r:id="rId5" w:tgtFrame="_blank" w:history="1">
        <w:r w:rsidRPr="00D16CAA">
          <w:rPr>
            <w:rStyle w:val="Hyperlink"/>
          </w:rPr>
          <w:t>https://www.youtube.com/watch?v=vfE20LqWOaQ</w:t>
        </w:r>
      </w:hyperlink>
    </w:p>
    <w:p w14:paraId="00B137B1" w14:textId="77777777" w:rsidR="00B434C1" w:rsidRPr="00D16CAA" w:rsidRDefault="00B434C1" w:rsidP="00B434C1">
      <w:pPr>
        <w:numPr>
          <w:ilvl w:val="0"/>
          <w:numId w:val="1"/>
        </w:numPr>
      </w:pPr>
      <w:r w:rsidRPr="00D16CAA">
        <w:t>Mendes-Gonçalves RB. Práticas de saúde: processos de trabalho e necessidades. São Paulo: Secretaria Municipal da Saúde de São Paulo; 1992. (Cadernos CEFOR, 1).</w:t>
      </w:r>
    </w:p>
    <w:p w14:paraId="29B23FA5" w14:textId="77777777" w:rsidR="00B434C1" w:rsidRPr="00D16CAA" w:rsidRDefault="00B434C1" w:rsidP="00B434C1">
      <w:pPr>
        <w:numPr>
          <w:ilvl w:val="0"/>
          <w:numId w:val="1"/>
        </w:numPr>
      </w:pPr>
      <w:r w:rsidRPr="00D16CAA">
        <w:t>Bardin L. Análise de conteúdo. São Paulo: Edições 70; 2016.</w:t>
      </w:r>
    </w:p>
    <w:p w14:paraId="36405537" w14:textId="77777777" w:rsidR="00B434C1" w:rsidRPr="00D16CAA" w:rsidRDefault="00B434C1" w:rsidP="00B434C1">
      <w:pPr>
        <w:numPr>
          <w:ilvl w:val="0"/>
          <w:numId w:val="1"/>
        </w:numPr>
      </w:pPr>
      <w:proofErr w:type="spellStart"/>
      <w:r w:rsidRPr="00D16CAA">
        <w:t>Minayo</w:t>
      </w:r>
      <w:proofErr w:type="spellEnd"/>
      <w:r w:rsidRPr="00D16CAA">
        <w:t xml:space="preserve"> MCS. Análise qualitativa: teoria, passos e fidedignidade. Cien </w:t>
      </w:r>
      <w:proofErr w:type="spellStart"/>
      <w:r w:rsidRPr="00D16CAA">
        <w:t>Saude</w:t>
      </w:r>
      <w:proofErr w:type="spellEnd"/>
      <w:r w:rsidRPr="00D16CAA">
        <w:t xml:space="preserve"> Colet. 2012;17(3):621-6.</w:t>
      </w:r>
    </w:p>
    <w:p w14:paraId="5D11EDC4" w14:textId="77777777" w:rsidR="00B434C1" w:rsidRPr="00D16CAA" w:rsidRDefault="00B434C1" w:rsidP="00B434C1">
      <w:pPr>
        <w:numPr>
          <w:ilvl w:val="0"/>
          <w:numId w:val="1"/>
        </w:numPr>
      </w:pPr>
      <w:r w:rsidRPr="00D16CAA">
        <w:t xml:space="preserve">Dutra ML, Martins CP. Desafios na tessitura da Rede Socioinstitucional de acolhimento e cuidado às mulheres vítimas de violência. </w:t>
      </w:r>
      <w:proofErr w:type="spellStart"/>
      <w:r w:rsidRPr="00D16CAA">
        <w:t>Saude</w:t>
      </w:r>
      <w:proofErr w:type="spellEnd"/>
      <w:r w:rsidRPr="00D16CAA">
        <w:t xml:space="preserve"> Soc. 2023;32:e210825.</w:t>
      </w:r>
    </w:p>
    <w:p w14:paraId="13DB6501" w14:textId="77777777" w:rsidR="00B434C1" w:rsidRPr="00D16CAA" w:rsidRDefault="00B434C1" w:rsidP="00B434C1">
      <w:pPr>
        <w:numPr>
          <w:ilvl w:val="0"/>
          <w:numId w:val="1"/>
        </w:numPr>
      </w:pPr>
      <w:r w:rsidRPr="00D16CAA">
        <w:t xml:space="preserve">Leininger M, </w:t>
      </w:r>
      <w:proofErr w:type="spellStart"/>
      <w:r w:rsidRPr="00D16CAA">
        <w:t>McFarland</w:t>
      </w:r>
      <w:proofErr w:type="spellEnd"/>
      <w:r w:rsidRPr="00D16CAA">
        <w:t xml:space="preserve"> MR. Culture </w:t>
      </w:r>
      <w:proofErr w:type="spellStart"/>
      <w:r w:rsidRPr="00D16CAA">
        <w:t>care</w:t>
      </w:r>
      <w:proofErr w:type="spellEnd"/>
      <w:r w:rsidRPr="00D16CAA">
        <w:t xml:space="preserve"> </w:t>
      </w:r>
      <w:proofErr w:type="spellStart"/>
      <w:r w:rsidRPr="00D16CAA">
        <w:t>diversity</w:t>
      </w:r>
      <w:proofErr w:type="spellEnd"/>
      <w:r w:rsidRPr="00D16CAA">
        <w:t xml:space="preserve"> and </w:t>
      </w:r>
      <w:proofErr w:type="spellStart"/>
      <w:r w:rsidRPr="00D16CAA">
        <w:t>universality</w:t>
      </w:r>
      <w:proofErr w:type="spellEnd"/>
      <w:r w:rsidRPr="00D16CAA">
        <w:t xml:space="preserve">: a </w:t>
      </w:r>
      <w:proofErr w:type="spellStart"/>
      <w:r w:rsidRPr="00D16CAA">
        <w:t>worldwide</w:t>
      </w:r>
      <w:proofErr w:type="spellEnd"/>
      <w:r w:rsidRPr="00D16CAA">
        <w:t xml:space="preserve"> </w:t>
      </w:r>
      <w:proofErr w:type="spellStart"/>
      <w:r w:rsidRPr="00D16CAA">
        <w:t>nursing</w:t>
      </w:r>
      <w:proofErr w:type="spellEnd"/>
      <w:r w:rsidRPr="00D16CAA">
        <w:t xml:space="preserve"> </w:t>
      </w:r>
      <w:proofErr w:type="spellStart"/>
      <w:r w:rsidRPr="00D16CAA">
        <w:t>theory</w:t>
      </w:r>
      <w:proofErr w:type="spellEnd"/>
      <w:r w:rsidRPr="00D16CAA">
        <w:t xml:space="preserve">. 2nd ed. Boston: Jones and Bartlett </w:t>
      </w:r>
      <w:proofErr w:type="spellStart"/>
      <w:r w:rsidRPr="00D16CAA">
        <w:t>Publishers</w:t>
      </w:r>
      <w:proofErr w:type="spellEnd"/>
      <w:r w:rsidRPr="00D16CAA">
        <w:t>; 2006.</w:t>
      </w:r>
    </w:p>
    <w:p w14:paraId="62BE80F2" w14:textId="77777777" w:rsidR="00B434C1" w:rsidRDefault="00B434C1" w:rsidP="00B434C1"/>
    <w:p w14:paraId="7DC504DA" w14:textId="77777777" w:rsidR="00212EC8" w:rsidRDefault="00212EC8"/>
    <w:sectPr w:rsidR="00212EC8" w:rsidSect="00B434C1">
      <w:headerReference w:type="default" r:id="rId6"/>
      <w:footerReference w:type="default" r:id="rI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E279" w14:textId="77777777" w:rsidR="00B434C1" w:rsidRPr="007958B3" w:rsidRDefault="00B434C1" w:rsidP="007958B3">
    <w:pPr>
      <w:pStyle w:val="Rodap"/>
    </w:pPr>
    <w:r w:rsidRPr="007958B3">
      <w:rPr>
        <w:noProof/>
      </w:rPr>
      <w:drawing>
        <wp:inline distT="0" distB="0" distL="0" distR="0" wp14:anchorId="7C70BA6A" wp14:editId="0BAC807A">
          <wp:extent cx="5397905" cy="789559"/>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204012CD" w14:textId="77777777" w:rsidR="00B434C1" w:rsidRDefault="00B434C1">
    <w:pPr>
      <w:pStyle w:val="Rodap"/>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BCD9" w14:textId="77777777" w:rsidR="00B434C1" w:rsidRDefault="00B434C1">
    <w:pPr>
      <w:pStyle w:val="Cabealho"/>
    </w:pPr>
    <w:r w:rsidRPr="0068569C">
      <w:rPr>
        <w:noProof/>
      </w:rPr>
      <w:drawing>
        <wp:inline distT="0" distB="0" distL="0" distR="0" wp14:anchorId="70398F08" wp14:editId="6B311C84">
          <wp:extent cx="5397754"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77834"/>
    <w:multiLevelType w:val="multilevel"/>
    <w:tmpl w:val="4BE6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42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4C1"/>
    <w:rsid w:val="0019712E"/>
    <w:rsid w:val="00212EC8"/>
    <w:rsid w:val="002177C6"/>
    <w:rsid w:val="007436FB"/>
    <w:rsid w:val="009E21C7"/>
    <w:rsid w:val="00A26EB9"/>
    <w:rsid w:val="00B434C1"/>
    <w:rsid w:val="00D76053"/>
    <w:rsid w:val="00FD2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610F"/>
  <w15:chartTrackingRefBased/>
  <w15:docId w15:val="{3445A973-4418-4E7F-A015-EE3073BA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4C1"/>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B43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43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434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434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434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434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434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434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434C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434C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434C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434C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434C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434C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434C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434C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434C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434C1"/>
    <w:rPr>
      <w:rFonts w:eastAsiaTheme="majorEastAsia" w:cstheme="majorBidi"/>
      <w:color w:val="272727" w:themeColor="text1" w:themeTint="D8"/>
    </w:rPr>
  </w:style>
  <w:style w:type="paragraph" w:styleId="Ttulo">
    <w:name w:val="Title"/>
    <w:basedOn w:val="Normal"/>
    <w:next w:val="Normal"/>
    <w:link w:val="TtuloChar"/>
    <w:uiPriority w:val="10"/>
    <w:qFormat/>
    <w:rsid w:val="00B43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434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434C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434C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434C1"/>
    <w:pPr>
      <w:spacing w:before="160"/>
      <w:jc w:val="center"/>
    </w:pPr>
    <w:rPr>
      <w:i/>
      <w:iCs/>
      <w:color w:val="404040" w:themeColor="text1" w:themeTint="BF"/>
    </w:rPr>
  </w:style>
  <w:style w:type="character" w:customStyle="1" w:styleId="CitaoChar">
    <w:name w:val="Citação Char"/>
    <w:basedOn w:val="Fontepargpadro"/>
    <w:link w:val="Citao"/>
    <w:uiPriority w:val="29"/>
    <w:rsid w:val="00B434C1"/>
    <w:rPr>
      <w:i/>
      <w:iCs/>
      <w:color w:val="404040" w:themeColor="text1" w:themeTint="BF"/>
    </w:rPr>
  </w:style>
  <w:style w:type="paragraph" w:styleId="PargrafodaLista">
    <w:name w:val="List Paragraph"/>
    <w:basedOn w:val="Normal"/>
    <w:uiPriority w:val="34"/>
    <w:qFormat/>
    <w:rsid w:val="00B434C1"/>
    <w:pPr>
      <w:ind w:left="720"/>
      <w:contextualSpacing/>
    </w:pPr>
  </w:style>
  <w:style w:type="character" w:styleId="nfaseIntensa">
    <w:name w:val="Intense Emphasis"/>
    <w:basedOn w:val="Fontepargpadro"/>
    <w:uiPriority w:val="21"/>
    <w:qFormat/>
    <w:rsid w:val="00B434C1"/>
    <w:rPr>
      <w:i/>
      <w:iCs/>
      <w:color w:val="0F4761" w:themeColor="accent1" w:themeShade="BF"/>
    </w:rPr>
  </w:style>
  <w:style w:type="paragraph" w:styleId="CitaoIntensa">
    <w:name w:val="Intense Quote"/>
    <w:basedOn w:val="Normal"/>
    <w:next w:val="Normal"/>
    <w:link w:val="CitaoIntensaChar"/>
    <w:uiPriority w:val="30"/>
    <w:qFormat/>
    <w:rsid w:val="00B43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434C1"/>
    <w:rPr>
      <w:i/>
      <w:iCs/>
      <w:color w:val="0F4761" w:themeColor="accent1" w:themeShade="BF"/>
    </w:rPr>
  </w:style>
  <w:style w:type="character" w:styleId="RefernciaIntensa">
    <w:name w:val="Intense Reference"/>
    <w:basedOn w:val="Fontepargpadro"/>
    <w:uiPriority w:val="32"/>
    <w:qFormat/>
    <w:rsid w:val="00B434C1"/>
    <w:rPr>
      <w:b/>
      <w:bCs/>
      <w:smallCaps/>
      <w:color w:val="0F4761" w:themeColor="accent1" w:themeShade="BF"/>
      <w:spacing w:val="5"/>
    </w:rPr>
  </w:style>
  <w:style w:type="paragraph" w:styleId="Cabealho">
    <w:name w:val="header"/>
    <w:basedOn w:val="Normal"/>
    <w:link w:val="CabealhoChar"/>
    <w:uiPriority w:val="99"/>
    <w:unhideWhenUsed/>
    <w:rsid w:val="00B434C1"/>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B434C1"/>
    <w:rPr>
      <w:rFonts w:eastAsiaTheme="minorEastAsia"/>
      <w:kern w:val="0"/>
      <w:sz w:val="20"/>
      <w:szCs w:val="20"/>
      <w:lang w:eastAsia="pt-BR"/>
      <w14:ligatures w14:val="none"/>
    </w:rPr>
  </w:style>
  <w:style w:type="paragraph" w:styleId="Rodap">
    <w:name w:val="footer"/>
    <w:basedOn w:val="Normal"/>
    <w:link w:val="RodapChar"/>
    <w:uiPriority w:val="99"/>
    <w:unhideWhenUsed/>
    <w:rsid w:val="00B434C1"/>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B434C1"/>
    <w:rPr>
      <w:rFonts w:eastAsiaTheme="minorEastAsia"/>
      <w:kern w:val="0"/>
      <w:sz w:val="20"/>
      <w:szCs w:val="20"/>
      <w:lang w:eastAsia="pt-BR"/>
      <w14:ligatures w14:val="none"/>
    </w:rPr>
  </w:style>
  <w:style w:type="character" w:styleId="Hyperlink">
    <w:name w:val="Hyperlink"/>
    <w:basedOn w:val="Fontepargpadro"/>
    <w:uiPriority w:val="99"/>
    <w:unhideWhenUsed/>
    <w:rsid w:val="00B434C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www.youtube.com/watch?v=vfE20LqWOaQ"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1274</Words>
  <Characters>6882</Characters>
  <Application>Microsoft Office Word</Application>
  <DocSecurity>0</DocSecurity>
  <Lines>57</Lines>
  <Paragraphs>16</Paragraphs>
  <ScaleCrop>false</ScaleCrop>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William Borges</cp:lastModifiedBy>
  <cp:revision>5</cp:revision>
  <dcterms:created xsi:type="dcterms:W3CDTF">2026-05-07T02:38:00Z</dcterms:created>
  <dcterms:modified xsi:type="dcterms:W3CDTF">2026-05-07T02:42:00Z</dcterms:modified>
</cp:coreProperties>
</file>