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01F63" w14:textId="0DFC364C" w:rsidR="00505769" w:rsidRPr="009C58DC" w:rsidRDefault="001E116F" w:rsidP="0061247A">
      <w:pPr>
        <w:pStyle w:val="Ttulo1"/>
        <w:spacing w:line="360" w:lineRule="auto"/>
        <w:ind w:left="2193" w:hanging="2175"/>
        <w:rPr>
          <w:b w:val="0"/>
          <w:bCs w:val="0"/>
        </w:rPr>
      </w:pPr>
      <w:r>
        <w:t>Capacidade</w:t>
      </w:r>
      <w:r>
        <w:rPr>
          <w:spacing w:val="-4"/>
        </w:rPr>
        <w:t xml:space="preserve"> </w:t>
      </w:r>
      <w:r>
        <w:t>intrínseca</w:t>
      </w:r>
      <w:r>
        <w:rPr>
          <w:spacing w:val="-3"/>
        </w:rPr>
        <w:t xml:space="preserve"> </w:t>
      </w:r>
      <w:r>
        <w:t>da</w:t>
      </w:r>
      <w:r>
        <w:rPr>
          <w:spacing w:val="-3"/>
        </w:rPr>
        <w:t xml:space="preserve"> </w:t>
      </w:r>
      <w:r>
        <w:t>pessoa</w:t>
      </w:r>
      <w:r>
        <w:rPr>
          <w:spacing w:val="-3"/>
        </w:rPr>
        <w:t xml:space="preserve"> </w:t>
      </w:r>
      <w:r>
        <w:t>idosa</w:t>
      </w:r>
      <w:r w:rsidRPr="009C58DC">
        <w:rPr>
          <w:b w:val="0"/>
          <w:bCs w:val="0"/>
        </w:rPr>
        <w:t>:</w:t>
      </w:r>
      <w:r w:rsidRPr="009C58DC">
        <w:rPr>
          <w:b w:val="0"/>
          <w:bCs w:val="0"/>
          <w:spacing w:val="-3"/>
        </w:rPr>
        <w:t xml:space="preserve"> </w:t>
      </w:r>
      <w:r w:rsidR="009C58DC">
        <w:rPr>
          <w:b w:val="0"/>
          <w:bCs w:val="0"/>
        </w:rPr>
        <w:t>O</w:t>
      </w:r>
      <w:r w:rsidRPr="009C58DC">
        <w:rPr>
          <w:b w:val="0"/>
          <w:bCs w:val="0"/>
          <w:spacing w:val="-3"/>
        </w:rPr>
        <w:t xml:space="preserve"> </w:t>
      </w:r>
      <w:r w:rsidRPr="009C58DC">
        <w:rPr>
          <w:b w:val="0"/>
          <w:bCs w:val="0"/>
        </w:rPr>
        <w:t>papel</w:t>
      </w:r>
      <w:r w:rsidRPr="009C58DC">
        <w:rPr>
          <w:b w:val="0"/>
          <w:bCs w:val="0"/>
          <w:spacing w:val="-3"/>
        </w:rPr>
        <w:t xml:space="preserve"> </w:t>
      </w:r>
      <w:r w:rsidRPr="009C58DC">
        <w:rPr>
          <w:b w:val="0"/>
          <w:bCs w:val="0"/>
        </w:rPr>
        <w:t>da</w:t>
      </w:r>
      <w:r w:rsidRPr="009C58DC">
        <w:rPr>
          <w:b w:val="0"/>
          <w:bCs w:val="0"/>
          <w:spacing w:val="-3"/>
        </w:rPr>
        <w:t xml:space="preserve"> </w:t>
      </w:r>
      <w:r w:rsidRPr="009C58DC">
        <w:rPr>
          <w:b w:val="0"/>
          <w:bCs w:val="0"/>
        </w:rPr>
        <w:t>Fisioterapia</w:t>
      </w:r>
      <w:r w:rsidRPr="009C58DC">
        <w:rPr>
          <w:b w:val="0"/>
          <w:bCs w:val="0"/>
          <w:spacing w:val="-3"/>
        </w:rPr>
        <w:t xml:space="preserve"> </w:t>
      </w:r>
      <w:r w:rsidRPr="009C58DC">
        <w:rPr>
          <w:b w:val="0"/>
          <w:bCs w:val="0"/>
        </w:rPr>
        <w:t>na</w:t>
      </w:r>
      <w:r w:rsidRPr="009C58DC">
        <w:rPr>
          <w:b w:val="0"/>
          <w:bCs w:val="0"/>
          <w:spacing w:val="-3"/>
        </w:rPr>
        <w:t xml:space="preserve"> </w:t>
      </w:r>
      <w:r w:rsidRPr="009C58DC">
        <w:rPr>
          <w:b w:val="0"/>
          <w:bCs w:val="0"/>
        </w:rPr>
        <w:t>identificação</w:t>
      </w:r>
      <w:r w:rsidRPr="009C58DC">
        <w:rPr>
          <w:b w:val="0"/>
          <w:bCs w:val="0"/>
          <w:spacing w:val="-3"/>
        </w:rPr>
        <w:t xml:space="preserve"> </w:t>
      </w:r>
      <w:r w:rsidRPr="009C58DC">
        <w:rPr>
          <w:b w:val="0"/>
          <w:bCs w:val="0"/>
        </w:rPr>
        <w:t>precoce</w:t>
      </w:r>
      <w:r w:rsidRPr="009C58DC">
        <w:rPr>
          <w:b w:val="0"/>
          <w:bCs w:val="0"/>
          <w:spacing w:val="-4"/>
        </w:rPr>
        <w:t xml:space="preserve"> </w:t>
      </w:r>
      <w:r w:rsidRPr="009C58DC">
        <w:rPr>
          <w:b w:val="0"/>
          <w:bCs w:val="0"/>
        </w:rPr>
        <w:t>do declínio funcional na Atenção Primária à Saúde</w:t>
      </w:r>
    </w:p>
    <w:p w14:paraId="3390CC4B" w14:textId="77777777" w:rsidR="00505769" w:rsidRDefault="00505769" w:rsidP="0061247A">
      <w:pPr>
        <w:pStyle w:val="Corpodetexto"/>
        <w:ind w:left="0"/>
        <w:rPr>
          <w:b/>
        </w:rPr>
      </w:pPr>
    </w:p>
    <w:p w14:paraId="4DD65EA5" w14:textId="0F284EDF" w:rsidR="008C592A" w:rsidRDefault="001E116F" w:rsidP="0061247A">
      <w:pPr>
        <w:pStyle w:val="Corpodetexto"/>
        <w:ind w:right="135"/>
        <w:jc w:val="right"/>
      </w:pPr>
      <w:r>
        <w:t>Andressa</w:t>
      </w:r>
      <w:r w:rsidR="008C592A">
        <w:rPr>
          <w:spacing w:val="-14"/>
        </w:rPr>
        <w:t xml:space="preserve"> </w:t>
      </w:r>
      <w:r>
        <w:t>Almei</w:t>
      </w:r>
      <w:r w:rsidR="008C592A">
        <w:t>da</w:t>
      </w:r>
      <w:r w:rsidR="00F05755">
        <w:t xml:space="preserve"> </w:t>
      </w:r>
      <w:r>
        <w:t>Moreira</w:t>
      </w:r>
      <w:hyperlink w:anchor="_bookmark0" w:history="1">
        <w:r>
          <w:rPr>
            <w:vertAlign w:val="superscript"/>
          </w:rPr>
          <w:t>1</w:t>
        </w:r>
      </w:hyperlink>
    </w:p>
    <w:p w14:paraId="1D7A02A4" w14:textId="77777777" w:rsidR="00F05755" w:rsidRDefault="001E116F" w:rsidP="0061247A">
      <w:pPr>
        <w:pStyle w:val="Corpodetexto"/>
        <w:ind w:right="135"/>
        <w:jc w:val="right"/>
      </w:pPr>
      <w:r>
        <w:t>Emilly Vitória Carvalho Melo</w:t>
      </w:r>
      <w:r>
        <w:rPr>
          <w:vertAlign w:val="superscript"/>
        </w:rPr>
        <w:t>1</w:t>
      </w:r>
    </w:p>
    <w:p w14:paraId="3E43E167" w14:textId="30C8ABF7" w:rsidR="00505769" w:rsidRDefault="001E116F" w:rsidP="0061247A">
      <w:pPr>
        <w:pStyle w:val="Corpodetexto"/>
        <w:ind w:right="135"/>
        <w:jc w:val="right"/>
      </w:pPr>
      <w:r>
        <w:t>Francisca</w:t>
      </w:r>
      <w:r>
        <w:rPr>
          <w:spacing w:val="-3"/>
        </w:rPr>
        <w:t xml:space="preserve"> </w:t>
      </w:r>
      <w:r>
        <w:t>Yasmim</w:t>
      </w:r>
      <w:r>
        <w:rPr>
          <w:spacing w:val="-1"/>
        </w:rPr>
        <w:t xml:space="preserve"> </w:t>
      </w:r>
      <w:r>
        <w:t>Amorim</w:t>
      </w:r>
      <w:r>
        <w:rPr>
          <w:spacing w:val="-1"/>
        </w:rPr>
        <w:t xml:space="preserve"> </w:t>
      </w:r>
      <w:r>
        <w:t>dos</w:t>
      </w:r>
      <w:r>
        <w:rPr>
          <w:spacing w:val="-2"/>
        </w:rPr>
        <w:t xml:space="preserve"> Santos</w:t>
      </w:r>
      <w:r>
        <w:rPr>
          <w:spacing w:val="-2"/>
          <w:vertAlign w:val="superscript"/>
        </w:rPr>
        <w:t>1</w:t>
      </w:r>
    </w:p>
    <w:p w14:paraId="394926A7" w14:textId="77777777" w:rsidR="00F05755" w:rsidRDefault="001E116F" w:rsidP="0061247A">
      <w:pPr>
        <w:pStyle w:val="Corpodetexto"/>
        <w:ind w:right="135"/>
        <w:jc w:val="right"/>
      </w:pPr>
      <w:r>
        <w:t>Riquelme</w:t>
      </w:r>
      <w:r>
        <w:rPr>
          <w:spacing w:val="-15"/>
        </w:rPr>
        <w:t xml:space="preserve"> </w:t>
      </w:r>
      <w:r>
        <w:t>Costa</w:t>
      </w:r>
      <w:r>
        <w:rPr>
          <w:spacing w:val="-15"/>
        </w:rPr>
        <w:t xml:space="preserve"> </w:t>
      </w:r>
      <w:r>
        <w:t>Verçosa</w:t>
      </w:r>
      <w:r>
        <w:rPr>
          <w:vertAlign w:val="superscript"/>
        </w:rPr>
        <w:t>1</w:t>
      </w:r>
      <w:r>
        <w:t xml:space="preserve"> </w:t>
      </w:r>
    </w:p>
    <w:p w14:paraId="4D2AFF37" w14:textId="5D5C6503" w:rsidR="00505769" w:rsidRDefault="001E116F" w:rsidP="0061247A">
      <w:pPr>
        <w:pStyle w:val="Corpodetexto"/>
        <w:ind w:right="135"/>
        <w:jc w:val="right"/>
      </w:pPr>
      <w:r>
        <w:t>Guilherme Antônio</w:t>
      </w:r>
      <w:r>
        <w:rPr>
          <w:spacing w:val="-1"/>
        </w:rPr>
        <w:t xml:space="preserve"> </w:t>
      </w:r>
      <w:r>
        <w:t>Lopes</w:t>
      </w:r>
      <w:r>
        <w:rPr>
          <w:spacing w:val="-2"/>
        </w:rPr>
        <w:t xml:space="preserve"> </w:t>
      </w:r>
      <w:r>
        <w:t>de</w:t>
      </w:r>
      <w:r>
        <w:rPr>
          <w:spacing w:val="-2"/>
        </w:rPr>
        <w:t xml:space="preserve"> Oliveir</w:t>
      </w:r>
      <w:r w:rsidR="006B0EFC">
        <w:rPr>
          <w:spacing w:val="-2"/>
        </w:rPr>
        <w:t>a</w:t>
      </w:r>
      <w:r w:rsidR="00300190" w:rsidRPr="00300190">
        <w:rPr>
          <w:spacing w:val="-2"/>
          <w:vertAlign w:val="superscript"/>
        </w:rPr>
        <w:t>2</w:t>
      </w:r>
    </w:p>
    <w:p w14:paraId="6E4C7D90" w14:textId="77777777" w:rsidR="00F05755" w:rsidRDefault="00F05755" w:rsidP="0061247A">
      <w:pPr>
        <w:pStyle w:val="Corpodetexto"/>
        <w:ind w:left="0"/>
      </w:pPr>
    </w:p>
    <w:p w14:paraId="279E4EF9" w14:textId="77777777" w:rsidR="00505769" w:rsidRDefault="001E116F" w:rsidP="0061247A">
      <w:pPr>
        <w:pStyle w:val="Ttulo1"/>
        <w:ind w:left="142" w:firstLine="0"/>
        <w:jc w:val="center"/>
        <w:rPr>
          <w:spacing w:val="-2"/>
        </w:rPr>
      </w:pPr>
      <w:r>
        <w:rPr>
          <w:spacing w:val="-2"/>
        </w:rPr>
        <w:t>RESUMO</w:t>
      </w:r>
    </w:p>
    <w:p w14:paraId="6A874ABC" w14:textId="77777777" w:rsidR="00F05755" w:rsidRDefault="00F05755" w:rsidP="0061247A">
      <w:pPr>
        <w:pStyle w:val="Ttulo1"/>
        <w:ind w:left="142" w:firstLine="0"/>
        <w:jc w:val="center"/>
      </w:pPr>
    </w:p>
    <w:p w14:paraId="5418A6FA" w14:textId="643A853E" w:rsidR="00505769" w:rsidRDefault="00741A99" w:rsidP="00AD323E">
      <w:pPr>
        <w:pStyle w:val="Corpodetexto"/>
        <w:ind w:left="0"/>
        <w:jc w:val="both"/>
        <w:rPr>
          <w:iCs/>
          <w:szCs w:val="22"/>
        </w:rPr>
      </w:pPr>
      <w:r w:rsidRPr="00741A99">
        <w:rPr>
          <w:iCs/>
          <w:szCs w:val="22"/>
        </w:rPr>
        <w:t>O envelhecimento populacional amplia a necessidade de ações voltadas à preservação da funcionalidade e autonomia da pessoa idosa. Este estudo objetivou analisar as contribuições da Fisioterapia para a identificação precoce do declínio e preservação da capacidade intrínseca na Atenção Primária à Saúde. Trata-se de uma revisão narrativa da literatura, realizada no Google Acadêmico, com publicações entre 2021 e 2026, sendo selecionados sete artigos científicos. Os resultados foram organizados em três categorias: capacidade intrínseca e funcionalidade; avaliação multidimensional; e atuação fisioterapêutica na Atenção Primária. Os estudos evidenciaram a importância da mobilidade e do desempenho funcional, relacionados à fragilidade, dependência e vulnerabilidade, além da necessidade de avaliação multidimensional da pessoa idosa. Conclui-se que a Fisioterapia pode contribuir para a identificação precoce de alterações físico-funcionais, promoção da saúde e prevenção do declínio, favorecendo a preservação da mobilidade, funcionalidade e autonomia durante o envelhecimento.</w:t>
      </w:r>
    </w:p>
    <w:p w14:paraId="60EDB53E" w14:textId="77777777" w:rsidR="00741A99" w:rsidRDefault="001E116F" w:rsidP="0061247A">
      <w:pPr>
        <w:rPr>
          <w:sz w:val="24"/>
        </w:rPr>
      </w:pPr>
      <w:r>
        <w:rPr>
          <w:b/>
          <w:sz w:val="24"/>
        </w:rPr>
        <w:t>Palavras-chave:</w:t>
      </w:r>
      <w:r>
        <w:rPr>
          <w:b/>
          <w:spacing w:val="-5"/>
          <w:sz w:val="24"/>
        </w:rPr>
        <w:t xml:space="preserve"> </w:t>
      </w:r>
      <w:r w:rsidR="00741A99" w:rsidRPr="00741A99">
        <w:rPr>
          <w:sz w:val="24"/>
        </w:rPr>
        <w:t>Pessoa Idosa. Capacidade Intrínseca. Fisioterapia. Atenção Primária à Saúde. Funcionalidade.</w:t>
      </w:r>
    </w:p>
    <w:p w14:paraId="1BD0982F" w14:textId="56193741" w:rsidR="00F05755" w:rsidRPr="0061247A" w:rsidRDefault="00F05755" w:rsidP="0061247A">
      <w:pPr>
        <w:pStyle w:val="Corpodetexto"/>
        <w:ind w:left="0"/>
        <w:rPr>
          <w:sz w:val="20"/>
        </w:rPr>
      </w:pPr>
      <w:bookmarkStart w:id="0" w:name="_bookmark0"/>
      <w:bookmarkEnd w:id="0"/>
    </w:p>
    <w:p w14:paraId="6A696115" w14:textId="77777777" w:rsidR="008C592A" w:rsidRPr="008C592A" w:rsidRDefault="008C592A" w:rsidP="0061247A">
      <w:pPr>
        <w:pStyle w:val="Corpodetexto"/>
        <w:spacing w:line="360" w:lineRule="auto"/>
        <w:ind w:left="284" w:hanging="284"/>
        <w:rPr>
          <w:b/>
          <w:bCs/>
          <w:lang w:val="pt-BR"/>
        </w:rPr>
      </w:pPr>
      <w:r w:rsidRPr="008C592A">
        <w:rPr>
          <w:b/>
          <w:bCs/>
          <w:lang w:val="pt-BR"/>
        </w:rPr>
        <w:t>1 INTRODUÇÃO</w:t>
      </w:r>
    </w:p>
    <w:p w14:paraId="5202E2EA" w14:textId="1859A9D7" w:rsidR="0061247A" w:rsidRDefault="008C592A" w:rsidP="00594BA4">
      <w:pPr>
        <w:pStyle w:val="Corpodetexto"/>
        <w:spacing w:line="360" w:lineRule="auto"/>
        <w:ind w:left="284" w:firstLine="436"/>
        <w:jc w:val="both"/>
        <w:rPr>
          <w:sz w:val="20"/>
          <w:vertAlign w:val="superscript"/>
        </w:rPr>
      </w:pPr>
      <w:r w:rsidRPr="008C592A">
        <w:rPr>
          <w:lang w:val="pt-BR"/>
        </w:rPr>
        <w:t>O envelhecimento populacional constitui uma das principais transformações demográficas atuais e amplia a necessidade de cuidados que ultrapassem o controle de doenças crônicas. Viver mais não significa necessariamente envelhecer com saúde, independência e qualidade de vida, pois a longevidade pode ser acompanhada por limitações funcionais. Assim, o envelhecimento saudável deve considerar principalmente a preservação da autonomia e da funcionalidade ao longo dos anos vividos (G</w:t>
      </w:r>
      <w:r w:rsidR="0055114A">
        <w:rPr>
          <w:lang w:val="pt-BR"/>
        </w:rPr>
        <w:t>alvão</w:t>
      </w:r>
      <w:r w:rsidRPr="008C592A">
        <w:rPr>
          <w:lang w:val="pt-BR"/>
        </w:rPr>
        <w:t>; A</w:t>
      </w:r>
      <w:r w:rsidR="0055114A">
        <w:rPr>
          <w:lang w:val="pt-BR"/>
        </w:rPr>
        <w:t>la</w:t>
      </w:r>
      <w:r w:rsidRPr="008C592A">
        <w:rPr>
          <w:lang w:val="pt-BR"/>
        </w:rPr>
        <w:t>; B</w:t>
      </w:r>
      <w:r w:rsidR="0055114A">
        <w:rPr>
          <w:lang w:val="pt-BR"/>
        </w:rPr>
        <w:t>arbosa</w:t>
      </w:r>
      <w:r w:rsidRPr="008C592A">
        <w:rPr>
          <w:lang w:val="pt-BR"/>
        </w:rPr>
        <w:t>, 2026).</w:t>
      </w:r>
    </w:p>
    <w:p w14:paraId="1DEB6668" w14:textId="77777777" w:rsidR="0061247A" w:rsidRDefault="008C592A" w:rsidP="00594BA4">
      <w:pPr>
        <w:pStyle w:val="Corpodetexto"/>
        <w:spacing w:line="360" w:lineRule="auto"/>
        <w:ind w:left="284" w:firstLine="436"/>
        <w:jc w:val="both"/>
        <w:rPr>
          <w:lang w:val="pt-BR"/>
        </w:rPr>
      </w:pPr>
      <w:r w:rsidRPr="008C592A">
        <w:rPr>
          <w:lang w:val="pt-BR"/>
        </w:rPr>
        <w:t>Essa perspectiva modifica a compreensão da saúde da pessoa idosa, deslocando o cuidado centrado apenas nas doenças para aquilo que o indivíduo ainda consegue realizar em seu cotidiano. A funcionalidade assume papel importante nesse processo, pois suas alterações podem estar relacionadas à fragilidade, dependência e maior vulnerabilidade.</w:t>
      </w:r>
    </w:p>
    <w:p w14:paraId="2791A306" w14:textId="77777777" w:rsidR="0061247A" w:rsidRDefault="0061247A" w:rsidP="00594BA4">
      <w:pPr>
        <w:ind w:left="285"/>
        <w:jc w:val="both"/>
        <w:rPr>
          <w:sz w:val="20"/>
          <w:vertAlign w:val="superscript"/>
        </w:rPr>
      </w:pPr>
    </w:p>
    <w:p w14:paraId="28FADD81" w14:textId="77777777" w:rsidR="0061247A" w:rsidRDefault="0061247A" w:rsidP="00594BA4">
      <w:pPr>
        <w:ind w:left="285"/>
        <w:jc w:val="both"/>
        <w:rPr>
          <w:sz w:val="20"/>
          <w:vertAlign w:val="superscript"/>
        </w:rPr>
      </w:pPr>
    </w:p>
    <w:p w14:paraId="001539DB" w14:textId="77777777" w:rsidR="0061247A" w:rsidRDefault="0061247A" w:rsidP="00594BA4">
      <w:pPr>
        <w:ind w:left="285"/>
        <w:jc w:val="both"/>
        <w:rPr>
          <w:sz w:val="20"/>
          <w:vertAlign w:val="superscript"/>
        </w:rPr>
      </w:pPr>
    </w:p>
    <w:p w14:paraId="7BC44317" w14:textId="77777777" w:rsidR="0061247A" w:rsidRDefault="0061247A" w:rsidP="00594BA4">
      <w:pPr>
        <w:ind w:left="285"/>
        <w:jc w:val="both"/>
        <w:rPr>
          <w:sz w:val="20"/>
          <w:vertAlign w:val="superscript"/>
        </w:rPr>
      </w:pPr>
    </w:p>
    <w:p w14:paraId="70C8226B" w14:textId="77777777" w:rsidR="0061247A" w:rsidRDefault="0061247A" w:rsidP="00594BA4">
      <w:pPr>
        <w:ind w:left="285"/>
        <w:jc w:val="both"/>
        <w:rPr>
          <w:sz w:val="20"/>
          <w:vertAlign w:val="superscript"/>
        </w:rPr>
      </w:pPr>
    </w:p>
    <w:p w14:paraId="31EAB493" w14:textId="334ECAD5" w:rsidR="0061247A" w:rsidRDefault="0061247A" w:rsidP="00594BA4">
      <w:pPr>
        <w:ind w:left="285"/>
        <w:jc w:val="both"/>
        <w:rPr>
          <w:spacing w:val="-2"/>
          <w:sz w:val="20"/>
        </w:rPr>
      </w:pPr>
      <w:r>
        <w:rPr>
          <w:sz w:val="20"/>
          <w:vertAlign w:val="superscript"/>
        </w:rPr>
        <w:t>1</w:t>
      </w:r>
      <w:r>
        <w:rPr>
          <w:sz w:val="20"/>
        </w:rPr>
        <w:t>Graduando</w:t>
      </w:r>
      <w:r>
        <w:rPr>
          <w:spacing w:val="-6"/>
          <w:sz w:val="20"/>
        </w:rPr>
        <w:t xml:space="preserve"> </w:t>
      </w:r>
      <w:r>
        <w:rPr>
          <w:sz w:val="20"/>
        </w:rPr>
        <w:t>em</w:t>
      </w:r>
      <w:r>
        <w:rPr>
          <w:spacing w:val="-3"/>
          <w:sz w:val="20"/>
        </w:rPr>
        <w:t xml:space="preserve"> </w:t>
      </w:r>
      <w:r>
        <w:rPr>
          <w:sz w:val="20"/>
        </w:rPr>
        <w:t>Fisioterapia</w:t>
      </w:r>
      <w:r>
        <w:rPr>
          <w:spacing w:val="-4"/>
          <w:sz w:val="20"/>
        </w:rPr>
        <w:t xml:space="preserve"> </w:t>
      </w:r>
      <w:r>
        <w:rPr>
          <w:sz w:val="20"/>
        </w:rPr>
        <w:t>–</w:t>
      </w:r>
      <w:r>
        <w:rPr>
          <w:spacing w:val="-4"/>
          <w:sz w:val="20"/>
        </w:rPr>
        <w:t xml:space="preserve"> </w:t>
      </w:r>
      <w:r>
        <w:rPr>
          <w:sz w:val="20"/>
        </w:rPr>
        <w:t>Centro</w:t>
      </w:r>
      <w:r>
        <w:rPr>
          <w:spacing w:val="-4"/>
          <w:sz w:val="20"/>
        </w:rPr>
        <w:t xml:space="preserve"> </w:t>
      </w:r>
      <w:r>
        <w:rPr>
          <w:sz w:val="20"/>
        </w:rPr>
        <w:t>Universitário</w:t>
      </w:r>
      <w:r>
        <w:rPr>
          <w:spacing w:val="-4"/>
          <w:sz w:val="20"/>
        </w:rPr>
        <w:t xml:space="preserve"> </w:t>
      </w:r>
      <w:r>
        <w:rPr>
          <w:spacing w:val="-2"/>
          <w:sz w:val="20"/>
        </w:rPr>
        <w:t>Chrisfapi.</w:t>
      </w:r>
    </w:p>
    <w:p w14:paraId="141E423F" w14:textId="77777777" w:rsidR="0061247A" w:rsidRPr="00741A99" w:rsidRDefault="0061247A" w:rsidP="00594BA4">
      <w:pPr>
        <w:ind w:left="285"/>
        <w:jc w:val="both"/>
        <w:rPr>
          <w:spacing w:val="-2"/>
          <w:sz w:val="20"/>
        </w:rPr>
        <w:sectPr w:rsidR="0061247A" w:rsidRPr="00741A99" w:rsidSect="0061247A">
          <w:headerReference w:type="default" r:id="rId8"/>
          <w:footerReference w:type="default" r:id="rId9"/>
          <w:pgSz w:w="11910" w:h="16850"/>
          <w:pgMar w:top="2268" w:right="992" w:bottom="278" w:left="1418" w:header="0" w:footer="584" w:gutter="0"/>
          <w:pgNumType w:start="1"/>
          <w:cols w:space="720"/>
        </w:sectPr>
      </w:pPr>
      <w:r w:rsidRPr="00300190">
        <w:rPr>
          <w:spacing w:val="-2"/>
          <w:sz w:val="20"/>
          <w:vertAlign w:val="superscript"/>
        </w:rPr>
        <w:t>2</w:t>
      </w:r>
      <w:r>
        <w:rPr>
          <w:spacing w:val="-2"/>
          <w:sz w:val="20"/>
        </w:rPr>
        <w:t xml:space="preserve">Doutor em Biotecnologia (UFPI), Docente do Curso de Fisioterapia do </w:t>
      </w:r>
      <w:r>
        <w:rPr>
          <w:sz w:val="20"/>
        </w:rPr>
        <w:t>Centro</w:t>
      </w:r>
      <w:r>
        <w:rPr>
          <w:spacing w:val="-4"/>
          <w:sz w:val="20"/>
        </w:rPr>
        <w:t xml:space="preserve"> </w:t>
      </w:r>
      <w:r>
        <w:rPr>
          <w:sz w:val="20"/>
        </w:rPr>
        <w:t>Universitário</w:t>
      </w:r>
      <w:r>
        <w:rPr>
          <w:spacing w:val="-4"/>
          <w:sz w:val="20"/>
        </w:rPr>
        <w:t xml:space="preserve"> </w:t>
      </w:r>
      <w:r>
        <w:rPr>
          <w:spacing w:val="-2"/>
          <w:sz w:val="20"/>
        </w:rPr>
        <w:t>Chrisfapi</w:t>
      </w:r>
      <w:r>
        <w:rPr>
          <w:sz w:val="20"/>
        </w:rPr>
        <w:t>.</w:t>
      </w:r>
    </w:p>
    <w:p w14:paraId="0961AAEA" w14:textId="16235820" w:rsidR="008C592A" w:rsidRPr="008C592A" w:rsidRDefault="008C592A" w:rsidP="00594BA4">
      <w:pPr>
        <w:pStyle w:val="Corpodetexto"/>
        <w:spacing w:line="360" w:lineRule="auto"/>
        <w:ind w:left="284" w:firstLine="436"/>
        <w:jc w:val="both"/>
        <w:rPr>
          <w:lang w:val="pt-BR"/>
        </w:rPr>
      </w:pPr>
      <w:r w:rsidRPr="008C592A">
        <w:rPr>
          <w:lang w:val="pt-BR"/>
        </w:rPr>
        <w:lastRenderedPageBreak/>
        <w:t>Dessa forma, reconhecer mudanças no desempenho funcional antes do surgimento de limitações mais graves torna-se relevante para preservar a autonomia (J</w:t>
      </w:r>
      <w:r w:rsidR="00676524">
        <w:rPr>
          <w:lang w:val="pt-BR"/>
        </w:rPr>
        <w:t>acob</w:t>
      </w:r>
      <w:r w:rsidRPr="008C592A">
        <w:rPr>
          <w:lang w:val="pt-BR"/>
        </w:rPr>
        <w:t>; P</w:t>
      </w:r>
      <w:r w:rsidR="00676524">
        <w:rPr>
          <w:lang w:val="pt-BR"/>
        </w:rPr>
        <w:t>ereira</w:t>
      </w:r>
      <w:r w:rsidRPr="008C592A">
        <w:rPr>
          <w:lang w:val="pt-BR"/>
        </w:rPr>
        <w:t>, 2025).</w:t>
      </w:r>
    </w:p>
    <w:p w14:paraId="02E688F6" w14:textId="14B16A82" w:rsidR="008C592A" w:rsidRPr="008C592A" w:rsidRDefault="008C592A" w:rsidP="00594BA4">
      <w:pPr>
        <w:pStyle w:val="Corpodetexto"/>
        <w:spacing w:line="360" w:lineRule="auto"/>
        <w:ind w:left="284" w:firstLine="436"/>
        <w:jc w:val="both"/>
        <w:rPr>
          <w:lang w:val="pt-BR"/>
        </w:rPr>
      </w:pPr>
      <w:r w:rsidRPr="008C592A">
        <w:rPr>
          <w:lang w:val="pt-BR"/>
        </w:rPr>
        <w:t>Nesse contexto, destaca-se a capacidade intrínseca, compreendida como o conjunto das capacidades físicas e mentais que o indivíduo pode mobilizar ao longo da vida. Sua avaliação contempla diferentes domínios, como mobilidade, cognição, vitalidade, aspectos psicológicos e função sensorial. Esse conceito amplia o olhar sobre o envelhecimento ao considerar capacidades preservadas ou em declínio, favorecendo a identificação de alterações que podem anteceder perdas de independência (O</w:t>
      </w:r>
      <w:r w:rsidR="0055114A">
        <w:rPr>
          <w:lang w:val="pt-BR"/>
        </w:rPr>
        <w:t>liveira</w:t>
      </w:r>
      <w:r w:rsidRPr="008C592A">
        <w:rPr>
          <w:lang w:val="pt-BR"/>
        </w:rPr>
        <w:t xml:space="preserve"> et al., 2026).</w:t>
      </w:r>
    </w:p>
    <w:p w14:paraId="6120F073" w14:textId="5B201013" w:rsidR="008C592A" w:rsidRPr="008C592A" w:rsidRDefault="008C592A" w:rsidP="00594BA4">
      <w:pPr>
        <w:pStyle w:val="Corpodetexto"/>
        <w:spacing w:line="360" w:lineRule="auto"/>
        <w:ind w:left="284" w:firstLine="436"/>
        <w:jc w:val="both"/>
        <w:rPr>
          <w:lang w:val="pt-BR"/>
        </w:rPr>
      </w:pPr>
      <w:r w:rsidRPr="008C592A">
        <w:rPr>
          <w:lang w:val="pt-BR"/>
        </w:rPr>
        <w:t>A capacidade intrínseca e a funcionalidade estão relacionadas, embora representem conceitos distintos. Enquanto a primeira envolve as capacidades físicas e mentais do indivíduo, a funcionalidade também depende da interação dessas capacidades com fatores ambientais e sociais. Essa compreensão evidencia que pessoas com idade ou condições clínicas semelhantes podem apresentar trajetórias diferentes, tornando a capacidade intrínseca e funcional elementos relevantes para compreender a qualidade dos anos vividos (G</w:t>
      </w:r>
      <w:r w:rsidR="0055114A">
        <w:rPr>
          <w:lang w:val="pt-BR"/>
        </w:rPr>
        <w:t>alvão</w:t>
      </w:r>
      <w:r w:rsidRPr="008C592A">
        <w:rPr>
          <w:lang w:val="pt-BR"/>
        </w:rPr>
        <w:t>; A</w:t>
      </w:r>
      <w:r w:rsidR="0055114A">
        <w:rPr>
          <w:lang w:val="pt-BR"/>
        </w:rPr>
        <w:t>la</w:t>
      </w:r>
      <w:r w:rsidRPr="008C592A">
        <w:rPr>
          <w:lang w:val="pt-BR"/>
        </w:rPr>
        <w:t>; B</w:t>
      </w:r>
      <w:r w:rsidR="0055114A">
        <w:rPr>
          <w:lang w:val="pt-BR"/>
        </w:rPr>
        <w:t>arbosa</w:t>
      </w:r>
      <w:r w:rsidRPr="008C592A">
        <w:rPr>
          <w:lang w:val="pt-BR"/>
        </w:rPr>
        <w:t>, 2026).</w:t>
      </w:r>
    </w:p>
    <w:p w14:paraId="47B556A1" w14:textId="54C82D8E" w:rsidR="008C592A" w:rsidRPr="008C592A" w:rsidRDefault="008C592A" w:rsidP="00594BA4">
      <w:pPr>
        <w:pStyle w:val="Corpodetexto"/>
        <w:spacing w:line="360" w:lineRule="auto"/>
        <w:ind w:left="284" w:firstLine="436"/>
        <w:jc w:val="both"/>
        <w:rPr>
          <w:lang w:val="pt-BR"/>
        </w:rPr>
      </w:pPr>
      <w:r w:rsidRPr="008C592A">
        <w:rPr>
          <w:lang w:val="pt-BR"/>
        </w:rPr>
        <w:t>O declínio dessas capacidades pode comprometer significativamente a vida da pessoa idosa, principalmente quando envolve alterações na mobilidade, força e desempenho físico. Essas mudanças podem contribuir para dependência, fragilidade e maior risco de quedas. Além disso, o comprometimento simultâneo de diferentes domínios da capacidade intrínseca pode indicar maior vulnerabilidade a desfechos negativos, reforçando a importância de reconhecer tais alterações como sinais relevantes para o acompanhamento da saúde (V</w:t>
      </w:r>
      <w:r w:rsidR="0055114A">
        <w:rPr>
          <w:lang w:val="pt-BR"/>
        </w:rPr>
        <w:t>alle</w:t>
      </w:r>
      <w:r w:rsidRPr="008C592A">
        <w:rPr>
          <w:lang w:val="pt-BR"/>
        </w:rPr>
        <w:t xml:space="preserve"> et al., 2024).</w:t>
      </w:r>
    </w:p>
    <w:p w14:paraId="56F78DD8" w14:textId="77777777" w:rsidR="0052285D" w:rsidRDefault="0052285D" w:rsidP="00594BA4">
      <w:pPr>
        <w:pStyle w:val="Corpodetexto"/>
        <w:spacing w:line="360" w:lineRule="auto"/>
        <w:ind w:left="284" w:firstLine="436"/>
        <w:jc w:val="both"/>
      </w:pPr>
      <w:r w:rsidRPr="0052285D">
        <w:t>Reconhecer essas mudanças enquanto ainda são iniciais pode fazer diferença no acompanhamento da pessoa idosa. Quando alterações funcionais são percebidas apenas após perdas mais expressivas de independência, diminuem as possibilidades de atuação preventiva. Roma et al. (2022) apresentam a avaliação geriátrica ampla como uma possibilidade de reunir diferentes dimensões da saúde. Nesse sentido, identificar precocemente alterações físico-funcionais mostra-se relevante para preservar capacidades existentes e orientar o cuidado antes do agravamento das limitações.</w:t>
      </w:r>
    </w:p>
    <w:p w14:paraId="4A523968" w14:textId="52385A93" w:rsidR="008C592A" w:rsidRPr="008C592A" w:rsidRDefault="008C592A" w:rsidP="00594BA4">
      <w:pPr>
        <w:pStyle w:val="Corpodetexto"/>
        <w:spacing w:line="360" w:lineRule="auto"/>
        <w:ind w:left="284" w:firstLine="436"/>
        <w:jc w:val="both"/>
        <w:rPr>
          <w:lang w:val="pt-BR"/>
        </w:rPr>
      </w:pPr>
      <w:r w:rsidRPr="008C592A">
        <w:rPr>
          <w:lang w:val="pt-BR"/>
        </w:rPr>
        <w:t xml:space="preserve">A Atenção Primária à Saúde (APS) constitui um espaço estratégico para essa identificação, principalmente por possibilitar acompanhamento longitudinal, proximidade com a comunidade e desenvolvimento de ações preventivas. Reconhecer alterações </w:t>
      </w:r>
      <w:r w:rsidRPr="008C592A">
        <w:rPr>
          <w:lang w:val="pt-BR"/>
        </w:rPr>
        <w:lastRenderedPageBreak/>
        <w:t>funcionais antes que evoluam para incapacidades mais importantes pode favorecer intervenções individualizadas. Estratégias que integram aspectos físicos, mentais, sociais e ambientais também contribuem para a manutenção da funcionalidade e para um cuidado menos fragmentado da pessoa idosa (O</w:t>
      </w:r>
      <w:r w:rsidR="0055114A">
        <w:rPr>
          <w:lang w:val="pt-BR"/>
        </w:rPr>
        <w:t>liveira</w:t>
      </w:r>
      <w:r w:rsidRPr="008C592A">
        <w:rPr>
          <w:lang w:val="pt-BR"/>
        </w:rPr>
        <w:t xml:space="preserve"> et al., 2026).</w:t>
      </w:r>
    </w:p>
    <w:p w14:paraId="4F712226" w14:textId="1EB3DE48" w:rsidR="008C592A" w:rsidRPr="008C592A" w:rsidRDefault="008C592A" w:rsidP="00594BA4">
      <w:pPr>
        <w:pStyle w:val="Corpodetexto"/>
        <w:spacing w:line="360" w:lineRule="auto"/>
        <w:ind w:left="284" w:firstLine="436"/>
        <w:jc w:val="both"/>
        <w:rPr>
          <w:lang w:val="pt-BR"/>
        </w:rPr>
      </w:pPr>
      <w:r w:rsidRPr="008C592A">
        <w:rPr>
          <w:lang w:val="pt-BR"/>
        </w:rPr>
        <w:t>Nesse cenário, a Fisioterapia apresenta contribuição relevante por atuar sobre componentes relacionados à mobilidade, força muscular, equilíbrio, marcha e desempenho funcional. Na Atenção Básica, sua atuação pode envolver reabilitação, promoção da saúde, prevenção de agravos e manutenção da capacidade funcional (S</w:t>
      </w:r>
      <w:r w:rsidR="0055114A">
        <w:rPr>
          <w:lang w:val="pt-BR"/>
        </w:rPr>
        <w:t>ilva</w:t>
      </w:r>
      <w:r w:rsidRPr="008C592A">
        <w:rPr>
          <w:lang w:val="pt-BR"/>
        </w:rPr>
        <w:t>; A</w:t>
      </w:r>
      <w:r w:rsidR="0055114A">
        <w:rPr>
          <w:lang w:val="pt-BR"/>
        </w:rPr>
        <w:t>ndrade</w:t>
      </w:r>
      <w:r w:rsidRPr="008C592A">
        <w:rPr>
          <w:lang w:val="pt-BR"/>
        </w:rPr>
        <w:t>, 2022). Cavalcante et al. (2023) também demonstraram respostas no domínio locomotor após treinamento, embora não tenha ocorrido melhora significativa da capacidade intrínseca global.</w:t>
      </w:r>
    </w:p>
    <w:p w14:paraId="238AB460" w14:textId="147365A2" w:rsidR="001F66AE" w:rsidRDefault="0052285D" w:rsidP="00594BA4">
      <w:pPr>
        <w:pStyle w:val="Corpodetexto"/>
        <w:spacing w:line="360" w:lineRule="auto"/>
        <w:ind w:firstLine="436"/>
        <w:jc w:val="both"/>
      </w:pPr>
      <w:r w:rsidRPr="0052285D">
        <w:t>Diante desse cenário, torna-se relevante investigar a contribuição da Fisioterapia na identificação precoce do declínio funcional, especialmente pela possibilidade de acompanhar alterações relacionadas ao movimento antes que comprometam de forma mais expressiva a independência da pessoa idosa. Essa discussão também amplia a compreensão da atuação fisioterapêutica na APS para além da reabilitação. Assim, este estudo objetiva analisar as contribuições da Fisioterapia para a identificação precoce do declínio e a preservação da capacidade intrínseca da pessoa idosa na APS.</w:t>
      </w:r>
    </w:p>
    <w:p w14:paraId="7D10FC1B" w14:textId="77777777" w:rsidR="00505769" w:rsidRPr="0061247A" w:rsidRDefault="001E116F" w:rsidP="0061247A">
      <w:pPr>
        <w:pStyle w:val="Ttulo1"/>
        <w:numPr>
          <w:ilvl w:val="0"/>
          <w:numId w:val="1"/>
        </w:numPr>
        <w:tabs>
          <w:tab w:val="left" w:pos="465"/>
        </w:tabs>
        <w:jc w:val="both"/>
      </w:pPr>
      <w:r>
        <w:rPr>
          <w:spacing w:val="-2"/>
        </w:rPr>
        <w:t>OBJETIVOS</w:t>
      </w:r>
    </w:p>
    <w:p w14:paraId="08D37276" w14:textId="77777777" w:rsidR="0061247A" w:rsidRDefault="0061247A" w:rsidP="0061247A">
      <w:pPr>
        <w:pStyle w:val="Ttulo1"/>
        <w:tabs>
          <w:tab w:val="left" w:pos="465"/>
        </w:tabs>
        <w:ind w:firstLine="0"/>
        <w:jc w:val="both"/>
      </w:pPr>
    </w:p>
    <w:p w14:paraId="310FF261" w14:textId="189DDD16" w:rsidR="00300190" w:rsidRDefault="001E116F" w:rsidP="0061247A">
      <w:pPr>
        <w:pStyle w:val="Corpodetexto"/>
        <w:spacing w:line="360" w:lineRule="auto"/>
        <w:ind w:left="284" w:right="147" w:firstLine="709"/>
        <w:jc w:val="both"/>
      </w:pPr>
      <w:r>
        <w:t>Analisar, a partir da literatura científica, as contribuições da Fisioterapia para a identificação precoce</w:t>
      </w:r>
      <w:r>
        <w:rPr>
          <w:spacing w:val="-1"/>
        </w:rPr>
        <w:t xml:space="preserve"> </w:t>
      </w:r>
      <w:r>
        <w:t>do declínio e</w:t>
      </w:r>
      <w:r>
        <w:rPr>
          <w:spacing w:val="-1"/>
        </w:rPr>
        <w:t xml:space="preserve"> </w:t>
      </w:r>
      <w:r>
        <w:t>para</w:t>
      </w:r>
      <w:r>
        <w:rPr>
          <w:spacing w:val="-1"/>
        </w:rPr>
        <w:t xml:space="preserve"> </w:t>
      </w:r>
      <w:r>
        <w:t>a</w:t>
      </w:r>
      <w:r>
        <w:rPr>
          <w:spacing w:val="-1"/>
        </w:rPr>
        <w:t xml:space="preserve"> </w:t>
      </w:r>
      <w:r>
        <w:t>preservação da</w:t>
      </w:r>
      <w:r>
        <w:rPr>
          <w:spacing w:val="-1"/>
        </w:rPr>
        <w:t xml:space="preserve"> </w:t>
      </w:r>
      <w:r>
        <w:t>capacidade</w:t>
      </w:r>
      <w:r>
        <w:rPr>
          <w:spacing w:val="-1"/>
        </w:rPr>
        <w:t xml:space="preserve"> </w:t>
      </w:r>
      <w:r>
        <w:t>intrínseca</w:t>
      </w:r>
      <w:r>
        <w:rPr>
          <w:spacing w:val="-1"/>
        </w:rPr>
        <w:t xml:space="preserve"> </w:t>
      </w:r>
      <w:r>
        <w:t>da</w:t>
      </w:r>
      <w:r>
        <w:rPr>
          <w:spacing w:val="-1"/>
        </w:rPr>
        <w:t xml:space="preserve"> </w:t>
      </w:r>
      <w:r>
        <w:t>pessoa idosa</w:t>
      </w:r>
      <w:r>
        <w:rPr>
          <w:spacing w:val="-1"/>
        </w:rPr>
        <w:t xml:space="preserve"> </w:t>
      </w:r>
      <w:r>
        <w:t>no contexto da Atenção Primária à Saúde.</w:t>
      </w:r>
    </w:p>
    <w:p w14:paraId="16E3473A" w14:textId="77777777" w:rsidR="00132E30" w:rsidRDefault="00132E30" w:rsidP="0061247A">
      <w:pPr>
        <w:pStyle w:val="Corpodetexto"/>
        <w:spacing w:line="360" w:lineRule="auto"/>
        <w:ind w:right="147"/>
        <w:jc w:val="both"/>
      </w:pPr>
    </w:p>
    <w:p w14:paraId="1D5A5AB6" w14:textId="3D0C12F4" w:rsidR="0092279F" w:rsidRPr="00E22A30" w:rsidRDefault="001E116F" w:rsidP="0061247A">
      <w:pPr>
        <w:pStyle w:val="Ttulo1"/>
        <w:numPr>
          <w:ilvl w:val="0"/>
          <w:numId w:val="1"/>
        </w:numPr>
        <w:tabs>
          <w:tab w:val="left" w:pos="465"/>
        </w:tabs>
        <w:spacing w:line="275" w:lineRule="exact"/>
        <w:jc w:val="both"/>
      </w:pPr>
      <w:r>
        <w:rPr>
          <w:spacing w:val="-2"/>
        </w:rPr>
        <w:t>MÉTODO</w:t>
      </w:r>
    </w:p>
    <w:p w14:paraId="2A58CA6F" w14:textId="77777777" w:rsidR="00E22A30" w:rsidRDefault="00E22A30" w:rsidP="0061247A">
      <w:pPr>
        <w:pStyle w:val="Ttulo1"/>
        <w:tabs>
          <w:tab w:val="left" w:pos="465"/>
        </w:tabs>
        <w:spacing w:line="275" w:lineRule="exact"/>
        <w:ind w:firstLine="0"/>
        <w:jc w:val="both"/>
      </w:pPr>
    </w:p>
    <w:p w14:paraId="53FB60FE" w14:textId="77777777" w:rsidR="0052285D" w:rsidRPr="0052285D" w:rsidRDefault="0052285D" w:rsidP="0052285D">
      <w:pPr>
        <w:pStyle w:val="Corpodetexto"/>
        <w:spacing w:line="360" w:lineRule="auto"/>
        <w:ind w:firstLine="435"/>
        <w:jc w:val="both"/>
        <w:rPr>
          <w:lang w:val="pt-BR"/>
        </w:rPr>
      </w:pPr>
      <w:r w:rsidRPr="0052285D">
        <w:rPr>
          <w:lang w:val="pt-BR"/>
        </w:rPr>
        <w:t>Trata-se de uma revisão narrativa da literatura, realizada em agosto de 2026, com o propósito de reunir estudos relacionados à capacidade intrínseca, funcionalidade e atuação da Fisioterapia na Atenção Primária à Saúde. A busca ocorreu no Google Acadêmico, considerando publicações entre 2021 e 2026, mediante combinações dos termos IDOSO AND “CAPACIDADE INTRÍNSECA” com FISIOTERAPIA, FUNCIONALIDADE, “ATENÇÃO PRIMÁRIA” e MOBILIDADE. Inicialmente, as estratégias foram aplicadas sem delimitação temporal e, posteriormente, utilizou-se o recorte estabelecido.</w:t>
      </w:r>
    </w:p>
    <w:p w14:paraId="6DC4E0BD" w14:textId="77777777" w:rsidR="0052285D" w:rsidRPr="0052285D" w:rsidRDefault="0052285D" w:rsidP="0052285D">
      <w:pPr>
        <w:pStyle w:val="Corpodetexto"/>
        <w:spacing w:line="360" w:lineRule="auto"/>
        <w:ind w:firstLine="435"/>
        <w:jc w:val="both"/>
        <w:rPr>
          <w:lang w:val="pt-BR"/>
        </w:rPr>
      </w:pPr>
    </w:p>
    <w:p w14:paraId="048986E0" w14:textId="34EEA527" w:rsidR="00E22A30" w:rsidRDefault="0052285D" w:rsidP="0052285D">
      <w:pPr>
        <w:pStyle w:val="Corpodetexto"/>
        <w:spacing w:line="360" w:lineRule="auto"/>
        <w:ind w:firstLine="435"/>
        <w:jc w:val="both"/>
        <w:rPr>
          <w:lang w:val="pt-BR"/>
        </w:rPr>
      </w:pPr>
      <w:r w:rsidRPr="0052285D">
        <w:rPr>
          <w:lang w:val="pt-BR"/>
        </w:rPr>
        <w:lastRenderedPageBreak/>
        <w:t>A seleção ocorreu pela leitura dos títulos e resumos, seguida da leitura dos trabalhos pertinentes. Foram incluídos artigos disponíveis na íntegra, publicados no período estabelecido e relacionados à temática, excluindo-se aqueles que não atendiam aos critérios definidos. Ao final da triagem, sete artigos publicados entre 2022 e 2026 compuseram a revisão. Os estudos foram analisados de forma descritiva e interpretativa, relacionando seus objetivos, métodos e resultados à identificação precoce do declínio funcional e às possibilidades de atuação fisioterapêutica na APS.</w:t>
      </w:r>
    </w:p>
    <w:p w14:paraId="0ED97368" w14:textId="77777777" w:rsidR="0052285D" w:rsidRPr="0092279F" w:rsidRDefault="0052285D" w:rsidP="0052285D">
      <w:pPr>
        <w:pStyle w:val="Corpodetexto"/>
        <w:spacing w:line="360" w:lineRule="auto"/>
        <w:ind w:firstLine="435"/>
        <w:jc w:val="both"/>
        <w:rPr>
          <w:lang w:val="pt-BR"/>
        </w:rPr>
      </w:pPr>
    </w:p>
    <w:p w14:paraId="25715C9A" w14:textId="778FB8F6" w:rsidR="00997C11" w:rsidRPr="00997C11" w:rsidRDefault="001E116F" w:rsidP="0061247A">
      <w:pPr>
        <w:pStyle w:val="PargrafodaLista"/>
        <w:numPr>
          <w:ilvl w:val="0"/>
          <w:numId w:val="1"/>
        </w:numPr>
        <w:tabs>
          <w:tab w:val="left" w:pos="465"/>
        </w:tabs>
        <w:jc w:val="both"/>
        <w:rPr>
          <w:b/>
          <w:sz w:val="24"/>
        </w:rPr>
      </w:pPr>
      <w:r>
        <w:rPr>
          <w:b/>
          <w:sz w:val="24"/>
        </w:rPr>
        <w:t>RESULTADOS</w:t>
      </w:r>
      <w:r>
        <w:rPr>
          <w:b/>
          <w:spacing w:val="-2"/>
          <w:sz w:val="24"/>
        </w:rPr>
        <w:t xml:space="preserve"> </w:t>
      </w:r>
      <w:r>
        <w:rPr>
          <w:b/>
          <w:sz w:val="24"/>
        </w:rPr>
        <w:t>E</w:t>
      </w:r>
      <w:r>
        <w:rPr>
          <w:b/>
          <w:spacing w:val="-2"/>
          <w:sz w:val="24"/>
        </w:rPr>
        <w:t xml:space="preserve"> DISCUSSÃO</w:t>
      </w:r>
    </w:p>
    <w:p w14:paraId="1C87D1A1" w14:textId="2181C6F6" w:rsidR="00E22A30" w:rsidRDefault="00E22A30" w:rsidP="0061247A">
      <w:pPr>
        <w:tabs>
          <w:tab w:val="left" w:pos="465"/>
        </w:tabs>
        <w:ind w:left="465"/>
        <w:jc w:val="both"/>
        <w:rPr>
          <w:bCs/>
          <w:sz w:val="24"/>
          <w:szCs w:val="24"/>
        </w:rPr>
      </w:pPr>
    </w:p>
    <w:p w14:paraId="5013BDB1" w14:textId="73659223" w:rsidR="002724A6" w:rsidRPr="00E22A30" w:rsidRDefault="00E22A30" w:rsidP="0061247A">
      <w:pPr>
        <w:tabs>
          <w:tab w:val="left" w:pos="465"/>
        </w:tabs>
        <w:spacing w:line="360" w:lineRule="auto"/>
        <w:jc w:val="both"/>
        <w:rPr>
          <w:bCs/>
          <w:sz w:val="24"/>
          <w:szCs w:val="24"/>
        </w:rPr>
      </w:pPr>
      <w:r>
        <w:rPr>
          <w:bCs/>
          <w:sz w:val="24"/>
          <w:szCs w:val="24"/>
        </w:rPr>
        <w:tab/>
      </w:r>
      <w:r w:rsidR="00DD1766">
        <w:rPr>
          <w:bCs/>
          <w:sz w:val="24"/>
          <w:szCs w:val="24"/>
        </w:rPr>
        <w:tab/>
      </w:r>
      <w:r w:rsidR="002724A6" w:rsidRPr="00E22A30">
        <w:rPr>
          <w:bCs/>
          <w:sz w:val="24"/>
          <w:szCs w:val="24"/>
        </w:rPr>
        <w:t>A busca das produções científicas, realizada por meio do Google Acadêmico,</w:t>
      </w:r>
      <w:r w:rsidR="00997C11" w:rsidRPr="00E22A30">
        <w:rPr>
          <w:bCs/>
          <w:sz w:val="24"/>
          <w:szCs w:val="24"/>
        </w:rPr>
        <w:t xml:space="preserve"> </w:t>
      </w:r>
      <w:r w:rsidR="002724A6" w:rsidRPr="00E22A30">
        <w:rPr>
          <w:bCs/>
          <w:sz w:val="24"/>
          <w:szCs w:val="24"/>
        </w:rPr>
        <w:t>possibilitou a identificação de estudos relacionados à temática investigada. Após a aplicação do recorte temporal de 2021 a 2026, procedeu-se à leitura dos títulos e resumos e à verificação da relação das publicações com a questão norteadora e o objetivo desta revisão. Ao final do processo de seleção, sete artigos científicos, publicados entre 2022 e 2026, foram considerados pertinentes e submetidos à leitura e análise de seu conteúdo.</w:t>
      </w:r>
    </w:p>
    <w:p w14:paraId="48ADB8F6" w14:textId="463727D1" w:rsidR="002724A6" w:rsidRPr="00E22A30" w:rsidRDefault="00E22A30" w:rsidP="0061247A">
      <w:pPr>
        <w:tabs>
          <w:tab w:val="left" w:pos="465"/>
        </w:tabs>
        <w:spacing w:line="360" w:lineRule="auto"/>
        <w:jc w:val="both"/>
        <w:rPr>
          <w:bCs/>
          <w:sz w:val="24"/>
          <w:szCs w:val="24"/>
        </w:rPr>
      </w:pPr>
      <w:r>
        <w:rPr>
          <w:bCs/>
          <w:sz w:val="24"/>
          <w:szCs w:val="24"/>
        </w:rPr>
        <w:tab/>
      </w:r>
      <w:r w:rsidR="00997C11" w:rsidRPr="00E22A30">
        <w:rPr>
          <w:bCs/>
          <w:sz w:val="24"/>
          <w:szCs w:val="24"/>
        </w:rPr>
        <w:t xml:space="preserve">O </w:t>
      </w:r>
      <w:r w:rsidR="002724A6" w:rsidRPr="00E22A30">
        <w:rPr>
          <w:bCs/>
          <w:sz w:val="24"/>
          <w:szCs w:val="24"/>
        </w:rPr>
        <w:t>Quadro 1 foi elaborado com o objetivo de organizar e apresentar as principais informações dos sete artigos selecionados, que abordam aspectos relacionados à capacidade intrínseca, funcionalidade, envelhecimento saudável e atuação fisioterapêutica na pessoa idosa. Os estudos foram organizados de acordo com título, autores, ano de publicação, objetivo e desenho do estudo, possibilitando uma visão geral das características das produções analisadas.</w:t>
      </w:r>
    </w:p>
    <w:p w14:paraId="6B1271AB" w14:textId="77777777" w:rsidR="00D135CC" w:rsidRPr="00E22A30" w:rsidRDefault="00D135CC" w:rsidP="0061247A">
      <w:pPr>
        <w:tabs>
          <w:tab w:val="left" w:pos="465"/>
        </w:tabs>
        <w:jc w:val="both"/>
        <w:rPr>
          <w:bCs/>
          <w:sz w:val="24"/>
          <w:szCs w:val="24"/>
        </w:rPr>
      </w:pPr>
    </w:p>
    <w:p w14:paraId="2A17A615" w14:textId="77777777" w:rsidR="006627FC" w:rsidRDefault="002724A6" w:rsidP="0061247A">
      <w:pPr>
        <w:pStyle w:val="PargrafodaLista"/>
        <w:tabs>
          <w:tab w:val="left" w:pos="465"/>
        </w:tabs>
        <w:spacing w:line="360" w:lineRule="auto"/>
        <w:ind w:firstLine="0"/>
        <w:jc w:val="both"/>
        <w:rPr>
          <w:bCs/>
          <w:sz w:val="24"/>
          <w:szCs w:val="24"/>
        </w:rPr>
      </w:pPr>
      <w:r w:rsidRPr="0061247A">
        <w:rPr>
          <w:b/>
          <w:sz w:val="24"/>
          <w:szCs w:val="24"/>
        </w:rPr>
        <w:t>Quadro 1</w:t>
      </w:r>
      <w:r w:rsidRPr="00E22A30">
        <w:rPr>
          <w:bCs/>
          <w:sz w:val="24"/>
          <w:szCs w:val="24"/>
        </w:rPr>
        <w:t xml:space="preserve"> – Descrição resumida dos artigos selecionados e analisados na pesquisa,</w:t>
      </w:r>
      <w:r w:rsidR="006627FC">
        <w:rPr>
          <w:bCs/>
          <w:sz w:val="24"/>
          <w:szCs w:val="24"/>
        </w:rPr>
        <w:t xml:space="preserve"> </w:t>
      </w:r>
      <w:r w:rsidRPr="006627FC">
        <w:rPr>
          <w:bCs/>
          <w:sz w:val="24"/>
          <w:szCs w:val="24"/>
        </w:rPr>
        <w:t>de</w:t>
      </w:r>
    </w:p>
    <w:p w14:paraId="00708AC3" w14:textId="359451CF" w:rsidR="002724A6" w:rsidRPr="006627FC" w:rsidRDefault="002724A6" w:rsidP="0061247A">
      <w:pPr>
        <w:tabs>
          <w:tab w:val="left" w:pos="465"/>
        </w:tabs>
        <w:spacing w:line="360" w:lineRule="auto"/>
        <w:jc w:val="both"/>
        <w:rPr>
          <w:bCs/>
          <w:sz w:val="24"/>
          <w:szCs w:val="24"/>
        </w:rPr>
      </w:pPr>
      <w:r w:rsidRPr="006627FC">
        <w:rPr>
          <w:bCs/>
          <w:sz w:val="24"/>
          <w:szCs w:val="24"/>
        </w:rPr>
        <w:t>acordo com o título, autores, ano, objetivo e desenho do estudo.</w:t>
      </w:r>
    </w:p>
    <w:p w14:paraId="38F3DD17" w14:textId="77777777" w:rsidR="002724A6" w:rsidRPr="00E22A30" w:rsidRDefault="002724A6" w:rsidP="0061247A">
      <w:pPr>
        <w:pStyle w:val="PargrafodaLista"/>
        <w:tabs>
          <w:tab w:val="left" w:pos="465"/>
        </w:tabs>
        <w:ind w:firstLine="0"/>
        <w:jc w:val="both"/>
        <w:rPr>
          <w:bCs/>
          <w:sz w:val="24"/>
          <w:szCs w:val="24"/>
        </w:rPr>
      </w:pPr>
    </w:p>
    <w:tbl>
      <w:tblPr>
        <w:tblStyle w:val="Tabelacomgrade"/>
        <w:tblW w:w="0" w:type="auto"/>
        <w:jc w:val="center"/>
        <w:tblBorders>
          <w:bottom w:val="none" w:sz="0" w:space="0" w:color="auto"/>
        </w:tblBorders>
        <w:tblLook w:val="04A0" w:firstRow="1" w:lastRow="0" w:firstColumn="1" w:lastColumn="0" w:noHBand="0" w:noVBand="1"/>
      </w:tblPr>
      <w:tblGrid>
        <w:gridCol w:w="2626"/>
        <w:gridCol w:w="1377"/>
        <w:gridCol w:w="864"/>
        <w:gridCol w:w="2499"/>
        <w:gridCol w:w="1699"/>
      </w:tblGrid>
      <w:tr w:rsidR="00593844" w:rsidRPr="0061247A" w14:paraId="219A21AA" w14:textId="40CA8496" w:rsidTr="0061247A">
        <w:trPr>
          <w:jc w:val="center"/>
        </w:trPr>
        <w:tc>
          <w:tcPr>
            <w:tcW w:w="0" w:type="auto"/>
            <w:shd w:val="clear" w:color="auto" w:fill="C6D9F1" w:themeFill="text2" w:themeFillTint="33"/>
            <w:vAlign w:val="center"/>
          </w:tcPr>
          <w:p w14:paraId="0C6CC0F6" w14:textId="7CEAE0F6" w:rsidR="00593844" w:rsidRPr="0061247A" w:rsidRDefault="00593844" w:rsidP="0061247A">
            <w:pPr>
              <w:pStyle w:val="Corpodetexto"/>
              <w:ind w:left="0"/>
              <w:jc w:val="center"/>
              <w:rPr>
                <w:b/>
              </w:rPr>
            </w:pPr>
            <w:r w:rsidRPr="0061247A">
              <w:rPr>
                <w:b/>
              </w:rPr>
              <w:t>TÍTULO</w:t>
            </w:r>
          </w:p>
        </w:tc>
        <w:tc>
          <w:tcPr>
            <w:tcW w:w="1377" w:type="dxa"/>
            <w:shd w:val="clear" w:color="auto" w:fill="C6D9F1" w:themeFill="text2" w:themeFillTint="33"/>
            <w:vAlign w:val="center"/>
          </w:tcPr>
          <w:p w14:paraId="43335770" w14:textId="6DC0AEBF" w:rsidR="00593844" w:rsidRPr="0061247A" w:rsidRDefault="00593844" w:rsidP="0061247A">
            <w:pPr>
              <w:pStyle w:val="Corpodetexto"/>
              <w:ind w:left="0"/>
              <w:jc w:val="center"/>
              <w:rPr>
                <w:b/>
              </w:rPr>
            </w:pPr>
            <w:r w:rsidRPr="0061247A">
              <w:rPr>
                <w:b/>
              </w:rPr>
              <w:t>AUTORES</w:t>
            </w:r>
          </w:p>
        </w:tc>
        <w:tc>
          <w:tcPr>
            <w:tcW w:w="864" w:type="dxa"/>
            <w:shd w:val="clear" w:color="auto" w:fill="C6D9F1" w:themeFill="text2" w:themeFillTint="33"/>
            <w:vAlign w:val="center"/>
          </w:tcPr>
          <w:p w14:paraId="23AE34C3" w14:textId="0A51F575" w:rsidR="00593844" w:rsidRPr="0061247A" w:rsidRDefault="00593844" w:rsidP="0061247A">
            <w:pPr>
              <w:pStyle w:val="Corpodetexto"/>
              <w:ind w:left="0"/>
              <w:jc w:val="center"/>
              <w:rPr>
                <w:b/>
              </w:rPr>
            </w:pPr>
            <w:r w:rsidRPr="0061247A">
              <w:rPr>
                <w:b/>
              </w:rPr>
              <w:t>ANO</w:t>
            </w:r>
          </w:p>
        </w:tc>
        <w:tc>
          <w:tcPr>
            <w:tcW w:w="2499" w:type="dxa"/>
            <w:shd w:val="clear" w:color="auto" w:fill="C6D9F1" w:themeFill="text2" w:themeFillTint="33"/>
            <w:vAlign w:val="center"/>
          </w:tcPr>
          <w:p w14:paraId="6D2AE4D8" w14:textId="6A6443B2" w:rsidR="00593844" w:rsidRPr="0061247A" w:rsidRDefault="00593844" w:rsidP="0061247A">
            <w:pPr>
              <w:pStyle w:val="Corpodetexto"/>
              <w:ind w:left="0"/>
              <w:jc w:val="center"/>
              <w:rPr>
                <w:b/>
              </w:rPr>
            </w:pPr>
            <w:r w:rsidRPr="0061247A">
              <w:rPr>
                <w:b/>
              </w:rPr>
              <w:t>OBJETIVOS</w:t>
            </w:r>
          </w:p>
        </w:tc>
        <w:tc>
          <w:tcPr>
            <w:tcW w:w="1699" w:type="dxa"/>
            <w:shd w:val="clear" w:color="auto" w:fill="C6D9F1" w:themeFill="text2" w:themeFillTint="33"/>
            <w:vAlign w:val="center"/>
          </w:tcPr>
          <w:p w14:paraId="344D33A7" w14:textId="281DD1FD" w:rsidR="00593844" w:rsidRPr="0061247A" w:rsidRDefault="00593844" w:rsidP="0061247A">
            <w:pPr>
              <w:pStyle w:val="Corpodetexto"/>
              <w:ind w:left="0"/>
              <w:jc w:val="center"/>
              <w:rPr>
                <w:b/>
              </w:rPr>
            </w:pPr>
            <w:r w:rsidRPr="0061247A">
              <w:rPr>
                <w:b/>
              </w:rPr>
              <w:t>DESENHO DE ESTUDO</w:t>
            </w:r>
          </w:p>
        </w:tc>
      </w:tr>
      <w:tr w:rsidR="00593844" w:rsidRPr="00E22A30" w14:paraId="2090BA5A" w14:textId="733E5D3F" w:rsidTr="0061247A">
        <w:trPr>
          <w:jc w:val="center"/>
        </w:trPr>
        <w:tc>
          <w:tcPr>
            <w:tcW w:w="0" w:type="auto"/>
            <w:vAlign w:val="center"/>
          </w:tcPr>
          <w:p w14:paraId="310A3F84" w14:textId="089029CC" w:rsidR="00593844" w:rsidRPr="00E22A30" w:rsidRDefault="00593844" w:rsidP="0061247A">
            <w:pPr>
              <w:pStyle w:val="Corpodetexto"/>
              <w:ind w:left="0"/>
              <w:jc w:val="center"/>
              <w:rPr>
                <w:bCs/>
              </w:rPr>
            </w:pPr>
            <w:r w:rsidRPr="00E22A30">
              <w:rPr>
                <w:bCs/>
              </w:rPr>
              <w:t>Treinamento de força com e sem instabilidade não melhora os níveis gerais de capacidade intrínseca em idosos com queixas cognitivas</w:t>
            </w:r>
          </w:p>
        </w:tc>
        <w:tc>
          <w:tcPr>
            <w:tcW w:w="1377" w:type="dxa"/>
            <w:vAlign w:val="center"/>
          </w:tcPr>
          <w:p w14:paraId="71336CBD" w14:textId="206EEDF2" w:rsidR="00593844" w:rsidRPr="00E22A30" w:rsidRDefault="002B0E09" w:rsidP="0061247A">
            <w:pPr>
              <w:pStyle w:val="Corpodetexto"/>
              <w:ind w:left="0"/>
              <w:jc w:val="center"/>
              <w:rPr>
                <w:bCs/>
              </w:rPr>
            </w:pPr>
            <w:r w:rsidRPr="00E22A30">
              <w:rPr>
                <w:bCs/>
              </w:rPr>
              <w:t>Cavalcante et al.</w:t>
            </w:r>
          </w:p>
        </w:tc>
        <w:tc>
          <w:tcPr>
            <w:tcW w:w="864" w:type="dxa"/>
            <w:vAlign w:val="center"/>
          </w:tcPr>
          <w:p w14:paraId="5CDF7AEE" w14:textId="45D2BA9B" w:rsidR="00593844" w:rsidRPr="00E22A30" w:rsidRDefault="002B0E09" w:rsidP="0061247A">
            <w:pPr>
              <w:pStyle w:val="Corpodetexto"/>
              <w:ind w:left="0"/>
              <w:jc w:val="center"/>
              <w:rPr>
                <w:bCs/>
              </w:rPr>
            </w:pPr>
            <w:r w:rsidRPr="00E22A30">
              <w:rPr>
                <w:bCs/>
              </w:rPr>
              <w:t>2023</w:t>
            </w:r>
          </w:p>
        </w:tc>
        <w:tc>
          <w:tcPr>
            <w:tcW w:w="2499" w:type="dxa"/>
            <w:vAlign w:val="center"/>
          </w:tcPr>
          <w:p w14:paraId="047BE870" w14:textId="46E93397" w:rsidR="00593844" w:rsidRPr="00E22A30" w:rsidRDefault="00163F28" w:rsidP="0061247A">
            <w:pPr>
              <w:pStyle w:val="Corpodetexto"/>
              <w:ind w:left="0"/>
              <w:jc w:val="center"/>
              <w:rPr>
                <w:bCs/>
              </w:rPr>
            </w:pPr>
            <w:r w:rsidRPr="00E22A30">
              <w:rPr>
                <w:bCs/>
              </w:rPr>
              <w:t>Comparar os efeitos do treinamento de força com e sem instabilidade sobre os níveis gerais e os domínios da capacidade intrínseca em idosos com queixas cognitivas.</w:t>
            </w:r>
          </w:p>
        </w:tc>
        <w:tc>
          <w:tcPr>
            <w:tcW w:w="1699" w:type="dxa"/>
            <w:vAlign w:val="center"/>
          </w:tcPr>
          <w:p w14:paraId="3A8C3585" w14:textId="733A2E6E" w:rsidR="00593844" w:rsidRPr="00E22A30" w:rsidRDefault="002B0E09" w:rsidP="0061247A">
            <w:pPr>
              <w:pStyle w:val="Corpodetexto"/>
              <w:ind w:left="0"/>
              <w:jc w:val="center"/>
              <w:rPr>
                <w:bCs/>
              </w:rPr>
            </w:pPr>
            <w:r w:rsidRPr="00E22A30">
              <w:rPr>
                <w:bCs/>
              </w:rPr>
              <w:t>Ensaio clínico controlado aleatório</w:t>
            </w:r>
          </w:p>
        </w:tc>
      </w:tr>
      <w:tr w:rsidR="00593844" w:rsidRPr="00E22A30" w14:paraId="2234FEED" w14:textId="40D44B5F" w:rsidTr="0061247A">
        <w:trPr>
          <w:jc w:val="center"/>
        </w:trPr>
        <w:tc>
          <w:tcPr>
            <w:tcW w:w="0" w:type="auto"/>
            <w:vAlign w:val="center"/>
          </w:tcPr>
          <w:p w14:paraId="6B49C1DE" w14:textId="54C097B5" w:rsidR="00593844" w:rsidRPr="00E22A30" w:rsidRDefault="00F85BD9" w:rsidP="0061247A">
            <w:pPr>
              <w:pStyle w:val="Corpodetexto"/>
              <w:ind w:left="0"/>
              <w:jc w:val="center"/>
              <w:rPr>
                <w:bCs/>
              </w:rPr>
            </w:pPr>
            <w:r w:rsidRPr="00E22A30">
              <w:rPr>
                <w:bCs/>
              </w:rPr>
              <w:t xml:space="preserve">Capacidade intrínseca proposta pela </w:t>
            </w:r>
            <w:r w:rsidRPr="00E22A30">
              <w:rPr>
                <w:bCs/>
              </w:rPr>
              <w:lastRenderedPageBreak/>
              <w:t>Organização Mundial de Saúde e mortalidade em residentes de Instituição de Longa Permanência para Idosos em 30 meses</w:t>
            </w:r>
          </w:p>
        </w:tc>
        <w:tc>
          <w:tcPr>
            <w:tcW w:w="1377" w:type="dxa"/>
            <w:vAlign w:val="center"/>
          </w:tcPr>
          <w:p w14:paraId="079F642D" w14:textId="0547ABDB" w:rsidR="00593844" w:rsidRPr="00E22A30" w:rsidRDefault="002B0E09" w:rsidP="0061247A">
            <w:pPr>
              <w:pStyle w:val="Corpodetexto"/>
              <w:ind w:left="0"/>
              <w:jc w:val="center"/>
              <w:rPr>
                <w:bCs/>
              </w:rPr>
            </w:pPr>
            <w:r w:rsidRPr="00E22A30">
              <w:rPr>
                <w:bCs/>
              </w:rPr>
              <w:lastRenderedPageBreak/>
              <w:t>Valle et al.</w:t>
            </w:r>
          </w:p>
        </w:tc>
        <w:tc>
          <w:tcPr>
            <w:tcW w:w="864" w:type="dxa"/>
            <w:vAlign w:val="center"/>
          </w:tcPr>
          <w:p w14:paraId="08D2D603" w14:textId="1AF00179" w:rsidR="00593844" w:rsidRPr="00E22A30" w:rsidRDefault="002B0E09" w:rsidP="0061247A">
            <w:pPr>
              <w:pStyle w:val="Corpodetexto"/>
              <w:ind w:left="0"/>
              <w:jc w:val="center"/>
              <w:rPr>
                <w:bCs/>
              </w:rPr>
            </w:pPr>
            <w:r w:rsidRPr="00E22A30">
              <w:rPr>
                <w:bCs/>
              </w:rPr>
              <w:t>2024</w:t>
            </w:r>
          </w:p>
        </w:tc>
        <w:tc>
          <w:tcPr>
            <w:tcW w:w="2499" w:type="dxa"/>
            <w:vAlign w:val="center"/>
          </w:tcPr>
          <w:p w14:paraId="7CA6A370" w14:textId="77777777" w:rsidR="00163F28" w:rsidRPr="00E22A30" w:rsidRDefault="00163F28" w:rsidP="0061247A">
            <w:pPr>
              <w:pStyle w:val="Corpodetexto"/>
              <w:ind w:left="0"/>
              <w:jc w:val="center"/>
              <w:rPr>
                <w:bCs/>
              </w:rPr>
            </w:pPr>
            <w:r w:rsidRPr="00E22A30">
              <w:rPr>
                <w:bCs/>
              </w:rPr>
              <w:t xml:space="preserve">Analisar o efeito da capacidade intrínseca </w:t>
            </w:r>
            <w:r w:rsidRPr="00E22A30">
              <w:rPr>
                <w:bCs/>
              </w:rPr>
              <w:lastRenderedPageBreak/>
              <w:t>na mortalidade em 30</w:t>
            </w:r>
          </w:p>
          <w:p w14:paraId="1B68E564" w14:textId="1FD908E2" w:rsidR="00593844" w:rsidRPr="00E22A30" w:rsidRDefault="00163F28" w:rsidP="0061247A">
            <w:pPr>
              <w:pStyle w:val="Corpodetexto"/>
              <w:ind w:left="0"/>
              <w:jc w:val="center"/>
              <w:rPr>
                <w:bCs/>
              </w:rPr>
            </w:pPr>
            <w:r w:rsidRPr="00E22A30">
              <w:rPr>
                <w:bCs/>
              </w:rPr>
              <w:t>meses de idosos residentes em ILPI.</w:t>
            </w:r>
          </w:p>
        </w:tc>
        <w:tc>
          <w:tcPr>
            <w:tcW w:w="1699" w:type="dxa"/>
            <w:vAlign w:val="center"/>
          </w:tcPr>
          <w:p w14:paraId="2B5C5DBF" w14:textId="25E248F1" w:rsidR="00593844" w:rsidRPr="00E22A30" w:rsidRDefault="002B0E09" w:rsidP="0061247A">
            <w:pPr>
              <w:pStyle w:val="Corpodetexto"/>
              <w:ind w:left="0"/>
              <w:jc w:val="center"/>
              <w:rPr>
                <w:bCs/>
              </w:rPr>
            </w:pPr>
            <w:r w:rsidRPr="00E22A30">
              <w:rPr>
                <w:bCs/>
              </w:rPr>
              <w:lastRenderedPageBreak/>
              <w:t>Estudo de coorte</w:t>
            </w:r>
          </w:p>
        </w:tc>
      </w:tr>
      <w:tr w:rsidR="00593844" w:rsidRPr="00E22A30" w14:paraId="28006C2E" w14:textId="5BAB6C80" w:rsidTr="0061247A">
        <w:trPr>
          <w:jc w:val="center"/>
        </w:trPr>
        <w:tc>
          <w:tcPr>
            <w:tcW w:w="0" w:type="auto"/>
            <w:vAlign w:val="center"/>
          </w:tcPr>
          <w:p w14:paraId="66249C84" w14:textId="6697D97E" w:rsidR="00593844" w:rsidRPr="00E22A30" w:rsidRDefault="00F85BD9" w:rsidP="0061247A">
            <w:pPr>
              <w:pStyle w:val="Corpodetexto"/>
              <w:ind w:left="0"/>
              <w:jc w:val="center"/>
              <w:rPr>
                <w:bCs/>
              </w:rPr>
            </w:pPr>
            <w:r w:rsidRPr="00E22A30">
              <w:rPr>
                <w:bCs/>
              </w:rPr>
              <w:t>Relação entre a capacidade funcional e a fragilidade em idosos institucionalizados</w:t>
            </w:r>
          </w:p>
        </w:tc>
        <w:tc>
          <w:tcPr>
            <w:tcW w:w="1377" w:type="dxa"/>
            <w:vAlign w:val="center"/>
          </w:tcPr>
          <w:p w14:paraId="25956CAA" w14:textId="1300A50F" w:rsidR="00593844" w:rsidRPr="00E22A30" w:rsidRDefault="002B0E09" w:rsidP="0061247A">
            <w:pPr>
              <w:pStyle w:val="Corpodetexto"/>
              <w:ind w:left="0"/>
              <w:jc w:val="center"/>
              <w:rPr>
                <w:bCs/>
              </w:rPr>
            </w:pPr>
            <w:r w:rsidRPr="00E22A30">
              <w:rPr>
                <w:bCs/>
              </w:rPr>
              <w:t>Jacob e Pereira</w:t>
            </w:r>
          </w:p>
        </w:tc>
        <w:tc>
          <w:tcPr>
            <w:tcW w:w="864" w:type="dxa"/>
            <w:vAlign w:val="center"/>
          </w:tcPr>
          <w:p w14:paraId="70768122" w14:textId="2F8DE849" w:rsidR="00593844" w:rsidRPr="00E22A30" w:rsidRDefault="002B0E09" w:rsidP="0061247A">
            <w:pPr>
              <w:pStyle w:val="Corpodetexto"/>
              <w:ind w:left="0"/>
              <w:jc w:val="center"/>
              <w:rPr>
                <w:bCs/>
              </w:rPr>
            </w:pPr>
            <w:r w:rsidRPr="00E22A30">
              <w:rPr>
                <w:bCs/>
              </w:rPr>
              <w:t>2025</w:t>
            </w:r>
          </w:p>
        </w:tc>
        <w:tc>
          <w:tcPr>
            <w:tcW w:w="2499" w:type="dxa"/>
            <w:vAlign w:val="center"/>
          </w:tcPr>
          <w:p w14:paraId="0D44EB38" w14:textId="04C039A3" w:rsidR="00593844" w:rsidRPr="00E22A30" w:rsidRDefault="00163F28" w:rsidP="0061247A">
            <w:pPr>
              <w:pStyle w:val="Corpodetexto"/>
              <w:ind w:left="0"/>
              <w:jc w:val="center"/>
              <w:rPr>
                <w:bCs/>
              </w:rPr>
            </w:pPr>
            <w:r w:rsidRPr="00E22A30">
              <w:rPr>
                <w:bCs/>
              </w:rPr>
              <w:t>Avaliar a capacidade funcional entre idosos frágeis e não frágeis, considerando mobilidade, atividades de vida diária e cognição.</w:t>
            </w:r>
          </w:p>
        </w:tc>
        <w:tc>
          <w:tcPr>
            <w:tcW w:w="1699" w:type="dxa"/>
            <w:vAlign w:val="center"/>
          </w:tcPr>
          <w:p w14:paraId="5A6E56D8" w14:textId="24773EAF" w:rsidR="00593844" w:rsidRPr="00E22A30" w:rsidRDefault="00163F28" w:rsidP="0061247A">
            <w:pPr>
              <w:pStyle w:val="Corpodetexto"/>
              <w:ind w:left="0"/>
              <w:jc w:val="center"/>
              <w:rPr>
                <w:bCs/>
              </w:rPr>
            </w:pPr>
            <w:r w:rsidRPr="00E22A30">
              <w:rPr>
                <w:bCs/>
              </w:rPr>
              <w:t>Estudo observacional, exploratório, descritivo e correlacional</w:t>
            </w:r>
          </w:p>
        </w:tc>
      </w:tr>
      <w:tr w:rsidR="00593844" w:rsidRPr="00E22A30" w14:paraId="290F10C8" w14:textId="1568E6DF" w:rsidTr="0061247A">
        <w:trPr>
          <w:jc w:val="center"/>
        </w:trPr>
        <w:tc>
          <w:tcPr>
            <w:tcW w:w="0" w:type="auto"/>
            <w:vAlign w:val="center"/>
          </w:tcPr>
          <w:p w14:paraId="3342FA54" w14:textId="5B12269B" w:rsidR="00593844" w:rsidRPr="00E22A30" w:rsidRDefault="00F85BD9" w:rsidP="0061247A">
            <w:pPr>
              <w:pStyle w:val="Corpodetexto"/>
              <w:ind w:left="0"/>
              <w:jc w:val="center"/>
              <w:rPr>
                <w:bCs/>
              </w:rPr>
            </w:pPr>
            <w:r w:rsidRPr="00E22A30">
              <w:rPr>
                <w:bCs/>
              </w:rPr>
              <w:t>Avaliação geriátrica ampla uma revisão narrativa sobre os benefícios do cuidado centrado no paciente nos vários ambientes de saúde</w:t>
            </w:r>
          </w:p>
        </w:tc>
        <w:tc>
          <w:tcPr>
            <w:tcW w:w="1377" w:type="dxa"/>
            <w:vAlign w:val="center"/>
          </w:tcPr>
          <w:p w14:paraId="2B8A2549" w14:textId="707E3C76" w:rsidR="00593844" w:rsidRPr="00E22A30" w:rsidRDefault="002B0E09" w:rsidP="0061247A">
            <w:pPr>
              <w:pStyle w:val="Corpodetexto"/>
              <w:ind w:left="0"/>
              <w:jc w:val="center"/>
              <w:rPr>
                <w:bCs/>
              </w:rPr>
            </w:pPr>
            <w:r w:rsidRPr="00E22A30">
              <w:rPr>
                <w:bCs/>
              </w:rPr>
              <w:t>Roma et al.</w:t>
            </w:r>
          </w:p>
        </w:tc>
        <w:tc>
          <w:tcPr>
            <w:tcW w:w="864" w:type="dxa"/>
            <w:vAlign w:val="center"/>
          </w:tcPr>
          <w:p w14:paraId="6DC520E8" w14:textId="0F5F8619" w:rsidR="00593844" w:rsidRPr="00E22A30" w:rsidRDefault="002B0E09" w:rsidP="0061247A">
            <w:pPr>
              <w:pStyle w:val="Corpodetexto"/>
              <w:ind w:left="0"/>
              <w:jc w:val="center"/>
              <w:rPr>
                <w:bCs/>
              </w:rPr>
            </w:pPr>
            <w:r w:rsidRPr="00E22A30">
              <w:rPr>
                <w:bCs/>
              </w:rPr>
              <w:t>2022</w:t>
            </w:r>
          </w:p>
        </w:tc>
        <w:tc>
          <w:tcPr>
            <w:tcW w:w="2499" w:type="dxa"/>
            <w:vAlign w:val="center"/>
          </w:tcPr>
          <w:p w14:paraId="3E8C57BF" w14:textId="36A05D85" w:rsidR="00593844" w:rsidRPr="00E22A30" w:rsidRDefault="00163F28" w:rsidP="0061247A">
            <w:pPr>
              <w:pStyle w:val="Corpodetexto"/>
              <w:ind w:left="0"/>
              <w:jc w:val="center"/>
              <w:rPr>
                <w:bCs/>
              </w:rPr>
            </w:pPr>
            <w:r w:rsidRPr="00E22A30">
              <w:rPr>
                <w:bCs/>
              </w:rPr>
              <w:t>Analisar os princípios e benefícios da Avaliação Geriátrica Ampla e do cuidado centrado na pessoa idosa em diferentes contextos de saúde.</w:t>
            </w:r>
          </w:p>
        </w:tc>
        <w:tc>
          <w:tcPr>
            <w:tcW w:w="1699" w:type="dxa"/>
            <w:vAlign w:val="center"/>
          </w:tcPr>
          <w:p w14:paraId="746DAB70" w14:textId="158DA0B8" w:rsidR="00593844" w:rsidRPr="00E22A30" w:rsidRDefault="00163F28" w:rsidP="0061247A">
            <w:pPr>
              <w:pStyle w:val="Corpodetexto"/>
              <w:ind w:left="0"/>
              <w:jc w:val="center"/>
              <w:rPr>
                <w:bCs/>
              </w:rPr>
            </w:pPr>
            <w:r w:rsidRPr="00E22A30">
              <w:rPr>
                <w:bCs/>
              </w:rPr>
              <w:t>Revisão narrativa</w:t>
            </w:r>
          </w:p>
        </w:tc>
      </w:tr>
      <w:tr w:rsidR="00593844" w:rsidRPr="00E22A30" w14:paraId="6A384100" w14:textId="7798A494" w:rsidTr="0061247A">
        <w:trPr>
          <w:jc w:val="center"/>
        </w:trPr>
        <w:tc>
          <w:tcPr>
            <w:tcW w:w="0" w:type="auto"/>
            <w:vAlign w:val="center"/>
          </w:tcPr>
          <w:p w14:paraId="42038CB1" w14:textId="38EDFBBA" w:rsidR="00593844" w:rsidRPr="00E22A30" w:rsidRDefault="00F85BD9" w:rsidP="0061247A">
            <w:pPr>
              <w:pStyle w:val="Corpodetexto"/>
              <w:ind w:left="0"/>
              <w:jc w:val="center"/>
              <w:rPr>
                <w:bCs/>
              </w:rPr>
            </w:pPr>
            <w:r w:rsidRPr="00E22A30">
              <w:rPr>
                <w:bCs/>
              </w:rPr>
              <w:t>Estratégias integradas de saúde para o envelhecimento saudável: uma revisão integrativa com base nos cinco pilares da qualidade de vida na terceira idade</w:t>
            </w:r>
          </w:p>
        </w:tc>
        <w:tc>
          <w:tcPr>
            <w:tcW w:w="1377" w:type="dxa"/>
            <w:vAlign w:val="center"/>
          </w:tcPr>
          <w:p w14:paraId="1D393972" w14:textId="0EEAEDF9" w:rsidR="00593844" w:rsidRPr="00E22A30" w:rsidRDefault="002B0E09" w:rsidP="0061247A">
            <w:pPr>
              <w:pStyle w:val="Corpodetexto"/>
              <w:ind w:left="0"/>
              <w:jc w:val="center"/>
              <w:rPr>
                <w:bCs/>
              </w:rPr>
            </w:pPr>
            <w:r w:rsidRPr="00E22A30">
              <w:rPr>
                <w:bCs/>
              </w:rPr>
              <w:t>Oliveira et al.</w:t>
            </w:r>
          </w:p>
        </w:tc>
        <w:tc>
          <w:tcPr>
            <w:tcW w:w="864" w:type="dxa"/>
            <w:vAlign w:val="center"/>
          </w:tcPr>
          <w:p w14:paraId="375D8768" w14:textId="1BCFC9FC" w:rsidR="00593844" w:rsidRPr="00E22A30" w:rsidRDefault="002B0E09" w:rsidP="0061247A">
            <w:pPr>
              <w:pStyle w:val="Corpodetexto"/>
              <w:ind w:left="0"/>
              <w:jc w:val="center"/>
              <w:rPr>
                <w:bCs/>
              </w:rPr>
            </w:pPr>
            <w:r w:rsidRPr="00E22A30">
              <w:rPr>
                <w:bCs/>
              </w:rPr>
              <w:t>2022</w:t>
            </w:r>
          </w:p>
        </w:tc>
        <w:tc>
          <w:tcPr>
            <w:tcW w:w="2499" w:type="dxa"/>
            <w:vAlign w:val="center"/>
          </w:tcPr>
          <w:p w14:paraId="1A207514" w14:textId="1CA001A0" w:rsidR="00593844" w:rsidRPr="00E22A30" w:rsidRDefault="00163F28" w:rsidP="0061247A">
            <w:pPr>
              <w:pStyle w:val="Corpodetexto"/>
              <w:ind w:left="0"/>
              <w:jc w:val="center"/>
              <w:rPr>
                <w:bCs/>
              </w:rPr>
            </w:pPr>
            <w:r w:rsidRPr="00E22A30">
              <w:rPr>
                <w:bCs/>
              </w:rPr>
              <w:t>Analisar estratégias integradas relacionadas à promoção do envelhecimento saudável e da qualidade de vida da pessoa idosa.</w:t>
            </w:r>
          </w:p>
        </w:tc>
        <w:tc>
          <w:tcPr>
            <w:tcW w:w="1699" w:type="dxa"/>
            <w:vAlign w:val="center"/>
          </w:tcPr>
          <w:p w14:paraId="35EEC80A" w14:textId="1B091D26" w:rsidR="00593844" w:rsidRPr="00E22A30" w:rsidRDefault="00163F28" w:rsidP="0061247A">
            <w:pPr>
              <w:pStyle w:val="Corpodetexto"/>
              <w:ind w:left="0"/>
              <w:jc w:val="center"/>
              <w:rPr>
                <w:bCs/>
              </w:rPr>
            </w:pPr>
            <w:r w:rsidRPr="00E22A30">
              <w:rPr>
                <w:bCs/>
              </w:rPr>
              <w:t>Revisão integrativa</w:t>
            </w:r>
          </w:p>
        </w:tc>
      </w:tr>
      <w:tr w:rsidR="00593844" w:rsidRPr="00E22A30" w14:paraId="713BA657" w14:textId="4C2F970E" w:rsidTr="0061247A">
        <w:trPr>
          <w:jc w:val="center"/>
        </w:trPr>
        <w:tc>
          <w:tcPr>
            <w:tcW w:w="0" w:type="auto"/>
            <w:vAlign w:val="center"/>
          </w:tcPr>
          <w:p w14:paraId="0B229ACF" w14:textId="4E4E3EE3" w:rsidR="00593844" w:rsidRPr="00E22A30" w:rsidRDefault="00F85BD9" w:rsidP="0061247A">
            <w:pPr>
              <w:pStyle w:val="Corpodetexto"/>
              <w:ind w:left="0"/>
              <w:jc w:val="center"/>
              <w:rPr>
                <w:bCs/>
              </w:rPr>
            </w:pPr>
            <w:r w:rsidRPr="00E22A30">
              <w:rPr>
                <w:bCs/>
              </w:rPr>
              <w:t>O benefício da atuação fisioterapêutica ao idoso atendido na Atenção Básica: uma revisão integrativa</w:t>
            </w:r>
          </w:p>
        </w:tc>
        <w:tc>
          <w:tcPr>
            <w:tcW w:w="1377" w:type="dxa"/>
            <w:vAlign w:val="center"/>
          </w:tcPr>
          <w:p w14:paraId="4999A9B3" w14:textId="1AC8E44D" w:rsidR="00593844" w:rsidRPr="00E22A30" w:rsidRDefault="002B0E09" w:rsidP="0061247A">
            <w:pPr>
              <w:pStyle w:val="Corpodetexto"/>
              <w:ind w:left="0"/>
              <w:jc w:val="center"/>
              <w:rPr>
                <w:bCs/>
              </w:rPr>
            </w:pPr>
            <w:r w:rsidRPr="00E22A30">
              <w:rPr>
                <w:bCs/>
              </w:rPr>
              <w:t>Silva e Andrade</w:t>
            </w:r>
          </w:p>
        </w:tc>
        <w:tc>
          <w:tcPr>
            <w:tcW w:w="864" w:type="dxa"/>
            <w:vAlign w:val="center"/>
          </w:tcPr>
          <w:p w14:paraId="27102234" w14:textId="69953813" w:rsidR="00593844" w:rsidRPr="00E22A30" w:rsidRDefault="002B0E09" w:rsidP="0061247A">
            <w:pPr>
              <w:pStyle w:val="Corpodetexto"/>
              <w:ind w:left="0"/>
              <w:jc w:val="center"/>
              <w:rPr>
                <w:bCs/>
              </w:rPr>
            </w:pPr>
            <w:r w:rsidRPr="00E22A30">
              <w:rPr>
                <w:bCs/>
              </w:rPr>
              <w:t>2022</w:t>
            </w:r>
          </w:p>
        </w:tc>
        <w:tc>
          <w:tcPr>
            <w:tcW w:w="2499" w:type="dxa"/>
            <w:vAlign w:val="center"/>
          </w:tcPr>
          <w:p w14:paraId="30FCE721" w14:textId="182A5DDC" w:rsidR="00593844" w:rsidRPr="00E22A30" w:rsidRDefault="00163F28" w:rsidP="0061247A">
            <w:pPr>
              <w:pStyle w:val="Corpodetexto"/>
              <w:ind w:left="0"/>
              <w:jc w:val="center"/>
              <w:rPr>
                <w:bCs/>
              </w:rPr>
            </w:pPr>
            <w:r w:rsidRPr="00E22A30">
              <w:rPr>
                <w:bCs/>
              </w:rPr>
              <w:t>Analisar os benefícios da Fisioterapia na Atenção Básica quanto à prevenção de doenças e promoção da saúde da população idosa.</w:t>
            </w:r>
          </w:p>
        </w:tc>
        <w:tc>
          <w:tcPr>
            <w:tcW w:w="1699" w:type="dxa"/>
            <w:vAlign w:val="center"/>
          </w:tcPr>
          <w:p w14:paraId="58C2D305" w14:textId="2D6EE645" w:rsidR="00593844" w:rsidRPr="00E22A30" w:rsidRDefault="00163F28" w:rsidP="0061247A">
            <w:pPr>
              <w:pStyle w:val="Corpodetexto"/>
              <w:ind w:left="0"/>
              <w:jc w:val="center"/>
              <w:rPr>
                <w:bCs/>
              </w:rPr>
            </w:pPr>
            <w:r w:rsidRPr="00E22A30">
              <w:rPr>
                <w:bCs/>
              </w:rPr>
              <w:t>Revisão integrativa</w:t>
            </w:r>
          </w:p>
        </w:tc>
      </w:tr>
      <w:tr w:rsidR="00F85BD9" w:rsidRPr="00E22A30" w14:paraId="2B42B834" w14:textId="77777777" w:rsidTr="0061247A">
        <w:trPr>
          <w:jc w:val="center"/>
        </w:trPr>
        <w:tc>
          <w:tcPr>
            <w:tcW w:w="0" w:type="auto"/>
            <w:vAlign w:val="center"/>
          </w:tcPr>
          <w:p w14:paraId="3D8B36D8" w14:textId="5631D016" w:rsidR="00F85BD9" w:rsidRPr="00E22A30" w:rsidRDefault="00F85BD9" w:rsidP="0061247A">
            <w:pPr>
              <w:pStyle w:val="Corpodetexto"/>
              <w:ind w:left="0"/>
              <w:jc w:val="center"/>
              <w:rPr>
                <w:bCs/>
              </w:rPr>
            </w:pPr>
            <w:r w:rsidRPr="00E22A30">
              <w:rPr>
                <w:bCs/>
              </w:rPr>
              <w:t>Envelhecer com saúde: uma scoping review sobre anos com vida</w:t>
            </w:r>
          </w:p>
        </w:tc>
        <w:tc>
          <w:tcPr>
            <w:tcW w:w="1377" w:type="dxa"/>
            <w:vAlign w:val="center"/>
          </w:tcPr>
          <w:p w14:paraId="20C3C9B9" w14:textId="667E467D" w:rsidR="00F85BD9" w:rsidRPr="00E22A30" w:rsidRDefault="002B0E09" w:rsidP="0061247A">
            <w:pPr>
              <w:pStyle w:val="Corpodetexto"/>
              <w:ind w:left="0"/>
              <w:jc w:val="center"/>
              <w:rPr>
                <w:bCs/>
              </w:rPr>
            </w:pPr>
            <w:r w:rsidRPr="00E22A30">
              <w:rPr>
                <w:bCs/>
              </w:rPr>
              <w:t>Galvão, Ala e Barbosa</w:t>
            </w:r>
          </w:p>
        </w:tc>
        <w:tc>
          <w:tcPr>
            <w:tcW w:w="864" w:type="dxa"/>
            <w:vAlign w:val="center"/>
          </w:tcPr>
          <w:p w14:paraId="121E7C1A" w14:textId="4D9C9A8B" w:rsidR="00F85BD9" w:rsidRPr="00E22A30" w:rsidRDefault="002B0E09" w:rsidP="0061247A">
            <w:pPr>
              <w:pStyle w:val="Corpodetexto"/>
              <w:ind w:left="0"/>
              <w:jc w:val="center"/>
              <w:rPr>
                <w:bCs/>
              </w:rPr>
            </w:pPr>
            <w:r w:rsidRPr="00E22A30">
              <w:rPr>
                <w:bCs/>
              </w:rPr>
              <w:t>2026</w:t>
            </w:r>
          </w:p>
        </w:tc>
        <w:tc>
          <w:tcPr>
            <w:tcW w:w="2499" w:type="dxa"/>
            <w:vAlign w:val="center"/>
          </w:tcPr>
          <w:p w14:paraId="368BA645" w14:textId="1CE3FC38" w:rsidR="00F85BD9" w:rsidRPr="00E22A30" w:rsidRDefault="002724A6" w:rsidP="0061247A">
            <w:pPr>
              <w:pStyle w:val="Corpodetexto"/>
              <w:ind w:left="0"/>
              <w:jc w:val="center"/>
              <w:rPr>
                <w:bCs/>
              </w:rPr>
            </w:pPr>
            <w:r w:rsidRPr="00E22A30">
              <w:rPr>
                <w:bCs/>
              </w:rPr>
              <w:t>Analisar criticamente o conceito de "anos com vida", diferenciando-o da longevidade cronológica e examinando o envelhecimento saudável na literatura científica.</w:t>
            </w:r>
          </w:p>
        </w:tc>
        <w:tc>
          <w:tcPr>
            <w:tcW w:w="1699" w:type="dxa"/>
            <w:vAlign w:val="center"/>
          </w:tcPr>
          <w:p w14:paraId="26768115" w14:textId="4C0FE15D" w:rsidR="00F85BD9" w:rsidRPr="00E22A30" w:rsidRDefault="00163F28" w:rsidP="0061247A">
            <w:pPr>
              <w:pStyle w:val="Corpodetexto"/>
              <w:ind w:left="0"/>
              <w:jc w:val="center"/>
              <w:rPr>
                <w:bCs/>
              </w:rPr>
            </w:pPr>
            <w:r w:rsidRPr="00E22A30">
              <w:rPr>
                <w:bCs/>
              </w:rPr>
              <w:t>Scoping revien</w:t>
            </w:r>
          </w:p>
        </w:tc>
      </w:tr>
    </w:tbl>
    <w:p w14:paraId="5F4578DA" w14:textId="0DC6DDA1" w:rsidR="00132E30" w:rsidRPr="00E22A30" w:rsidRDefault="0061247A" w:rsidP="0061247A">
      <w:pPr>
        <w:pStyle w:val="Corpodetexto"/>
        <w:pBdr>
          <w:top w:val="single" w:sz="4" w:space="21" w:color="auto"/>
        </w:pBdr>
        <w:ind w:left="0"/>
        <w:jc w:val="both"/>
        <w:rPr>
          <w:bCs/>
        </w:rPr>
      </w:pPr>
      <w:r>
        <w:rPr>
          <w:bCs/>
        </w:rPr>
        <w:t>Fonte: Autoria própria (2026).</w:t>
      </w:r>
    </w:p>
    <w:p w14:paraId="1C1511BC" w14:textId="77777777" w:rsidR="00997C11" w:rsidRPr="00E22A30" w:rsidRDefault="00997C11" w:rsidP="0061247A">
      <w:pPr>
        <w:pStyle w:val="Corpodetexto"/>
        <w:pBdr>
          <w:top w:val="single" w:sz="4" w:space="21" w:color="auto"/>
        </w:pBdr>
        <w:ind w:left="0"/>
        <w:jc w:val="both"/>
        <w:rPr>
          <w:bCs/>
        </w:rPr>
      </w:pPr>
    </w:p>
    <w:p w14:paraId="28054C21" w14:textId="77777777" w:rsidR="00243D76" w:rsidRPr="005C0148" w:rsidRDefault="00243D76" w:rsidP="00243D76">
      <w:pPr>
        <w:spacing w:line="360" w:lineRule="auto"/>
        <w:jc w:val="both"/>
        <w:rPr>
          <w:b/>
          <w:bCs/>
        </w:rPr>
      </w:pPr>
      <w:r w:rsidRPr="005C0148">
        <w:rPr>
          <w:b/>
          <w:bCs/>
        </w:rPr>
        <w:t>3.1 Capacidade intrínseca, funcionalidade e identificação do declínio funcional</w:t>
      </w:r>
    </w:p>
    <w:p w14:paraId="6E466667" w14:textId="77777777" w:rsidR="00243D76" w:rsidRPr="005C0148" w:rsidRDefault="00243D76" w:rsidP="00243D76">
      <w:pPr>
        <w:spacing w:line="360" w:lineRule="auto"/>
        <w:ind w:firstLine="708"/>
        <w:jc w:val="both"/>
      </w:pPr>
      <w:r w:rsidRPr="005C0148">
        <w:t xml:space="preserve">Valle et al. (2024), ao avaliarem 209 idosos institucionalizados, identificaram comprometimento </w:t>
      </w:r>
      <w:r w:rsidRPr="005C0148">
        <w:lastRenderedPageBreak/>
        <w:t>de quatro ou mais domínios da capacidade intrínseca em 54,07% dos participantes, sendo a locomoção o domínio mais afetado, presente em 82,78% da amostra. Também foram encontrados 43,54% de dependência total para atividades básicas da vida diária e 42,58% de fragilidade. Outro resultado relevante foi a associação entre comprometimento de quatro ou mais domínios e mortalidade após 30 meses (p=0,044). Esses achados mostram que diferentes perdas podem estar presentes simultaneamente e, em nossa compreensão, reforçam a importância de observar a condição funcional de forma ampla, sem restringir o acompanhamento da pessoa idosa apenas às doenças diagnosticadas.</w:t>
      </w:r>
    </w:p>
    <w:p w14:paraId="1DD36426" w14:textId="77777777" w:rsidR="00243D76" w:rsidRPr="005C0148" w:rsidRDefault="00243D76" w:rsidP="00243D76">
      <w:pPr>
        <w:spacing w:line="360" w:lineRule="auto"/>
        <w:ind w:firstLine="708"/>
        <w:jc w:val="both"/>
      </w:pPr>
      <w:r w:rsidRPr="005C0148">
        <w:t>A relevância da mobilidade também aparece em Jacob e Pereira (2025). Entre os 31 idosos institucionalizados avaliados, 64,52% apresentaram fragilidade, que esteve associada ao uso de auxiliar de marcha (p=0,004), à mobilidade funcional (p&lt;0,001), à dependência funcional (p&lt;0,001) e ao risco de queda (p&lt;0,001). Quando aproximamos esses resultados dos achados de Valle et al. (2024), a locomoção aparece como um ponto comum entre os estudos e merece atenção no acompanhamento funcional. Dificuldades progressivas para caminhar ou realizar tarefas cotidianas não devem ser interpretadas automaticamente como consequências inevitáveis da idade, pois podem estar relacionadas a uma condição de maior vulnerabilidade e necessidade de acompanhamento.</w:t>
      </w:r>
    </w:p>
    <w:p w14:paraId="51B5BA7B" w14:textId="77777777" w:rsidR="00243D76" w:rsidRPr="005C0148" w:rsidRDefault="00243D76" w:rsidP="00243D76">
      <w:pPr>
        <w:spacing w:line="360" w:lineRule="auto"/>
        <w:ind w:firstLine="708"/>
        <w:jc w:val="both"/>
      </w:pPr>
      <w:r w:rsidRPr="005C0148">
        <w:t>Apesar dessa aproximação, é necessário considerar que Valle et al. (2024) e Jacob e Pereira (2025) investigaram idosos institucionalizados, o que exige cautela ao relacionar suas prevalências diretamente à população acompanhada na Atenção Primária. Ainda assim, os estudos ajudam a reconhecer aspectos funcionais que merecem atenção. Essa discussão é ampliada por Galvão, Ala e Barbosa (2026), que, a partir de 16 estudos, diferenciam longevidade cronológica de envelhecimento vivido com saúde e destacam capacidade intrínseca, funcionalidade e fatores modificáveis como elementos importantes para a qualidade dos anos vividos. Dessa forma, os três trabalhos convergem para uma compreensão do envelhecimento que valoriza não somente viver mais, mas preservar condições para continuar realizando atividades com autonomia.</w:t>
      </w:r>
    </w:p>
    <w:p w14:paraId="43BFCEC2" w14:textId="77777777" w:rsidR="00243D76" w:rsidRPr="005C0148" w:rsidRDefault="00243D76" w:rsidP="00243D76">
      <w:pPr>
        <w:spacing w:line="360" w:lineRule="auto"/>
        <w:ind w:firstLine="708"/>
        <w:jc w:val="both"/>
      </w:pPr>
      <w:r w:rsidRPr="005C0148">
        <w:t>Ao reunirmos esses achados, entendemos que identificar precocemente o declínio funcional não significa prever que toda alteração levará necessariamente à dependência. O que se busca é reconhecer mudanças enquanto ainda existem capacidades que podem ser acompanhadas e preservadas. Valle et al. (2024) mostram a importância do comprometimento simultâneo dos domínios, Jacob e Pereira (2025) aproximam fragilidade e desempenho funcional, enquanto Galvão, Ala e Barbosa (2026) inserem essas questões na discussão sobre a qualidade dos anos vividos. Para nós, essa relação entre os estudos evidencia que a funcionalidade precisa ser valorizada antes de sua perda completa, favorecendo uma abordagem preventiva e mais atenta às particularidades apresentadas por cada pessoa durante o envelhecimento.</w:t>
      </w:r>
    </w:p>
    <w:p w14:paraId="306BCCA8" w14:textId="77777777" w:rsidR="00243D76" w:rsidRPr="005C0148" w:rsidRDefault="00243D76" w:rsidP="00243D76">
      <w:pPr>
        <w:spacing w:line="360" w:lineRule="auto"/>
        <w:jc w:val="both"/>
        <w:rPr>
          <w:b/>
          <w:bCs/>
        </w:rPr>
      </w:pPr>
      <w:r w:rsidRPr="005C0148">
        <w:rPr>
          <w:b/>
          <w:bCs/>
        </w:rPr>
        <w:t>3.2 Avaliação multidimensional e cuidado à pessoa idosa</w:t>
      </w:r>
    </w:p>
    <w:p w14:paraId="32971D40" w14:textId="77777777" w:rsidR="00243D76" w:rsidRPr="005C0148" w:rsidRDefault="00243D76" w:rsidP="00243D76">
      <w:pPr>
        <w:spacing w:line="360" w:lineRule="auto"/>
        <w:ind w:firstLine="708"/>
        <w:jc w:val="both"/>
      </w:pPr>
      <w:r w:rsidRPr="005C0148">
        <w:t xml:space="preserve">A necessidade de compreender a pessoa idosa para além do diagnóstico clínico é destacada por </w:t>
      </w:r>
      <w:r w:rsidRPr="005C0148">
        <w:lastRenderedPageBreak/>
        <w:t>Roma et al. (2022), ao mostrarem que indivíduos com idades semelhantes podem apresentar condições bastante diferentes devido à multimorbidade, polifarmácia, alterações sensoriais, comprometimento cognitivo e incapacidade funcional. Nesse contexto, a Avaliação Geriátrica Ampla permite integrar diferentes dimensões e contribuir para um plano de cuidado individualizado. Essa perspectiva nos parece importante porque uma doença controlada não significa, necessariamente, funcionalidade preservada. Assim, compreender como as condições existentes interferem na rotina, independência e capacidade de realizar atividades acrescenta informações que dificilmente seriam obtidas quando a avaliação permanece concentrada somente no diagnóstico.</w:t>
      </w:r>
    </w:p>
    <w:p w14:paraId="6A4A0061" w14:textId="77777777" w:rsidR="00243D76" w:rsidRPr="005C0148" w:rsidRDefault="00243D76" w:rsidP="00243D76">
      <w:pPr>
        <w:spacing w:line="360" w:lineRule="auto"/>
        <w:ind w:firstLine="708"/>
        <w:jc w:val="both"/>
      </w:pPr>
      <w:r w:rsidRPr="005C0148">
        <w:t>Oliveira et al. (2026) ampliam essa discussão ao reunirem 75 estudos relacionados ao envelhecimento saudável, identificando estratégias envolvendo locomoção e vitalidade, cognição, aspectos psicológicos, sensoriais, participação e ambiente. Ao aproximarmos esses achados de Roma et al. (2022), percebe-se uma convergência quanto à necessidade de evitar uma leitura fragmentada da pessoa idosa. Um indivíduo pode manter determinada capacidade enquanto apresenta dificuldades importantes em outra dimensão, o que torna insuficiente uma avaliação baseada em um único componente. Em nossa interpretação, reconhecer essa diversidade é fundamental para que o cuidado não seja padronizado apenas pela idade ou pelo diagnóstico, mas orientado pelas necessidades e capacidades realmente apresentadas pela pessoa avaliada.</w:t>
      </w:r>
    </w:p>
    <w:p w14:paraId="33FD8B2A" w14:textId="77777777" w:rsidR="00243D76" w:rsidRPr="005C0148" w:rsidRDefault="00243D76" w:rsidP="00243D76">
      <w:pPr>
        <w:spacing w:line="360" w:lineRule="auto"/>
        <w:ind w:firstLine="708"/>
        <w:jc w:val="both"/>
      </w:pPr>
      <w:r w:rsidRPr="005C0148">
        <w:t>Essa visão multidimensional também ajuda a delimitar o lugar da Fisioterapia. Mobilidade, força, equilíbrio, marcha e desempenho funcional constituem componentes diretamente relacionados à avaliação fisioterapêutica, enquanto alterações cognitivas, psicológicas, sensoriais e outras necessidades requerem participação dos demais profissionais. Roma et al. (2022) reforçam justamente o caráter interdisciplinar da avaliação, enquanto Oliveira et al. (2026) evidenciam a diversidade de dimensões envolvidas no envelhecimento. Dessa maneira, entendemos que reconhecer os limites de cada profissão não enfraquece a atuação fisioterapêutica; ao contrário, permite que ela seja integrada de forma mais coerente ao cuidado, evitando que uma única área assuma responsabilidades que pertencem ao trabalho conjunto da equipe.</w:t>
      </w:r>
    </w:p>
    <w:p w14:paraId="20D0A2C0" w14:textId="77777777" w:rsidR="00243D76" w:rsidRPr="005C0148" w:rsidRDefault="00243D76" w:rsidP="00243D76">
      <w:pPr>
        <w:spacing w:line="360" w:lineRule="auto"/>
        <w:ind w:firstLine="708"/>
        <w:jc w:val="both"/>
      </w:pPr>
      <w:r w:rsidRPr="005C0148">
        <w:t>Na Atenção Primária, essa integração pode favorecer a observação de mudanças que surgem progressivamente no cotidiano da pessoa idosa. Uma marcha mais insegura, redução da mobilidade ou dificuldade crescente para executar determinada tarefa pode ser analisada juntamente com outras alterações identificadas pela equipe. A partir das contribuições de Roma et al. (2022) e Oliveira et al. (2026), compreendemos que a finalidade não deve ser procurar déficits de maneira excessiva, mas reconhecer necessidades e, ao mesmo tempo, valorizar capacidades preservadas. Essa reflexão é importante porque o envelhecimento não pode ser reduzido a uma sucessão inevitável de perdas. Avaliar de maneira multidimensional significa compreender aquilo que necessita de cuidado sem deixar de considerar o que a pessoa ainda consegue realizar com independência.</w:t>
      </w:r>
    </w:p>
    <w:p w14:paraId="7F006714" w14:textId="77777777" w:rsidR="00243D76" w:rsidRPr="00656FA7" w:rsidRDefault="00243D76" w:rsidP="00243D76">
      <w:pPr>
        <w:spacing w:line="360" w:lineRule="auto"/>
        <w:jc w:val="both"/>
        <w:rPr>
          <w:b/>
          <w:bCs/>
        </w:rPr>
      </w:pPr>
      <w:r w:rsidRPr="00656FA7">
        <w:rPr>
          <w:b/>
          <w:bCs/>
        </w:rPr>
        <w:lastRenderedPageBreak/>
        <w:t>3.3 Atuação da Fisioterapia na preservação da capacidade intrínseca na A</w:t>
      </w:r>
      <w:r>
        <w:rPr>
          <w:b/>
          <w:bCs/>
        </w:rPr>
        <w:t>PS</w:t>
      </w:r>
    </w:p>
    <w:p w14:paraId="4D7F6778" w14:textId="77777777" w:rsidR="00243D76" w:rsidRPr="00656FA7" w:rsidRDefault="00243D76" w:rsidP="00243D76">
      <w:pPr>
        <w:spacing w:line="360" w:lineRule="auto"/>
        <w:ind w:firstLine="708"/>
        <w:jc w:val="both"/>
      </w:pPr>
      <w:r w:rsidRPr="00656FA7">
        <w:t>Quando se observa a atuação da Fisioterapia na Atenção Básica, percebe-se que seu papel pode ir além do atendimento de limitações já instaladas. Silva e Andrade (2022) descrevem possibilidades relacionadas à promoção da saúde, prevenção e acompanhamento das alterações físico-funcionais, considerando avaliações de equilíbrio, velocidade da marcha, capacidade de levantar-se da cadeira e desempenho funcional. Esses aspectos se aproximam dos achados de Valle et al. (2024) e Jacob e Pereira (2025), principalmente quando os autores relacionam mobilidade, fragilidade e dependência. Para nós, essa aproximação é importante porque mostra que avaliar o movimento não significa apenas obter o resultado de um teste, mas compreender o que determinada alteração pode representar para a independência e para as atividades realizadas diariamente pela pessoa idosa.</w:t>
      </w:r>
    </w:p>
    <w:p w14:paraId="2EFF3F29" w14:textId="77777777" w:rsidR="00243D76" w:rsidRDefault="00243D76" w:rsidP="00243D76">
      <w:pPr>
        <w:spacing w:line="360" w:lineRule="auto"/>
        <w:ind w:firstLine="708"/>
        <w:jc w:val="both"/>
      </w:pPr>
      <w:r w:rsidRPr="00656FA7">
        <w:t>Cavalcante et al. (2023) trazem um resultado que merece ser observado com atenção. O estudo avaliou 67 idosos com queixas cognitivas, distribuídos entre treinamento de força tradicional, treinamento com dispositivos de instabilidade e grupo controle, durante um período de 12 semanas. Ao final, não foram encontradas diferenças entre os grupos quanto à capacidade intrínseca global. No entanto, quando os participantes submetidos aos dois tipos de treinamento foram analisados em conjunto, houve melhora no domínio locomotor (+1,97; p=0,045). Esse resultado nos parece relevante porque mostra que a ausência de mudança na capacidade intrínseca como um todo não significa que nenhum componente tenha apresentado resposta. Nesse caso, olhar separadamente para a locomoção permitiu perceber uma mudança que poderia passar despercebida em uma análise exclusivamente global.</w:t>
      </w:r>
    </w:p>
    <w:p w14:paraId="4D041156" w14:textId="2CB175C1" w:rsidR="00243D76" w:rsidRPr="00656FA7" w:rsidRDefault="00243D76" w:rsidP="00243D76">
      <w:pPr>
        <w:spacing w:line="360" w:lineRule="auto"/>
        <w:ind w:firstLine="708"/>
        <w:jc w:val="both"/>
      </w:pPr>
      <w:r w:rsidRPr="00656FA7">
        <w:t>A locomoção volta a chamar atenção quando esse resultado é relacionado, com a devida cautela, aos trabalhos de Valle et al. (2024) e Jacob e Pereira (2025). Nos estudos com idosos institucionalizados, alterações ligadas à mobilidade aparecem associadas à fragilidade, dependência e maior vulnerabilidade; já Cavalcante et al. (2023), utilizando outro desenho metodológico e uma população diferente, identificaram resposta no domínio locomotor após o treinamento. Esses resultados não permitem afirmar uma relação de causa e efeito entre os estudos, mas mostram que a mobilidade aparece de maneira recorrente quando se discute funcionalidade no envelhecimento. Ao mesmo tempo, Roma et al. (2022) lembram que a condição da pessoa idosa envolve diferentes dimensões. Por isso, entendemos que trabalhar aspectos locomotores é importante, porém não representa, isoladamente, toda a preservação da capacidade intrínseca.</w:t>
      </w:r>
    </w:p>
    <w:p w14:paraId="6ADD26D8" w14:textId="1E115194" w:rsidR="008B6EAA" w:rsidRPr="00243D76" w:rsidRDefault="00243D76" w:rsidP="00243D76">
      <w:pPr>
        <w:spacing w:line="360" w:lineRule="auto"/>
        <w:ind w:firstLine="708"/>
        <w:jc w:val="both"/>
      </w:pPr>
      <w:r w:rsidRPr="00656FA7">
        <w:t xml:space="preserve">Diante desses achados, compreendemos que ampliar a participação da Fisioterapia na APS não significa deixar de lado a reabilitação, mas acrescentar possibilidades de acompanhamento antes que determinadas perdas se tornem mais acentuadas. Silva e Andrade (2022) apontam caminhos para essa atuação na Atenção Básica, enquanto Cavalcante et al. (2023), Valle et al. (2024) e Jacob e Pereira (2025) ajudam a compreender por que os componentes físico-funcionais merecem atenção. Na nossa </w:t>
      </w:r>
      <w:r w:rsidRPr="00656FA7">
        <w:lastRenderedPageBreak/>
        <w:t>visão, esperar que a pessoa idosa apresente uma perda expressiva de independência para somente então valorizar sua funcionalidade reduz as possibilidades de um cuidado preventivo. O fisioterapeuta pode acompanhar mudanças na mobilidade, força, equilíbrio e desempenho funcional e, quando identificar necessidades que ultrapassem sua área de atuação, compartilhar o cuidado com os demais profissionais da equipe.</w:t>
      </w:r>
    </w:p>
    <w:p w14:paraId="6A87B71E" w14:textId="118E8950" w:rsidR="00505769" w:rsidRDefault="001E116F" w:rsidP="0061247A">
      <w:pPr>
        <w:pStyle w:val="PargrafodaLista"/>
        <w:numPr>
          <w:ilvl w:val="0"/>
          <w:numId w:val="1"/>
        </w:numPr>
        <w:ind w:left="142"/>
        <w:jc w:val="both"/>
        <w:rPr>
          <w:b/>
          <w:sz w:val="24"/>
        </w:rPr>
      </w:pPr>
      <w:r>
        <w:rPr>
          <w:b/>
          <w:sz w:val="24"/>
        </w:rPr>
        <w:t>CON</w:t>
      </w:r>
      <w:r w:rsidR="002A6299">
        <w:rPr>
          <w:b/>
          <w:sz w:val="24"/>
        </w:rPr>
        <w:t>SIDERAÇÕES FINAIS</w:t>
      </w:r>
    </w:p>
    <w:p w14:paraId="45AA96CD" w14:textId="77777777" w:rsidR="00E22A30" w:rsidRDefault="00E22A30" w:rsidP="0061247A">
      <w:pPr>
        <w:tabs>
          <w:tab w:val="left" w:pos="465"/>
        </w:tabs>
        <w:jc w:val="both"/>
        <w:rPr>
          <w:bCs/>
          <w:sz w:val="24"/>
        </w:rPr>
      </w:pPr>
    </w:p>
    <w:p w14:paraId="6AB0499B" w14:textId="77777777" w:rsidR="0052285D" w:rsidRPr="0052285D" w:rsidRDefault="00E22A30" w:rsidP="0052285D">
      <w:pPr>
        <w:tabs>
          <w:tab w:val="left" w:pos="465"/>
        </w:tabs>
        <w:spacing w:line="360" w:lineRule="auto"/>
        <w:jc w:val="both"/>
        <w:rPr>
          <w:bCs/>
          <w:sz w:val="24"/>
        </w:rPr>
      </w:pPr>
      <w:r>
        <w:rPr>
          <w:bCs/>
          <w:sz w:val="24"/>
        </w:rPr>
        <w:tab/>
      </w:r>
      <w:r w:rsidR="0052285D" w:rsidRPr="0052285D">
        <w:rPr>
          <w:bCs/>
          <w:sz w:val="24"/>
        </w:rPr>
        <w:t>Os estudos analisados demonstram que o acompanhamento da capacidade intrínseca e da funcionalidade pode favorecer a identificação de alterações relacionadas à mobilidade, força, equilíbrio e desempenho das atividades cotidianas da pessoa idosa. Esses aspectos assumem relevância por estarem associados à fragilidade, dependência e maior vulnerabilidade funcional. Nesse sentido, reconhecer essas mudanças precocemente amplia as possibilidades de cuidado voltadas à preservação da autonomia e das capacidades ainda existentes.</w:t>
      </w:r>
    </w:p>
    <w:p w14:paraId="08049DF2" w14:textId="197652B7" w:rsidR="0052285D" w:rsidRPr="0052285D" w:rsidRDefault="0052285D" w:rsidP="0052285D">
      <w:pPr>
        <w:tabs>
          <w:tab w:val="left" w:pos="465"/>
        </w:tabs>
        <w:spacing w:line="360" w:lineRule="auto"/>
        <w:jc w:val="both"/>
        <w:rPr>
          <w:bCs/>
          <w:sz w:val="24"/>
        </w:rPr>
      </w:pPr>
      <w:r>
        <w:rPr>
          <w:bCs/>
          <w:sz w:val="24"/>
        </w:rPr>
        <w:tab/>
      </w:r>
      <w:r w:rsidRPr="0052285D">
        <w:rPr>
          <w:bCs/>
          <w:sz w:val="24"/>
        </w:rPr>
        <w:t>A Fisioterapia apresenta contribuição importante nesse processo, especialmente na Atenção Primária à Saúde, onde pode atuar na avaliação e no acompanhamento das condições físico-funcionais, além de desenvolver ações de prevenção e promoção da saúde. Essa perspectiva amplia sua participação para além da reabilitação de incapacidades já instaladas e favorece uma atuação integrada aos demais profissionais. Na prática, o acompanhamento periódico da mobilidade e do desempenho funcional pode auxiliar na identificação de idosos que necessitam de atenção mais direcionada.</w:t>
      </w:r>
    </w:p>
    <w:p w14:paraId="229CC8F4" w14:textId="6B4FF651" w:rsidR="006627FC" w:rsidRDefault="0052285D" w:rsidP="0052285D">
      <w:pPr>
        <w:tabs>
          <w:tab w:val="left" w:pos="465"/>
        </w:tabs>
        <w:spacing w:line="360" w:lineRule="auto"/>
        <w:jc w:val="both"/>
        <w:rPr>
          <w:bCs/>
          <w:sz w:val="24"/>
        </w:rPr>
      </w:pPr>
      <w:r>
        <w:rPr>
          <w:bCs/>
          <w:sz w:val="24"/>
        </w:rPr>
        <w:tab/>
      </w:r>
      <w:r w:rsidRPr="0052285D">
        <w:rPr>
          <w:bCs/>
          <w:sz w:val="24"/>
        </w:rPr>
        <w:t>Conclui-se que a participação da Fisioterapia na identificação precoce do declínio funcional pode contribuir para a preservação da capacidade intrínseca e da independência durante o envelhecimento. Os achados também reforçam a importância de ampliar a abordagem preventiva da funcionalidade na APS. Recomenda-se a realização de novos estudos, especialmente em contextos de Atenção Primária, que investiguem intervenções e estratégias específicas da Fisioterapia e seus efeitos sobre os diferentes domínios da capacidade intrínseca.</w:t>
      </w:r>
    </w:p>
    <w:p w14:paraId="78BD2602" w14:textId="77777777" w:rsidR="00243D76" w:rsidRDefault="00243D76" w:rsidP="0061247A">
      <w:pPr>
        <w:ind w:left="285"/>
        <w:jc w:val="both"/>
        <w:rPr>
          <w:bCs/>
          <w:sz w:val="24"/>
        </w:rPr>
      </w:pPr>
    </w:p>
    <w:p w14:paraId="318AE8E8" w14:textId="77777777" w:rsidR="00243D76" w:rsidRDefault="00243D76" w:rsidP="0061247A">
      <w:pPr>
        <w:ind w:left="285"/>
        <w:jc w:val="both"/>
        <w:rPr>
          <w:bCs/>
          <w:sz w:val="24"/>
        </w:rPr>
      </w:pPr>
    </w:p>
    <w:p w14:paraId="13B4D847" w14:textId="77777777" w:rsidR="00243D76" w:rsidRDefault="00243D76" w:rsidP="0061247A">
      <w:pPr>
        <w:ind w:left="285"/>
        <w:jc w:val="both"/>
        <w:rPr>
          <w:bCs/>
          <w:sz w:val="24"/>
        </w:rPr>
      </w:pPr>
    </w:p>
    <w:p w14:paraId="5FB6C05B" w14:textId="77777777" w:rsidR="00243D76" w:rsidRDefault="00243D76" w:rsidP="00DD1766">
      <w:pPr>
        <w:jc w:val="both"/>
        <w:rPr>
          <w:bCs/>
          <w:sz w:val="24"/>
        </w:rPr>
      </w:pPr>
    </w:p>
    <w:p w14:paraId="186459DF" w14:textId="77777777" w:rsidR="00667CD9" w:rsidRDefault="00667CD9" w:rsidP="00DD1766">
      <w:pPr>
        <w:jc w:val="both"/>
        <w:rPr>
          <w:bCs/>
          <w:sz w:val="24"/>
        </w:rPr>
      </w:pPr>
    </w:p>
    <w:p w14:paraId="39249F2B" w14:textId="77777777" w:rsidR="00243D76" w:rsidRDefault="00243D76" w:rsidP="0061247A">
      <w:pPr>
        <w:ind w:left="285"/>
        <w:jc w:val="both"/>
        <w:rPr>
          <w:bCs/>
          <w:sz w:val="24"/>
        </w:rPr>
      </w:pPr>
    </w:p>
    <w:p w14:paraId="730932F6" w14:textId="77777777" w:rsidR="006627FC" w:rsidRDefault="006627FC" w:rsidP="0061247A">
      <w:pPr>
        <w:ind w:left="285"/>
        <w:jc w:val="both"/>
        <w:rPr>
          <w:bCs/>
          <w:sz w:val="24"/>
        </w:rPr>
      </w:pPr>
    </w:p>
    <w:p w14:paraId="319E1CDA" w14:textId="77777777" w:rsidR="0052285D" w:rsidRDefault="0052285D" w:rsidP="0061247A">
      <w:pPr>
        <w:ind w:left="285"/>
        <w:jc w:val="both"/>
        <w:rPr>
          <w:bCs/>
          <w:sz w:val="24"/>
        </w:rPr>
      </w:pPr>
    </w:p>
    <w:p w14:paraId="4C73C27D" w14:textId="77777777" w:rsidR="0052285D" w:rsidRDefault="0052285D" w:rsidP="0061247A">
      <w:pPr>
        <w:ind w:left="285"/>
        <w:jc w:val="both"/>
        <w:rPr>
          <w:bCs/>
          <w:sz w:val="24"/>
        </w:rPr>
      </w:pPr>
    </w:p>
    <w:p w14:paraId="62B0A610" w14:textId="77777777" w:rsidR="0052285D" w:rsidRDefault="0052285D" w:rsidP="0061247A">
      <w:pPr>
        <w:ind w:left="285"/>
        <w:jc w:val="both"/>
        <w:rPr>
          <w:bCs/>
          <w:sz w:val="24"/>
        </w:rPr>
      </w:pPr>
    </w:p>
    <w:p w14:paraId="79157A1D" w14:textId="77777777" w:rsidR="0052285D" w:rsidRDefault="0052285D" w:rsidP="0061247A">
      <w:pPr>
        <w:ind w:left="285"/>
        <w:jc w:val="both"/>
        <w:rPr>
          <w:bCs/>
          <w:sz w:val="24"/>
        </w:rPr>
      </w:pPr>
    </w:p>
    <w:p w14:paraId="617E4F9F" w14:textId="1F7B922C" w:rsidR="003045B0" w:rsidRDefault="003045B0" w:rsidP="0061247A">
      <w:pPr>
        <w:ind w:left="285"/>
        <w:jc w:val="center"/>
        <w:rPr>
          <w:b/>
          <w:spacing w:val="-2"/>
          <w:sz w:val="24"/>
        </w:rPr>
      </w:pPr>
      <w:r>
        <w:rPr>
          <w:b/>
          <w:spacing w:val="-2"/>
          <w:sz w:val="24"/>
        </w:rPr>
        <w:lastRenderedPageBreak/>
        <w:t>REFERÊNCIAS</w:t>
      </w:r>
    </w:p>
    <w:p w14:paraId="45C1725C" w14:textId="77777777" w:rsidR="003045B0" w:rsidRDefault="003045B0" w:rsidP="0061247A">
      <w:pPr>
        <w:ind w:left="285"/>
        <w:jc w:val="both"/>
        <w:rPr>
          <w:b/>
          <w:sz w:val="24"/>
        </w:rPr>
      </w:pPr>
    </w:p>
    <w:p w14:paraId="294D06F8" w14:textId="77777777" w:rsidR="003045B0" w:rsidRDefault="003045B0" w:rsidP="0061247A">
      <w:pPr>
        <w:pStyle w:val="Corpodetexto"/>
        <w:jc w:val="both"/>
        <w:rPr>
          <w:lang w:val="pt-BR"/>
        </w:rPr>
      </w:pPr>
      <w:r w:rsidRPr="008F070A">
        <w:rPr>
          <w:lang w:val="pt-BR"/>
        </w:rPr>
        <w:t>CAVALCANTE, Bruno Remígio et al. Treinamento de força com e sem instabilidade não melhora os níveis gerais de capacidade intrínseca em idosos com queixas cognitivas. Revista Pesquisa em Fisioterapia, Salvador, v. 13, e4894, 2023. DOI: 10.17267/2238-2704rpf. 2023.e4894.</w:t>
      </w:r>
    </w:p>
    <w:p w14:paraId="710E5D72" w14:textId="77777777" w:rsidR="0061247A" w:rsidRPr="008F070A" w:rsidRDefault="0061247A" w:rsidP="0061247A">
      <w:pPr>
        <w:pStyle w:val="Corpodetexto"/>
        <w:jc w:val="both"/>
        <w:rPr>
          <w:lang w:val="pt-BR"/>
        </w:rPr>
      </w:pPr>
    </w:p>
    <w:p w14:paraId="0B111FE1" w14:textId="77777777" w:rsidR="003045B0" w:rsidRPr="008F070A" w:rsidRDefault="003045B0" w:rsidP="0061247A">
      <w:pPr>
        <w:pStyle w:val="Corpodetexto"/>
        <w:jc w:val="both"/>
        <w:rPr>
          <w:lang w:val="pt-BR"/>
        </w:rPr>
      </w:pPr>
      <w:r w:rsidRPr="008F070A">
        <w:rPr>
          <w:lang w:val="pt-BR"/>
        </w:rPr>
        <w:t>GALVÃO, Ana; ALA, Sílvia; BARBOSA, Mariana. Envelhecer com saúde: uma scoping review sobre anos com vida. RIAGE, v. 9, e459, jan./jun. 2026. DOI: 10.61415/riage.459.</w:t>
      </w:r>
    </w:p>
    <w:p w14:paraId="2B00AEAA" w14:textId="77777777" w:rsidR="003045B0" w:rsidRDefault="003045B0" w:rsidP="0061247A">
      <w:pPr>
        <w:pStyle w:val="Corpodetexto"/>
        <w:jc w:val="both"/>
        <w:rPr>
          <w:lang w:val="pt-BR"/>
        </w:rPr>
      </w:pPr>
      <w:r w:rsidRPr="008F070A">
        <w:rPr>
          <w:lang w:val="pt-BR"/>
        </w:rPr>
        <w:t>JACOB, Sophie; PEREIRA, Mónica. Relação entre a capacidade funcional e a fragilidade em idosos institucionalizados. RIAGE, v. 8, p. 466-476, jul./dez. 2025. DOI: 10.61415/riage.402.</w:t>
      </w:r>
    </w:p>
    <w:p w14:paraId="2D261053" w14:textId="77777777" w:rsidR="0061247A" w:rsidRPr="008F070A" w:rsidRDefault="0061247A" w:rsidP="0061247A">
      <w:pPr>
        <w:pStyle w:val="Corpodetexto"/>
        <w:jc w:val="both"/>
        <w:rPr>
          <w:lang w:val="pt-BR"/>
        </w:rPr>
      </w:pPr>
    </w:p>
    <w:p w14:paraId="543984E0" w14:textId="77777777" w:rsidR="003045B0" w:rsidRDefault="003045B0" w:rsidP="0061247A">
      <w:pPr>
        <w:pStyle w:val="Corpodetexto"/>
        <w:jc w:val="both"/>
        <w:rPr>
          <w:lang w:val="pt-BR"/>
        </w:rPr>
      </w:pPr>
      <w:r w:rsidRPr="008F070A">
        <w:rPr>
          <w:lang w:val="pt-BR"/>
        </w:rPr>
        <w:t>OLIVEIRA, Maria Roberta Lima Valente de et al. Estratégias integradas de saúde para o envelhecimento saudável: uma revisão integrativa com base nos cinco pilares da qualidade de vida na terceira idade. Periódicos Brasil: Pesquisa Científica, v. 5, n. 3, p. 215-226, 2026. DOI: 10.36557/2674-9432.2026v5n3p215-226.</w:t>
      </w:r>
    </w:p>
    <w:p w14:paraId="2D16C30C" w14:textId="77777777" w:rsidR="0061247A" w:rsidRPr="008F070A" w:rsidRDefault="0061247A" w:rsidP="0061247A">
      <w:pPr>
        <w:pStyle w:val="Corpodetexto"/>
        <w:jc w:val="both"/>
        <w:rPr>
          <w:lang w:val="pt-BR"/>
        </w:rPr>
      </w:pPr>
    </w:p>
    <w:p w14:paraId="3DAB6C67" w14:textId="77777777" w:rsidR="003045B0" w:rsidRPr="008F070A" w:rsidRDefault="003045B0" w:rsidP="0061247A">
      <w:pPr>
        <w:pStyle w:val="Corpodetexto"/>
        <w:jc w:val="both"/>
        <w:rPr>
          <w:lang w:val="pt-BR"/>
        </w:rPr>
      </w:pPr>
      <w:r w:rsidRPr="008F070A">
        <w:rPr>
          <w:lang w:val="pt-BR"/>
        </w:rPr>
        <w:t>ROMA, Maria Fernanda Bottino et al. Avaliação geriátrica ampla: uma revisão narrativa sobre os benefícios do cuidado centrado no paciente nos vários ambientes de saúde. Geriatrics, Gerontology and Aging, v. 16, e0220031, 2022. DOI: 10.53886/gga.e0220031.</w:t>
      </w:r>
    </w:p>
    <w:p w14:paraId="746A7BE3" w14:textId="77777777" w:rsidR="003045B0" w:rsidRDefault="003045B0" w:rsidP="0061247A">
      <w:pPr>
        <w:pStyle w:val="Corpodetexto"/>
        <w:jc w:val="both"/>
        <w:rPr>
          <w:lang w:val="pt-BR"/>
        </w:rPr>
      </w:pPr>
      <w:r w:rsidRPr="008F070A">
        <w:rPr>
          <w:lang w:val="pt-BR"/>
        </w:rPr>
        <w:t>SILVA, Carolayne Lays Chaves da; ANDRADE, Gabriela Melo de. O benefício da atuação fisioterapêutica ao idoso atendido na Atenção Básica: uma revisão integrativa. Revista Diálogos em Saúde, v. 5, n. 1, jan./jun. 2022.</w:t>
      </w:r>
    </w:p>
    <w:p w14:paraId="4BB0586B" w14:textId="77777777" w:rsidR="0061247A" w:rsidRPr="008F070A" w:rsidRDefault="0061247A" w:rsidP="0061247A">
      <w:pPr>
        <w:pStyle w:val="Corpodetexto"/>
        <w:jc w:val="both"/>
        <w:rPr>
          <w:lang w:val="pt-BR"/>
        </w:rPr>
      </w:pPr>
    </w:p>
    <w:p w14:paraId="2523D8FC" w14:textId="1FB51C2F" w:rsidR="006627FC" w:rsidRDefault="003045B0" w:rsidP="0061247A">
      <w:pPr>
        <w:pStyle w:val="Corpodetexto"/>
        <w:jc w:val="both"/>
        <w:rPr>
          <w:lang w:val="pt-BR"/>
        </w:rPr>
      </w:pPr>
      <w:r w:rsidRPr="008F070A">
        <w:rPr>
          <w:lang w:val="pt-BR"/>
        </w:rPr>
        <w:t>VALLE, Adriana Polachini do et al. Capacidade intrínseca proposta pela Organização Mundial de Saúde e mortalidade em residentes de Instituição de Longa Permanência para Idosos em 30 meses. Geriatrics, Gerontology and Aging, v. 18, e0000110, 2024. DOI: 10.53886/gga.e0000110_PT.</w:t>
      </w:r>
    </w:p>
    <w:p w14:paraId="04406E10" w14:textId="77777777" w:rsidR="0061247A" w:rsidRDefault="0061247A" w:rsidP="0061247A">
      <w:pPr>
        <w:pStyle w:val="Corpodetexto"/>
        <w:jc w:val="both"/>
        <w:rPr>
          <w:lang w:val="pt-BR"/>
        </w:rPr>
      </w:pPr>
    </w:p>
    <w:p w14:paraId="6F86EC65" w14:textId="36CAFD62" w:rsidR="006627FC" w:rsidRPr="006627FC" w:rsidRDefault="006627FC" w:rsidP="0061247A">
      <w:pPr>
        <w:pStyle w:val="Corpodetexto"/>
        <w:ind w:right="139"/>
        <w:jc w:val="both"/>
      </w:pPr>
      <w:r>
        <w:t>VALLE, A. P. do et al. Capacidade intrínseca proposta pela Organização Mundial da Saúde e mortalidade em residentes de Instituição de Longa Permanência para Idosos em 30 meses. Geriatrics, Gerontology and Aging, v. 18, 2024.</w:t>
      </w:r>
    </w:p>
    <w:sectPr w:rsidR="006627FC" w:rsidRPr="006627FC" w:rsidSect="0061247A">
      <w:headerReference w:type="default" r:id="rId10"/>
      <w:footerReference w:type="default" r:id="rId11"/>
      <w:pgSz w:w="11910" w:h="16850"/>
      <w:pgMar w:top="2268" w:right="1134" w:bottom="1134"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5954C" w14:textId="77777777" w:rsidR="000B23DE" w:rsidRDefault="000B23DE">
      <w:r>
        <w:separator/>
      </w:r>
    </w:p>
  </w:endnote>
  <w:endnote w:type="continuationSeparator" w:id="0">
    <w:p w14:paraId="177F9D18" w14:textId="77777777" w:rsidR="000B23DE" w:rsidRDefault="000B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2325" w14:textId="77777777" w:rsidR="0061247A" w:rsidRDefault="0061247A">
    <w:pPr>
      <w:pStyle w:val="Rodap"/>
    </w:pPr>
    <w:r>
      <w:rPr>
        <w:noProof/>
      </w:rPr>
      <w:drawing>
        <wp:anchor distT="0" distB="0" distL="0" distR="0" simplePos="0" relativeHeight="251659264" behindDoc="1" locked="0" layoutInCell="1" hidden="0" allowOverlap="1" wp14:anchorId="2A56F892" wp14:editId="658AB880">
          <wp:simplePos x="0" y="0"/>
          <wp:positionH relativeFrom="column">
            <wp:posOffset>43891</wp:posOffset>
          </wp:positionH>
          <wp:positionV relativeFrom="paragraph">
            <wp:posOffset>-212141</wp:posOffset>
          </wp:positionV>
          <wp:extent cx="5643037" cy="1037590"/>
          <wp:effectExtent l="0" t="0" r="0" b="0"/>
          <wp:wrapNone/>
          <wp:docPr id="121324748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30AE" w14:textId="65A7BC3E" w:rsidR="00F05755" w:rsidRDefault="00F05755">
    <w:pPr>
      <w:pStyle w:val="Rodap"/>
    </w:pPr>
    <w:r>
      <w:rPr>
        <w:noProof/>
      </w:rPr>
      <w:drawing>
        <wp:anchor distT="0" distB="0" distL="0" distR="0" simplePos="0" relativeHeight="251657216" behindDoc="1" locked="0" layoutInCell="1" hidden="0" allowOverlap="1" wp14:anchorId="6EED7B39" wp14:editId="0A93BA1D">
          <wp:simplePos x="0" y="0"/>
          <wp:positionH relativeFrom="column">
            <wp:posOffset>-48667</wp:posOffset>
          </wp:positionH>
          <wp:positionV relativeFrom="paragraph">
            <wp:posOffset>-643408</wp:posOffset>
          </wp:positionV>
          <wp:extent cx="5643037" cy="1037590"/>
          <wp:effectExtent l="0" t="0" r="0" b="0"/>
          <wp:wrapNone/>
          <wp:docPr id="8424539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A8910" w14:textId="77777777" w:rsidR="000B23DE" w:rsidRDefault="000B23DE">
      <w:r>
        <w:separator/>
      </w:r>
    </w:p>
  </w:footnote>
  <w:footnote w:type="continuationSeparator" w:id="0">
    <w:p w14:paraId="2FB742EB" w14:textId="77777777" w:rsidR="000B23DE" w:rsidRDefault="000B2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325E" w14:textId="77777777" w:rsidR="0061247A" w:rsidRDefault="0061247A">
    <w:pPr>
      <w:pStyle w:val="Corpodetexto"/>
      <w:spacing w:line="14" w:lineRule="auto"/>
      <w:ind w:left="0"/>
      <w:rPr>
        <w:sz w:val="20"/>
      </w:rPr>
    </w:pPr>
    <w:r>
      <w:rPr>
        <w:noProof/>
        <w:sz w:val="20"/>
      </w:rPr>
      <w:drawing>
        <wp:anchor distT="0" distB="0" distL="0" distR="0" simplePos="0" relativeHeight="251658240" behindDoc="1" locked="0" layoutInCell="1" allowOverlap="1" wp14:anchorId="570A7DB3" wp14:editId="4885218E">
          <wp:simplePos x="0" y="0"/>
          <wp:positionH relativeFrom="page">
            <wp:posOffset>4446</wp:posOffset>
          </wp:positionH>
          <wp:positionV relativeFrom="page">
            <wp:posOffset>634</wp:posOffset>
          </wp:positionV>
          <wp:extent cx="7556119" cy="1400175"/>
          <wp:effectExtent l="0" t="0" r="0" b="0"/>
          <wp:wrapNone/>
          <wp:docPr id="117396270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56119" cy="140017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4D4CD" w14:textId="77777777" w:rsidR="00505769" w:rsidRDefault="001E116F">
    <w:pPr>
      <w:pStyle w:val="Corpodetexto"/>
      <w:spacing w:line="14" w:lineRule="auto"/>
      <w:ind w:left="0"/>
      <w:rPr>
        <w:sz w:val="20"/>
      </w:rPr>
    </w:pPr>
    <w:r>
      <w:rPr>
        <w:noProof/>
        <w:sz w:val="20"/>
      </w:rPr>
      <w:drawing>
        <wp:anchor distT="0" distB="0" distL="0" distR="0" simplePos="0" relativeHeight="251656192" behindDoc="1" locked="0" layoutInCell="1" allowOverlap="1" wp14:anchorId="3106332B" wp14:editId="55E5C5DF">
          <wp:simplePos x="0" y="0"/>
          <wp:positionH relativeFrom="page">
            <wp:posOffset>4446</wp:posOffset>
          </wp:positionH>
          <wp:positionV relativeFrom="page">
            <wp:posOffset>634</wp:posOffset>
          </wp:positionV>
          <wp:extent cx="7556119" cy="1400175"/>
          <wp:effectExtent l="0" t="0" r="0" b="0"/>
          <wp:wrapNone/>
          <wp:docPr id="407854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56119" cy="1400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96935"/>
    <w:multiLevelType w:val="hybridMultilevel"/>
    <w:tmpl w:val="C480D616"/>
    <w:lvl w:ilvl="0" w:tplc="FFFFFFFF">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pt-PT" w:eastAsia="en-US" w:bidi="ar-SA"/>
      </w:rPr>
    </w:lvl>
    <w:lvl w:ilvl="1" w:tplc="FFFFFFFF">
      <w:numFmt w:val="bullet"/>
      <w:lvlText w:val="•"/>
      <w:lvlJc w:val="left"/>
      <w:pPr>
        <w:ind w:left="1363" w:hanging="180"/>
      </w:pPr>
      <w:rPr>
        <w:rFonts w:hint="default"/>
        <w:lang w:val="pt-PT" w:eastAsia="en-US" w:bidi="ar-SA"/>
      </w:rPr>
    </w:lvl>
    <w:lvl w:ilvl="2" w:tplc="FFFFFFFF">
      <w:numFmt w:val="bullet"/>
      <w:lvlText w:val="•"/>
      <w:lvlJc w:val="left"/>
      <w:pPr>
        <w:ind w:left="2267" w:hanging="180"/>
      </w:pPr>
      <w:rPr>
        <w:rFonts w:hint="default"/>
        <w:lang w:val="pt-PT" w:eastAsia="en-US" w:bidi="ar-SA"/>
      </w:rPr>
    </w:lvl>
    <w:lvl w:ilvl="3" w:tplc="FFFFFFFF">
      <w:numFmt w:val="bullet"/>
      <w:lvlText w:val="•"/>
      <w:lvlJc w:val="left"/>
      <w:pPr>
        <w:ind w:left="3171" w:hanging="180"/>
      </w:pPr>
      <w:rPr>
        <w:rFonts w:hint="default"/>
        <w:lang w:val="pt-PT" w:eastAsia="en-US" w:bidi="ar-SA"/>
      </w:rPr>
    </w:lvl>
    <w:lvl w:ilvl="4" w:tplc="FFFFFFFF">
      <w:numFmt w:val="bullet"/>
      <w:lvlText w:val="•"/>
      <w:lvlJc w:val="left"/>
      <w:pPr>
        <w:ind w:left="4074" w:hanging="180"/>
      </w:pPr>
      <w:rPr>
        <w:rFonts w:hint="default"/>
        <w:lang w:val="pt-PT" w:eastAsia="en-US" w:bidi="ar-SA"/>
      </w:rPr>
    </w:lvl>
    <w:lvl w:ilvl="5" w:tplc="FFFFFFFF">
      <w:numFmt w:val="bullet"/>
      <w:lvlText w:val="•"/>
      <w:lvlJc w:val="left"/>
      <w:pPr>
        <w:ind w:left="4978" w:hanging="180"/>
      </w:pPr>
      <w:rPr>
        <w:rFonts w:hint="default"/>
        <w:lang w:val="pt-PT" w:eastAsia="en-US" w:bidi="ar-SA"/>
      </w:rPr>
    </w:lvl>
    <w:lvl w:ilvl="6" w:tplc="FFFFFFFF">
      <w:numFmt w:val="bullet"/>
      <w:lvlText w:val="•"/>
      <w:lvlJc w:val="left"/>
      <w:pPr>
        <w:ind w:left="5882" w:hanging="180"/>
      </w:pPr>
      <w:rPr>
        <w:rFonts w:hint="default"/>
        <w:lang w:val="pt-PT" w:eastAsia="en-US" w:bidi="ar-SA"/>
      </w:rPr>
    </w:lvl>
    <w:lvl w:ilvl="7" w:tplc="FFFFFFFF">
      <w:numFmt w:val="bullet"/>
      <w:lvlText w:val="•"/>
      <w:lvlJc w:val="left"/>
      <w:pPr>
        <w:ind w:left="6786" w:hanging="180"/>
      </w:pPr>
      <w:rPr>
        <w:rFonts w:hint="default"/>
        <w:lang w:val="pt-PT" w:eastAsia="en-US" w:bidi="ar-SA"/>
      </w:rPr>
    </w:lvl>
    <w:lvl w:ilvl="8" w:tplc="FFFFFFFF">
      <w:numFmt w:val="bullet"/>
      <w:lvlText w:val="•"/>
      <w:lvlJc w:val="left"/>
      <w:pPr>
        <w:ind w:left="7689" w:hanging="180"/>
      </w:pPr>
      <w:rPr>
        <w:rFonts w:hint="default"/>
        <w:lang w:val="pt-PT" w:eastAsia="en-US" w:bidi="ar-SA"/>
      </w:rPr>
    </w:lvl>
  </w:abstractNum>
  <w:abstractNum w:abstractNumId="1" w15:restartNumberingAfterBreak="0">
    <w:nsid w:val="401E750F"/>
    <w:multiLevelType w:val="hybridMultilevel"/>
    <w:tmpl w:val="109A6222"/>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num w:numId="1" w16cid:durableId="1050885543">
    <w:abstractNumId w:val="0"/>
  </w:num>
  <w:num w:numId="2" w16cid:durableId="465969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769"/>
    <w:rsid w:val="0004434D"/>
    <w:rsid w:val="000B23DE"/>
    <w:rsid w:val="000F0076"/>
    <w:rsid w:val="00132E30"/>
    <w:rsid w:val="00163F28"/>
    <w:rsid w:val="00182279"/>
    <w:rsid w:val="00184D66"/>
    <w:rsid w:val="001A1238"/>
    <w:rsid w:val="001B18A5"/>
    <w:rsid w:val="001E116F"/>
    <w:rsid w:val="001F66AE"/>
    <w:rsid w:val="001F77AE"/>
    <w:rsid w:val="002233AB"/>
    <w:rsid w:val="00243D76"/>
    <w:rsid w:val="002724A6"/>
    <w:rsid w:val="002A6299"/>
    <w:rsid w:val="002B0E09"/>
    <w:rsid w:val="00300190"/>
    <w:rsid w:val="003045B0"/>
    <w:rsid w:val="003209FD"/>
    <w:rsid w:val="00336EA0"/>
    <w:rsid w:val="00361BA7"/>
    <w:rsid w:val="003746F4"/>
    <w:rsid w:val="003C5A63"/>
    <w:rsid w:val="003F1983"/>
    <w:rsid w:val="004504EE"/>
    <w:rsid w:val="00505769"/>
    <w:rsid w:val="00517431"/>
    <w:rsid w:val="0052285D"/>
    <w:rsid w:val="0055114A"/>
    <w:rsid w:val="005905BD"/>
    <w:rsid w:val="00593844"/>
    <w:rsid w:val="00594BA4"/>
    <w:rsid w:val="0061247A"/>
    <w:rsid w:val="006627FC"/>
    <w:rsid w:val="00667CD9"/>
    <w:rsid w:val="00676524"/>
    <w:rsid w:val="006B0EFC"/>
    <w:rsid w:val="006E281D"/>
    <w:rsid w:val="006E6684"/>
    <w:rsid w:val="00741A99"/>
    <w:rsid w:val="007C6E93"/>
    <w:rsid w:val="007F487D"/>
    <w:rsid w:val="008847B4"/>
    <w:rsid w:val="008A2974"/>
    <w:rsid w:val="008B6EAA"/>
    <w:rsid w:val="008C3CA2"/>
    <w:rsid w:val="008C592A"/>
    <w:rsid w:val="008F070A"/>
    <w:rsid w:val="0092279F"/>
    <w:rsid w:val="009942E3"/>
    <w:rsid w:val="00997C11"/>
    <w:rsid w:val="009C58DC"/>
    <w:rsid w:val="00A0196A"/>
    <w:rsid w:val="00AD323E"/>
    <w:rsid w:val="00AF529E"/>
    <w:rsid w:val="00B13315"/>
    <w:rsid w:val="00BB4F81"/>
    <w:rsid w:val="00C00C44"/>
    <w:rsid w:val="00CC2D89"/>
    <w:rsid w:val="00CD0002"/>
    <w:rsid w:val="00CD5A3E"/>
    <w:rsid w:val="00CD750D"/>
    <w:rsid w:val="00CE7A36"/>
    <w:rsid w:val="00D135CC"/>
    <w:rsid w:val="00D61981"/>
    <w:rsid w:val="00DD1766"/>
    <w:rsid w:val="00DF7349"/>
    <w:rsid w:val="00E22A30"/>
    <w:rsid w:val="00EF575A"/>
    <w:rsid w:val="00F05755"/>
    <w:rsid w:val="00F53066"/>
    <w:rsid w:val="00F85B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C6BE3"/>
  <w15:docId w15:val="{54182499-FCF1-490F-82F8-A0CD3D39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465" w:hanging="180"/>
      <w:outlineLvl w:val="0"/>
    </w:pPr>
    <w:rPr>
      <w:b/>
      <w:bCs/>
      <w:sz w:val="24"/>
      <w:szCs w:val="24"/>
    </w:rPr>
  </w:style>
  <w:style w:type="paragraph" w:styleId="Ttulo2">
    <w:name w:val="heading 2"/>
    <w:basedOn w:val="Normal"/>
    <w:next w:val="Normal"/>
    <w:link w:val="Ttulo2Char"/>
    <w:uiPriority w:val="9"/>
    <w:semiHidden/>
    <w:unhideWhenUsed/>
    <w:qFormat/>
    <w:rsid w:val="001F66A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85"/>
    </w:pPr>
    <w:rPr>
      <w:sz w:val="24"/>
      <w:szCs w:val="24"/>
    </w:rPr>
  </w:style>
  <w:style w:type="paragraph" w:styleId="PargrafodaLista">
    <w:name w:val="List Paragraph"/>
    <w:basedOn w:val="Normal"/>
    <w:uiPriority w:val="1"/>
    <w:qFormat/>
    <w:pPr>
      <w:ind w:left="465" w:hanging="180"/>
    </w:pPr>
  </w:style>
  <w:style w:type="paragraph" w:customStyle="1" w:styleId="TableParagraph">
    <w:name w:val="Table Paragraph"/>
    <w:basedOn w:val="Normal"/>
    <w:uiPriority w:val="1"/>
    <w:qFormat/>
  </w:style>
  <w:style w:type="character" w:customStyle="1" w:styleId="Ttulo2Char">
    <w:name w:val="Título 2 Char"/>
    <w:basedOn w:val="Fontepargpadro"/>
    <w:link w:val="Ttulo2"/>
    <w:uiPriority w:val="9"/>
    <w:semiHidden/>
    <w:rsid w:val="001F66AE"/>
    <w:rPr>
      <w:rFonts w:asciiTheme="majorHAnsi" w:eastAsiaTheme="majorEastAsia" w:hAnsiTheme="majorHAnsi" w:cstheme="majorBidi"/>
      <w:color w:val="365F91" w:themeColor="accent1" w:themeShade="BF"/>
      <w:sz w:val="26"/>
      <w:szCs w:val="26"/>
      <w:lang w:val="pt-PT"/>
    </w:rPr>
  </w:style>
  <w:style w:type="table" w:styleId="Tabelacomgrade">
    <w:name w:val="Table Grid"/>
    <w:basedOn w:val="Tabelanormal"/>
    <w:uiPriority w:val="39"/>
    <w:rsid w:val="006E6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E22A30"/>
    <w:pPr>
      <w:tabs>
        <w:tab w:val="center" w:pos="4252"/>
        <w:tab w:val="right" w:pos="8504"/>
      </w:tabs>
    </w:pPr>
  </w:style>
  <w:style w:type="character" w:customStyle="1" w:styleId="CabealhoChar">
    <w:name w:val="Cabeçalho Char"/>
    <w:basedOn w:val="Fontepargpadro"/>
    <w:link w:val="Cabealho"/>
    <w:uiPriority w:val="99"/>
    <w:rsid w:val="00E22A30"/>
    <w:rPr>
      <w:rFonts w:ascii="Times New Roman" w:eastAsia="Times New Roman" w:hAnsi="Times New Roman" w:cs="Times New Roman"/>
      <w:lang w:val="pt-PT"/>
    </w:rPr>
  </w:style>
  <w:style w:type="paragraph" w:styleId="Rodap">
    <w:name w:val="footer"/>
    <w:basedOn w:val="Normal"/>
    <w:link w:val="RodapChar"/>
    <w:uiPriority w:val="99"/>
    <w:unhideWhenUsed/>
    <w:rsid w:val="00E22A30"/>
    <w:pPr>
      <w:tabs>
        <w:tab w:val="center" w:pos="4252"/>
        <w:tab w:val="right" w:pos="8504"/>
      </w:tabs>
    </w:pPr>
  </w:style>
  <w:style w:type="character" w:customStyle="1" w:styleId="RodapChar">
    <w:name w:val="Rodapé Char"/>
    <w:basedOn w:val="Fontepargpadro"/>
    <w:link w:val="Rodap"/>
    <w:uiPriority w:val="99"/>
    <w:rsid w:val="00E22A30"/>
    <w:rPr>
      <w:rFonts w:ascii="Times New Roman" w:eastAsia="Times New Roman" w:hAnsi="Times New Roman" w:cs="Times New Roman"/>
      <w:lang w:val="pt-PT"/>
    </w:rPr>
  </w:style>
  <w:style w:type="paragraph" w:styleId="NormalWeb">
    <w:name w:val="Normal (Web)"/>
    <w:basedOn w:val="Normal"/>
    <w:uiPriority w:val="99"/>
    <w:semiHidden/>
    <w:unhideWhenUsed/>
    <w:rsid w:val="008C592A"/>
    <w:rPr>
      <w:sz w:val="24"/>
      <w:szCs w:val="24"/>
    </w:rPr>
  </w:style>
  <w:style w:type="character" w:customStyle="1" w:styleId="CorpodetextoChar">
    <w:name w:val="Corpo de texto Char"/>
    <w:basedOn w:val="Fontepargpadro"/>
    <w:link w:val="Corpodetexto"/>
    <w:uiPriority w:val="1"/>
    <w:rsid w:val="0061247A"/>
    <w:rPr>
      <w:rFonts w:ascii="Times New Roman" w:eastAsia="Times New Roman" w:hAnsi="Times New Roman" w:cs="Times New Roman"/>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9624">
      <w:bodyDiv w:val="1"/>
      <w:marLeft w:val="0"/>
      <w:marRight w:val="0"/>
      <w:marTop w:val="0"/>
      <w:marBottom w:val="0"/>
      <w:divBdr>
        <w:top w:val="none" w:sz="0" w:space="0" w:color="auto"/>
        <w:left w:val="none" w:sz="0" w:space="0" w:color="auto"/>
        <w:bottom w:val="none" w:sz="0" w:space="0" w:color="auto"/>
        <w:right w:val="none" w:sz="0" w:space="0" w:color="auto"/>
      </w:divBdr>
    </w:div>
    <w:div w:id="434640552">
      <w:bodyDiv w:val="1"/>
      <w:marLeft w:val="0"/>
      <w:marRight w:val="0"/>
      <w:marTop w:val="0"/>
      <w:marBottom w:val="0"/>
      <w:divBdr>
        <w:top w:val="none" w:sz="0" w:space="0" w:color="auto"/>
        <w:left w:val="none" w:sz="0" w:space="0" w:color="auto"/>
        <w:bottom w:val="none" w:sz="0" w:space="0" w:color="auto"/>
        <w:right w:val="none" w:sz="0" w:space="0" w:color="auto"/>
      </w:divBdr>
    </w:div>
    <w:div w:id="795415653">
      <w:bodyDiv w:val="1"/>
      <w:marLeft w:val="0"/>
      <w:marRight w:val="0"/>
      <w:marTop w:val="0"/>
      <w:marBottom w:val="0"/>
      <w:divBdr>
        <w:top w:val="none" w:sz="0" w:space="0" w:color="auto"/>
        <w:left w:val="none" w:sz="0" w:space="0" w:color="auto"/>
        <w:bottom w:val="none" w:sz="0" w:space="0" w:color="auto"/>
        <w:right w:val="none" w:sz="0" w:space="0" w:color="auto"/>
      </w:divBdr>
    </w:div>
    <w:div w:id="906064432">
      <w:bodyDiv w:val="1"/>
      <w:marLeft w:val="0"/>
      <w:marRight w:val="0"/>
      <w:marTop w:val="0"/>
      <w:marBottom w:val="0"/>
      <w:divBdr>
        <w:top w:val="none" w:sz="0" w:space="0" w:color="auto"/>
        <w:left w:val="none" w:sz="0" w:space="0" w:color="auto"/>
        <w:bottom w:val="none" w:sz="0" w:space="0" w:color="auto"/>
        <w:right w:val="none" w:sz="0" w:space="0" w:color="auto"/>
      </w:divBdr>
    </w:div>
    <w:div w:id="1149714212">
      <w:bodyDiv w:val="1"/>
      <w:marLeft w:val="0"/>
      <w:marRight w:val="0"/>
      <w:marTop w:val="0"/>
      <w:marBottom w:val="0"/>
      <w:divBdr>
        <w:top w:val="none" w:sz="0" w:space="0" w:color="auto"/>
        <w:left w:val="none" w:sz="0" w:space="0" w:color="auto"/>
        <w:bottom w:val="none" w:sz="0" w:space="0" w:color="auto"/>
        <w:right w:val="none" w:sz="0" w:space="0" w:color="auto"/>
      </w:divBdr>
    </w:div>
    <w:div w:id="1246110637">
      <w:bodyDiv w:val="1"/>
      <w:marLeft w:val="0"/>
      <w:marRight w:val="0"/>
      <w:marTop w:val="0"/>
      <w:marBottom w:val="0"/>
      <w:divBdr>
        <w:top w:val="none" w:sz="0" w:space="0" w:color="auto"/>
        <w:left w:val="none" w:sz="0" w:space="0" w:color="auto"/>
        <w:bottom w:val="none" w:sz="0" w:space="0" w:color="auto"/>
        <w:right w:val="none" w:sz="0" w:space="0" w:color="auto"/>
      </w:divBdr>
    </w:div>
    <w:div w:id="1285043947">
      <w:bodyDiv w:val="1"/>
      <w:marLeft w:val="0"/>
      <w:marRight w:val="0"/>
      <w:marTop w:val="0"/>
      <w:marBottom w:val="0"/>
      <w:divBdr>
        <w:top w:val="none" w:sz="0" w:space="0" w:color="auto"/>
        <w:left w:val="none" w:sz="0" w:space="0" w:color="auto"/>
        <w:bottom w:val="none" w:sz="0" w:space="0" w:color="auto"/>
        <w:right w:val="none" w:sz="0" w:space="0" w:color="auto"/>
      </w:divBdr>
    </w:div>
    <w:div w:id="1418746871">
      <w:bodyDiv w:val="1"/>
      <w:marLeft w:val="0"/>
      <w:marRight w:val="0"/>
      <w:marTop w:val="0"/>
      <w:marBottom w:val="0"/>
      <w:divBdr>
        <w:top w:val="none" w:sz="0" w:space="0" w:color="auto"/>
        <w:left w:val="none" w:sz="0" w:space="0" w:color="auto"/>
        <w:bottom w:val="none" w:sz="0" w:space="0" w:color="auto"/>
        <w:right w:val="none" w:sz="0" w:space="0" w:color="auto"/>
      </w:divBdr>
    </w:div>
    <w:div w:id="1754013351">
      <w:bodyDiv w:val="1"/>
      <w:marLeft w:val="0"/>
      <w:marRight w:val="0"/>
      <w:marTop w:val="0"/>
      <w:marBottom w:val="0"/>
      <w:divBdr>
        <w:top w:val="none" w:sz="0" w:space="0" w:color="auto"/>
        <w:left w:val="none" w:sz="0" w:space="0" w:color="auto"/>
        <w:bottom w:val="none" w:sz="0" w:space="0" w:color="auto"/>
        <w:right w:val="none" w:sz="0" w:space="0" w:color="auto"/>
      </w:divBdr>
    </w:div>
    <w:div w:id="1929925607">
      <w:bodyDiv w:val="1"/>
      <w:marLeft w:val="0"/>
      <w:marRight w:val="0"/>
      <w:marTop w:val="0"/>
      <w:marBottom w:val="0"/>
      <w:divBdr>
        <w:top w:val="none" w:sz="0" w:space="0" w:color="auto"/>
        <w:left w:val="none" w:sz="0" w:space="0" w:color="auto"/>
        <w:bottom w:val="none" w:sz="0" w:space="0" w:color="auto"/>
        <w:right w:val="none" w:sz="0" w:space="0" w:color="auto"/>
      </w:divBdr>
    </w:div>
    <w:div w:id="2066097960">
      <w:bodyDiv w:val="1"/>
      <w:marLeft w:val="0"/>
      <w:marRight w:val="0"/>
      <w:marTop w:val="0"/>
      <w:marBottom w:val="0"/>
      <w:divBdr>
        <w:top w:val="none" w:sz="0" w:space="0" w:color="auto"/>
        <w:left w:val="none" w:sz="0" w:space="0" w:color="auto"/>
        <w:bottom w:val="none" w:sz="0" w:space="0" w:color="auto"/>
        <w:right w:val="none" w:sz="0" w:space="0" w:color="auto"/>
      </w:divBdr>
    </w:div>
    <w:div w:id="2075815043">
      <w:bodyDiv w:val="1"/>
      <w:marLeft w:val="0"/>
      <w:marRight w:val="0"/>
      <w:marTop w:val="0"/>
      <w:marBottom w:val="0"/>
      <w:divBdr>
        <w:top w:val="none" w:sz="0" w:space="0" w:color="auto"/>
        <w:left w:val="none" w:sz="0" w:space="0" w:color="auto"/>
        <w:bottom w:val="none" w:sz="0" w:space="0" w:color="auto"/>
        <w:right w:val="none" w:sz="0" w:space="0" w:color="auto"/>
      </w:divBdr>
    </w:div>
    <w:div w:id="2120027317">
      <w:bodyDiv w:val="1"/>
      <w:marLeft w:val="0"/>
      <w:marRight w:val="0"/>
      <w:marTop w:val="0"/>
      <w:marBottom w:val="0"/>
      <w:divBdr>
        <w:top w:val="none" w:sz="0" w:space="0" w:color="auto"/>
        <w:left w:val="none" w:sz="0" w:space="0" w:color="auto"/>
        <w:bottom w:val="none" w:sz="0" w:space="0" w:color="auto"/>
        <w:right w:val="none" w:sz="0" w:space="0" w:color="auto"/>
      </w:divBdr>
    </w:div>
    <w:div w:id="2126264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00893-F819-48B0-ABDB-40155C6D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3904</Words>
  <Characters>21086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Riquelme Verçosa</dc:creator>
  <cp:lastModifiedBy>Gustavo Moreira</cp:lastModifiedBy>
  <cp:revision>3</cp:revision>
  <cp:lastPrinted>2026-09-02T17:56:00Z</cp:lastPrinted>
  <dcterms:created xsi:type="dcterms:W3CDTF">2026-09-08T23:34:00Z</dcterms:created>
  <dcterms:modified xsi:type="dcterms:W3CDTF">2026-09-09T18:07:00Z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Microsoft® Word para Microsoft 365</vt:lpwstr>
  </property>
  <property fmtid="{D5CDD505-2E9C-101B-9397-08002B2CF9AE}" pid="5" name="LastSaved">
    <vt:filetime>2026-08-26T00:00:00Z</vt:filetime>
  </property>
  <property fmtid="{D5CDD505-2E9C-101B-9397-08002B2CF9AE}" pid="6" name="Producer">
    <vt:lpwstr>Microsoft® Word para Microsoft 365</vt:lpwstr>
  </property>
</Properties>
</file>