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SÍNDROME DE BURNOUT EM PROFESSORES DA REDE PÚBLICA: FATORES ASSOCIADOS AO AFASTAMENTO DOCENTE</w:t>
      </w:r>
    </w:p>
    <w:p w:rsidR="00000000" w:rsidDel="00000000" w:rsidP="00000000" w:rsidRDefault="00000000" w:rsidRPr="00000000" w14:paraId="00000004">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360" w:lineRule="auto"/>
        <w:jc w:val="right"/>
        <w:rPr>
          <w:rFonts w:ascii="Arial" w:cs="Arial" w:eastAsia="Arial" w:hAnsi="Arial"/>
          <w:b w:val="1"/>
        </w:rPr>
      </w:pPr>
      <w:r w:rsidDel="00000000" w:rsidR="00000000" w:rsidRPr="00000000">
        <w:rPr>
          <w:rFonts w:ascii="Arial" w:cs="Arial" w:eastAsia="Arial" w:hAnsi="Arial"/>
          <w:b w:val="1"/>
          <w:rtl w:val="0"/>
        </w:rPr>
        <w:t xml:space="preserve">Autora</w:t>
      </w:r>
    </w:p>
    <w:p w:rsidR="00000000" w:rsidDel="00000000" w:rsidP="00000000" w:rsidRDefault="00000000" w:rsidRPr="00000000" w14:paraId="00000007">
      <w:pPr>
        <w:spacing w:after="0" w:line="360" w:lineRule="auto"/>
        <w:jc w:val="right"/>
        <w:rPr>
          <w:rFonts w:ascii="Arial" w:cs="Arial" w:eastAsia="Arial" w:hAnsi="Arial"/>
        </w:rPr>
      </w:pPr>
      <w:r w:rsidDel="00000000" w:rsidR="00000000" w:rsidRPr="00000000">
        <w:rPr>
          <w:rFonts w:ascii="Arial" w:cs="Arial" w:eastAsia="Arial" w:hAnsi="Arial"/>
          <w:rtl w:val="0"/>
        </w:rPr>
        <w:t xml:space="preserve">Universidade Estadual do Sudoeste da Bahia -UESB </w:t>
      </w:r>
    </w:p>
    <w:p w:rsidR="00000000" w:rsidDel="00000000" w:rsidP="00000000" w:rsidRDefault="00000000" w:rsidRPr="00000000" w14:paraId="00000008">
      <w:pPr>
        <w:spacing w:after="0" w:line="36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0" w:line="360" w:lineRule="auto"/>
        <w:jc w:val="right"/>
        <w:rPr>
          <w:rFonts w:ascii="Arial" w:cs="Arial" w:eastAsia="Arial" w:hAnsi="Arial"/>
          <w:b w:val="1"/>
        </w:rPr>
      </w:pPr>
      <w:r w:rsidDel="00000000" w:rsidR="00000000" w:rsidRPr="00000000">
        <w:rPr>
          <w:rFonts w:ascii="Arial" w:cs="Arial" w:eastAsia="Arial" w:hAnsi="Arial"/>
          <w:b w:val="1"/>
          <w:rtl w:val="0"/>
        </w:rPr>
        <w:t xml:space="preserve">Coautora (s)</w:t>
      </w:r>
    </w:p>
    <w:p w:rsidR="00000000" w:rsidDel="00000000" w:rsidP="00000000" w:rsidRDefault="00000000" w:rsidRPr="00000000" w14:paraId="0000000A">
      <w:pPr>
        <w:spacing w:after="0" w:line="360" w:lineRule="auto"/>
        <w:jc w:val="right"/>
        <w:rPr>
          <w:rFonts w:ascii="Arial" w:cs="Arial" w:eastAsia="Arial" w:hAnsi="Arial"/>
        </w:rPr>
      </w:pPr>
      <w:r w:rsidDel="00000000" w:rsidR="00000000" w:rsidRPr="00000000">
        <w:rPr>
          <w:rFonts w:ascii="Arial" w:cs="Arial" w:eastAsia="Arial" w:hAnsi="Arial"/>
          <w:rtl w:val="0"/>
        </w:rPr>
        <w:t xml:space="preserve">Universidade Estadual do Sudoeste da Bahia -UESB</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tabs>
          <w:tab w:val="left" w:leader="none" w:pos="5520"/>
        </w:tabs>
        <w:spacing w:after="0" w:line="360" w:lineRule="auto"/>
        <w:jc w:val="both"/>
        <w:rPr>
          <w:rFonts w:ascii="Arial" w:cs="Arial" w:eastAsia="Arial" w:hAnsi="Arial"/>
          <w:highlight w:val="cyan"/>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tabs>
          <w:tab w:val="left" w:leader="none" w:pos="5520"/>
        </w:tabs>
        <w:spacing w:after="0" w:line="360" w:lineRule="auto"/>
        <w:jc w:val="both"/>
        <w:rPr>
          <w:rFonts w:ascii="Arial" w:cs="Arial" w:eastAsia="Arial" w:hAnsi="Arial"/>
          <w:highlight w:val="cyan"/>
        </w:rPr>
      </w:pPr>
      <w:r w:rsidDel="00000000" w:rsidR="00000000" w:rsidRPr="00000000">
        <w:rPr>
          <w:rtl w:val="0"/>
        </w:rPr>
      </w:r>
    </w:p>
    <w:p w:rsidR="00000000" w:rsidDel="00000000" w:rsidP="00000000" w:rsidRDefault="00000000" w:rsidRPr="00000000" w14:paraId="0000000D">
      <w:pPr>
        <w:spacing w:after="0" w:line="360" w:lineRule="auto"/>
        <w:ind w:firstLine="708"/>
        <w:jc w:val="both"/>
        <w:rPr>
          <w:rFonts w:ascii="Arial" w:cs="Arial" w:eastAsia="Arial" w:hAnsi="Arial"/>
          <w:sz w:val="20"/>
          <w:szCs w:val="20"/>
        </w:rPr>
      </w:pPr>
      <w:r w:rsidDel="00000000" w:rsidR="00000000" w:rsidRPr="00000000">
        <w:rPr>
          <w:rFonts w:ascii="Arial" w:cs="Arial" w:eastAsia="Arial" w:hAnsi="Arial"/>
          <w:rtl w:val="0"/>
        </w:rPr>
        <w:t xml:space="preserve">A Síndrome de Burnout é um fenômeno cada vez mais recorrente no ambiente de trabalho, afetando significativamente a saúde dos profissionais. No caso dos docentes, esse distúrbio assume proporções alarmantes devido às exigências e desafios específicos da profissão. A carga horária excessiva, que inclui atividades além das aulas — como planejamento, correção de trabalhos e participação em reuniões —, somada à desvalorização profissional e aos baixos salários, leva muitos professores a atuarem em mais de uma instituição ou turno, o que resulta em sobrecarga e exaustão física e mental, como afirma Gasparini et al. (2005, p.196). Além disso, a dimensão emocional do trabalho docente intensifica a vulnerabilidade ao estresse e ao esgotamento. Para os autores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E">
      <w:pPr>
        <w:spacing w:after="0" w:line="360" w:lineRule="auto"/>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40" w:lineRule="auto"/>
        <w:ind w:left="43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fatores citados explicariam a sobrecarga mental, situação que culmina com a exaustão mental, em que o professor se sente exaurido emocionalmente e o trabalho perde o sentido. (GASPARINI et al., 2005, p. 197).</w:t>
      </w:r>
    </w:p>
    <w:p w:rsidR="00000000" w:rsidDel="00000000" w:rsidP="00000000" w:rsidRDefault="00000000" w:rsidRPr="00000000" w14:paraId="00000010">
      <w:pPr>
        <w:spacing w:after="0" w:line="360" w:lineRule="auto"/>
        <w:ind w:left="2880" w:firstLine="708.000000000000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Diante desse cenário, o presente projeto de pesquisa, intitulado “Síndrome de Burnout em Professores da Rede Pública: fatores associados ao afastamento docente” teve como objetivo compreender de que forma o exercício da docência tem contribuído para o adoecimento desses profissionais, com foco na Síndrome de Burnout. Para isso, foi realizada uma entrevista com uma agente administrativa do setor de folha de pagamento, vinculada aos Recursos Humanos (RH) do município, além da análise de dados relativos ao número de docentes afastados nas escolas municipais da cidade de Jequié, no interior da Bahia, obtidos junto à Secretaria Municipal de Educação.</w:t>
      </w:r>
    </w:p>
    <w:p w:rsidR="00000000" w:rsidDel="00000000" w:rsidP="00000000" w:rsidRDefault="00000000" w:rsidRPr="00000000" w14:paraId="00000012">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A investigação adota uma abordagem qualitativa, com base em análise bibliográfica e documental. Espera-se que os resultados contribuam para uma compreensão mais ampla das condições de trabalho dos professores e da relação entre essas condições e o adoecimento profissional, especialmente no que diz respeito à Síndrome de Burnout.</w:t>
      </w:r>
    </w:p>
    <w:p w:rsidR="00000000" w:rsidDel="00000000" w:rsidP="00000000" w:rsidRDefault="00000000" w:rsidRPr="00000000" w14:paraId="00000013">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A pesquisa adotou uma abordagem qualitativa e explicativa, com o objetivo de compreender a relação entre o exercício da docência e o adoecimento dos professores, com foco na Síndrome de Burnout. O estudo foi desenvolvido em quatro etapas: revisão bibliográfica, coleta de dados, análise e interpretação dos resultados, e elaboração de um resumo expandido.</w:t>
      </w:r>
    </w:p>
    <w:p w:rsidR="00000000" w:rsidDel="00000000" w:rsidP="00000000" w:rsidRDefault="00000000" w:rsidRPr="00000000" w14:paraId="00000014">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Na primeira etapa, realizou-se uma revisão bibliográfica por meio de livros, artigos acadêmicos e trabalhos de conclusão de curso que abordam a saúde do professor, as condições de trabalho docente, o processo de adoecimento e a Síndrome de Burnout. </w:t>
      </w:r>
    </w:p>
    <w:p w:rsidR="00000000" w:rsidDel="00000000" w:rsidP="00000000" w:rsidRDefault="00000000" w:rsidRPr="00000000" w14:paraId="00000015">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A segunda etapa consistiu na coleta de dados, por meio de uma pesquisa de campo realizada na Secretaria de Educação e no setor de Recursos Humanos (RH) do município de Jequié/BA. Nessa fase, buscou-se identificar o número de professores afastados e as principais causas dos afastamentos. Também foi realizada uma entrevista com uma agente administrativa do setor de folha de pagamento da rede pública municipal.</w:t>
      </w:r>
    </w:p>
    <w:p w:rsidR="00000000" w:rsidDel="00000000" w:rsidP="00000000" w:rsidRDefault="00000000" w:rsidRPr="00000000" w14:paraId="00000016">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Na terceira etapa, os dados obtidos na pesquisa de campo e na entrevista foram analisados e interpretados à luz do referencial teórico. Por fim, a quarta etapa consistiu na elaboração do presente resumo expandido, sistematizando os principais achados da pesquisa.</w:t>
      </w:r>
    </w:p>
    <w:p w:rsidR="00000000" w:rsidDel="00000000" w:rsidP="00000000" w:rsidRDefault="00000000" w:rsidRPr="00000000" w14:paraId="00000017">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A Organização Internacional do Trabalho (1984, p.10) reconhece a relevância dos professores para o desenvolvimento social e propõe a criação de condições adequadas de trabalho como forma de assegurar uma prática pedagógica eficaz. Contudo, a realidade enfrentada pelos docentes brasileiros está distante desse ideal, sendo marcada por uma série de desafios que dificultam o exercício pleno da docência.</w:t>
      </w:r>
    </w:p>
    <w:p w:rsidR="00000000" w:rsidDel="00000000" w:rsidP="00000000" w:rsidRDefault="00000000" w:rsidRPr="00000000" w14:paraId="00000018">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Entre esses desafios, destacam-se currículos descontextualizados das reais necessidades dos alunos, ausência de formação continuada, indisciplina em sala de aula, sobrecarga de tarefas administrativas e pedagógicas, além de dificuldades nos relacionamentos interpessoais. Esses fatores não apenas comprometem a qualidade do ensino, como também geram impactos significativos na saúde emocional dos professores, contribuindo diretamente para o aumento dos níveis de estresse e para o desenvolvimento da Síndrome de Burnout.</w:t>
      </w:r>
    </w:p>
    <w:p w:rsidR="00000000" w:rsidDel="00000000" w:rsidP="00000000" w:rsidRDefault="00000000" w:rsidRPr="00000000" w14:paraId="00000019">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Nesse contexto, Freire (2011, p.85) ressalta a importância de os educadores desenvolverem uma escuta sensível e acolhedora em relação aos sentimentos e emoções dos estudantes. No entanto, o próprio autor questiona como esse exercício de sensibilidade pode ser efetivado quando o professor encontra-se desmotivado, esgotado e emocionalmente fragilizado, resultado das pressões e exigências cotidianas do ambiente escolar (FREIRE, 2011, p.73).</w:t>
      </w:r>
    </w:p>
    <w:p w:rsidR="00000000" w:rsidDel="00000000" w:rsidP="00000000" w:rsidRDefault="00000000" w:rsidRPr="00000000" w14:paraId="0000001A">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A Síndrome de Burnout, portanto, configura-se como uma consequência direta desse cenário adverso, afetando gravemente a saúde física e mental dos docentes. Entre os sintomas mais recorrentes estão dores de cabeça, ansiedade, fadiga crônica e lapsos de memória. Em casos mais avançados, a síndrome pode desencadear doenças como transtornos neuróticos, depressão, distúrbios gastrointestinais, amigdalite e infecções respiratórias (CURY, 2001 apud PINOTTI, 2005/2006, p. 212).</w:t>
      </w:r>
    </w:p>
    <w:p w:rsidR="00000000" w:rsidDel="00000000" w:rsidP="00000000" w:rsidRDefault="00000000" w:rsidRPr="00000000" w14:paraId="0000001B">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Diversas pesquisas corroboram esse quadro preocupante. Estudos realizados por Carlotto (2002), Moreno-Jiménez et al. (2002) e Silva et al. demonstram que o magistério está entre as profissões mais vulneráveis ao estresse ocupacional. Tal condição não apenas compromete a saúde dos professores, mas também repercute negativamente no processo de aprendizagem dos alunos. No Brasil, a prevalência da Síndrome de Burnout atinge aproximadamente 32% da população economicamente ativa, refletindo em esgotamento, presenteísmo, incapacidade laboral e sofrimento psíquico. </w:t>
      </w:r>
    </w:p>
    <w:p w:rsidR="00000000" w:rsidDel="00000000" w:rsidP="00000000" w:rsidRDefault="00000000" w:rsidRPr="00000000" w14:paraId="0000001C">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Conforme destaca o Guia Prático sobre a Síndrome de Burnout, elaborado pelo Ministério Público do Estado do Piauí (MPPI, 2023), trata-se de um estado crônico de tensão emocional e estresse, decorrente de condições de trabalho física e psicologicamente desgastantes. Os sintomas mais comuns incluem nervosismo, sofrimento emocional, dores corporais, cansaço extremo e apatia. Segundo a Organização Mundial da Saúde (2019), três elementos centrais caracterizam essa síndrome: exaustão emocional, distanciamento mental do trabalho e sensação de ineficácia profissional.</w:t>
      </w:r>
    </w:p>
    <w:p w:rsidR="00000000" w:rsidDel="00000000" w:rsidP="00000000" w:rsidRDefault="00000000" w:rsidRPr="00000000" w14:paraId="0000001D">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 A partir das discussões teóricas e dos dados coletados, torna-se evidente que o adoecimento docente está fortemente associado à sobrecarga de trabalho, à desvalorização profissional e às elevadas demandas emocionais da prática educativa. A exaustão física e mental, características da Síndrome de Burnout, são agravadas pela ausência de suporte institucional adequado. No município de Jequié, embora não haja registros formais de afastamentos especificamente por Burnout, o número expressivo de docentes afastados por questões psicológicas — principalmente na faixa etária de 30 a 56 anos — revela uma realidade preocupante. A falta de acompanhamento médico ou psicológico durante esses afastamentos evidencia uma lacuna grave na assistência aos profissionais da educação.</w:t>
      </w:r>
    </w:p>
    <w:p w:rsidR="00000000" w:rsidDel="00000000" w:rsidP="00000000" w:rsidRDefault="00000000" w:rsidRPr="00000000" w14:paraId="0000001E">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Diante desse cenário, torna-se urgente a implementação de políticas públicas que priorizem a saúde mental dos professores. Isso inclui a redução da carga de trabalho, a valorização da carreira docente, a oferta de programas contínuos de formação e, sobretudo, a disponibilização de apoio psicológico efetivo, especialmente durante os períodos de afastamento. Promover uma cultura institucional voltada para o bem-estar e o autocuidado é essencial não apenas para preservar a saúde dos educadores, mas também para assegurar a qualidade do processo educativo e o desenvolvimento integral dos estudantes.</w:t>
      </w:r>
    </w:p>
    <w:p w:rsidR="00000000" w:rsidDel="00000000" w:rsidP="00000000" w:rsidRDefault="00000000" w:rsidRPr="00000000" w14:paraId="0000001F">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tabs>
          <w:tab w:val="left" w:leader="none" w:pos="5520"/>
        </w:tabs>
        <w:spacing w:after="0" w:line="360" w:lineRule="auto"/>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tabs>
          <w:tab w:val="left" w:leader="none" w:pos="5520"/>
        </w:tabs>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Palavras-chave</w:t>
      </w:r>
      <w:r w:rsidDel="00000000" w:rsidR="00000000" w:rsidRPr="00000000">
        <w:rPr>
          <w:rFonts w:ascii="Arial" w:cs="Arial" w:eastAsia="Arial" w:hAnsi="Arial"/>
          <w:rtl w:val="0"/>
        </w:rPr>
        <w:t xml:space="preserve">: Adoecimento; Síndrome de Burnout; Trabalho docente; Educação.</w:t>
      </w:r>
    </w:p>
    <w:p w:rsidR="00000000" w:rsidDel="00000000" w:rsidP="00000000" w:rsidRDefault="00000000" w:rsidRPr="00000000" w14:paraId="0000002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360" w:lineRule="auto"/>
        <w:ind w:firstLine="708"/>
        <w:jc w:val="both"/>
        <w:rPr>
          <w:rFonts w:ascii="Arial" w:cs="Arial" w:eastAsia="Arial" w:hAnsi="Arial"/>
        </w:rPr>
      </w:pPr>
      <w:r w:rsidDel="00000000" w:rsidR="00000000" w:rsidRPr="00000000">
        <w:rPr>
          <w:rFonts w:ascii="Arial" w:cs="Arial" w:eastAsia="Arial" w:hAnsi="Arial"/>
          <w:rtl w:val="0"/>
        </w:rPr>
        <w:t xml:space="preserve">REFERÊNCIAS</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CARLOTTO, M. S. Síndrome de Burnout em professores: prevalência e fatores associados. Revista Psicologia em Estudo, v. 7, n. 1, p. 21-29, 2002.</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CURY, M. Burnout: o esgotamento do trabalhador. In: PINOTTI, M. (org.). Psicodinâmica do trabalho: contribuições da escola dejouriana à análise da relação prazer, sofrimento e trabalho. São Paulo: Atlas, 2005/2006. p. 212.</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FREIRE, P. Pedagogia da autonomia: saberes necessários à prática educativa. 43. ed. São Paulo: Paz e Terra, 2011. Disponível em: </w:t>
      </w:r>
      <w:hyperlink r:id="rId7">
        <w:r w:rsidDel="00000000" w:rsidR="00000000" w:rsidRPr="00000000">
          <w:rPr>
            <w:rFonts w:ascii="Arial" w:cs="Arial" w:eastAsia="Arial" w:hAnsi="Arial"/>
            <w:color w:val="1155cc"/>
            <w:u w:val="single"/>
            <w:rtl w:val="0"/>
          </w:rPr>
          <w:t xml:space="preserve">https://nepegeo.paginas.ufsc.br/files/2018/11/Pedagogia-da-Autonomia-Paulo-Freire.pdf</w:t>
        </w:r>
      </w:hyperlink>
      <w:r w:rsidDel="00000000" w:rsidR="00000000" w:rsidRPr="00000000">
        <w:rPr>
          <w:rFonts w:ascii="Arial" w:cs="Arial" w:eastAsia="Arial" w:hAnsi="Arial"/>
          <w:rtl w:val="0"/>
        </w:rPr>
        <w:t xml:space="preserve">.  [08 de maio de 2023].</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GASPARINI, S. M.; BARRETO, S. M.; ASSUNÇÃO, A. Á. O professor, as condições de trabalho e os efeitos sobre sua saúde. Educação e Pesquisa, São Paulo, v. 31, n. 2, p. 189–199, maio 2005. Disponível em:</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https://doi.org/10.1590/S1517-97022005000200003. Acesso em: [05 de maio de 2023].</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MINISTÉRIO PÚBLICO DO PIAUÍ. Guia prático sobre a Síndrome de Burnout. Teresina: MPPI, [2023]. p. 5-9. Acesso em: 2 maio 2023.</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MORENO-JIMÉNEZ, B.; RODRÍGUEZ-MUÑOZ, A.; HERNÁNDEZ, E. El síndrome de quemarse por el trabajo (Burnout) en profesores: un estudio sobre su relación con los factores de estrés laboral. Revista de Psicología del Trabajo y de las Organizaciones, v. 18, n. 1, p. 53–70, 2002.</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ORGANIZAÇÃO INTERNACIONAL DO TRABALHO. Recomendação sobre a situação do pessoal docente. Genebra: OIT, 1984. Disponível em: https://www.ilo.org/pt-pt/media/320556/download?utm_source=chatgpt.com. Acesso em: [15 de maio de 2023].</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397" w:before="397" w:line="360" w:lineRule="auto"/>
        <w:jc w:val="both"/>
        <w:rPr>
          <w:rFonts w:ascii="Arial" w:cs="Arial" w:eastAsia="Arial" w:hAnsi="Arial"/>
        </w:rPr>
      </w:pPr>
      <w:r w:rsidDel="00000000" w:rsidR="00000000" w:rsidRPr="00000000">
        <w:rPr>
          <w:rFonts w:ascii="Arial" w:cs="Arial" w:eastAsia="Arial" w:hAnsi="Arial"/>
          <w:rtl w:val="0"/>
        </w:rPr>
        <w:t xml:space="preserve">ORGANIZAÇÃO MUNDIAL DA SAÚDE. Burn-out an “occupational phenomenon”: International Classification of Diseases. Genebra: OMS, 2019. Disponível em: https://www.who.int/. Acesso em: [i14 de maio de 2023].</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6" name="image2.png"/>
          <a:graphic>
            <a:graphicData uri="http://schemas.openxmlformats.org/drawingml/2006/picture">
              <pic:pic>
                <pic:nvPicPr>
                  <pic:cNvPr descr="Texto&#10;&#10;O conteúdo gerado por IA pode estar incorreto." id="0" name="image2.pn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-322990</wp:posOffset>
          </wp:positionV>
          <wp:extent cx="2571357" cy="1219343"/>
          <wp:effectExtent b="0" l="0" r="0" t="0"/>
          <wp:wrapNone/>
          <wp:docPr id="5" name="image1.png"/>
          <a:graphic>
            <a:graphicData uri="http://schemas.openxmlformats.org/drawingml/2006/picture">
              <pic:pic>
                <pic:nvPicPr>
                  <pic:cNvPr id="0" name="image1.png"/>
                  <pic:cNvPicPr preferRelativeResize="0"/>
                </pic:nvPicPr>
                <pic:blipFill>
                  <a:blip r:embed="rId1"/>
                  <a:srcRect b="0" l="2271" r="8356"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epegeo.paginas.ufsc.br/files/2018/11/Pedagogia-da-Autonomia-Paulo-Freire.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alWcWCe18+3/oLgt6cXyhkJcQ==">CgMxLjA4AHIhMWNqMV80V2lDQjQxSGl0eWZFa0RHRjlzTUtSMkF1QTEt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