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SEQUÊNCIA DE REPARO EM CASO DE SEQUELA PANFACIAL: RELATO DE CASO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 Adelaide Diolindo dos SANTOS*¹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Bruno Coelho MENDES²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As fraturas panfaciais apresentam-se como as mais complexas e destrutivas do esqueleto facial, requerendo uma sequência ideal de abordagem de cada fratura para a obtenção do melhor resultado funcional e estético possível. Porém, torna-se ainda mais complexo nos casos de sequelas. Em vista desse tipo de fratura, é importante restaurar a anatomia nas três dimensões, vertical, horizontal e anteroposterior.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rtl w:val="0"/>
        </w:rPr>
        <w:t xml:space="preserve"> Paciente de 30 anos, saudável, com história de acidente motociclístico há 30 dias antes e sequela de fratura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panfacial</w:t>
      </w:r>
      <w:r w:rsidDel="00000000" w:rsidR="00000000" w:rsidRPr="00000000">
        <w:rPr>
          <w:rFonts w:ascii="Arial" w:cs="Arial" w:eastAsia="Arial" w:hAnsi="Arial"/>
          <w:rtl w:val="0"/>
        </w:rPr>
        <w:t xml:space="preserve"> encaminhado ao Hospital Universitário da UFPI com queixa principal de afundamento do osso frontal. Após a realização de exames pré-operatórios foi optado a realização da sequência de reparo de cima para baixo e de fora para dentro. A cranialização foi realizada como primeiro passo, seguido pela obstrução do ducto frontonasal, reconstrução da parede anterior do osso frontal, osteossíntese do complexo zigomático, área naso-órbito-etmoidal e do componente Le Fort I. Após, seguiu-se a reconstrução do assoalho orbitário e obliteração do seio frontal com o pericrânio descolado.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O procedimento cirúrgico apresentou-se com resultado satisfatório e o paciente segue em acompanhamento. A sequência de abordagem planejada e executada apresentou-se eficaz na resolução da complexa sequela da fratura panfacial.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Traumatismos faciais. Fixação de fratura. Consolidação da fratura.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1E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1F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Trabalho apresentado na V Jornada Acadêmica de Odontologia (JAO), promovida pelo Centro Universitário Santo Agostinho, nos dias 29 e 30 de maio de 2025.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²Autora. Estudante do curso de graduação em Odontologia na Universidade Federal do Piauí (UFPI).</w:t>
      </w:r>
    </w:p>
    <w:p w:rsidR="00000000" w:rsidDel="00000000" w:rsidP="00000000" w:rsidRDefault="00000000" w:rsidRPr="00000000" w14:paraId="0000002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³Graduado em Odontologia pela Faculdade de Odontologia de Araçatuba/UNESP (2014). Residência em Cirurgia e Traumatologia Bucomaxilofacial pelo Hospital Universitário de Cuiabá (2018). Especialista em CTBMF pelo CFO (2020). Mestre (2019) e Doutor (2022) em Cirurgia e Traumatologia Bucomaxilofacial pela Faculdade de Odontologia de Araçatuba/SP.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HZ/OqpbRMkERj4VacTOFsJ+Pw==">CgMxLjA4AHIhMV9UY0xMN0VfaUs1cm5oZGFrbGR4ZVFhSlVxVGd2Y3dX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</cp:coreProperties>
</file>