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21816" w14:textId="6F5A6C0F" w:rsidR="0D46E98E" w:rsidRDefault="649B6533" w:rsidP="0D46E98E">
      <w:pPr>
        <w:spacing w:after="0" w:line="360" w:lineRule="auto"/>
        <w:jc w:val="center"/>
        <w:rPr>
          <w:rFonts w:ascii="Times New Roman" w:hAnsi="Times New Roman"/>
          <w:b/>
          <w:bCs/>
          <w:sz w:val="24"/>
          <w:szCs w:val="24"/>
        </w:rPr>
      </w:pPr>
      <w:r w:rsidRPr="649B6533">
        <w:rPr>
          <w:rFonts w:ascii="Times New Roman" w:hAnsi="Times New Roman"/>
          <w:b/>
          <w:bCs/>
          <w:sz w:val="24"/>
          <w:szCs w:val="24"/>
        </w:rPr>
        <w:t>FLORESCIMENTO DE SEIS CULTIVARES DE MORANGUEIRO</w:t>
      </w:r>
    </w:p>
    <w:p w14:paraId="02DFE87B" w14:textId="3AFD373D" w:rsidR="009E3693" w:rsidRDefault="009E3693" w:rsidP="00053C6B">
      <w:pPr>
        <w:spacing w:after="0" w:line="360" w:lineRule="auto"/>
        <w:jc w:val="center"/>
        <w:rPr>
          <w:rFonts w:ascii="Times New Roman" w:hAnsi="Times New Roman"/>
          <w:b/>
          <w:sz w:val="24"/>
          <w:szCs w:val="24"/>
        </w:rPr>
      </w:pPr>
    </w:p>
    <w:p w14:paraId="788B874F" w14:textId="2EA54907" w:rsidR="00CF4E65" w:rsidRDefault="00CF4E65" w:rsidP="00CF4E65">
      <w:pPr>
        <w:pStyle w:val="paragraph"/>
        <w:spacing w:before="0" w:beforeAutospacing="0" w:after="0" w:afterAutospacing="0"/>
        <w:ind w:firstLine="705"/>
        <w:jc w:val="center"/>
        <w:textAlignment w:val="baseline"/>
        <w:rPr>
          <w:rFonts w:ascii="Segoe UI" w:hAnsi="Segoe UI" w:cs="Segoe UI"/>
          <w:sz w:val="18"/>
          <w:szCs w:val="18"/>
        </w:rPr>
      </w:pPr>
      <w:r>
        <w:rPr>
          <w:rStyle w:val="normaltextrun"/>
          <w:b/>
          <w:bCs/>
          <w:color w:val="000000"/>
        </w:rPr>
        <w:t>Matheus Henrique Medeiros¹, Renata Castoldi</w:t>
      </w:r>
      <w:r>
        <w:rPr>
          <w:rStyle w:val="normaltextrun"/>
          <w:b/>
          <w:bCs/>
          <w:color w:val="000000"/>
          <w:sz w:val="19"/>
          <w:szCs w:val="19"/>
          <w:vertAlign w:val="superscript"/>
        </w:rPr>
        <w:t>2</w:t>
      </w:r>
      <w:r>
        <w:rPr>
          <w:rStyle w:val="normaltextrun"/>
          <w:b/>
          <w:bCs/>
          <w:color w:val="000000"/>
        </w:rPr>
        <w:t xml:space="preserve">, </w:t>
      </w:r>
    </w:p>
    <w:p w14:paraId="1BD2D398" w14:textId="15EF66BD" w:rsidR="00CF4E65" w:rsidRDefault="00CF4E65" w:rsidP="00CF4E65">
      <w:pPr>
        <w:pStyle w:val="paragraph"/>
        <w:spacing w:before="0" w:beforeAutospacing="0" w:after="0" w:afterAutospacing="0"/>
        <w:ind w:firstLine="705"/>
        <w:jc w:val="center"/>
        <w:textAlignment w:val="baseline"/>
        <w:rPr>
          <w:rFonts w:ascii="Segoe UI" w:hAnsi="Segoe UI" w:cs="Segoe UI"/>
          <w:sz w:val="18"/>
          <w:szCs w:val="18"/>
        </w:rPr>
      </w:pPr>
      <w:r>
        <w:rPr>
          <w:rStyle w:val="normaltextrun"/>
          <w:b/>
          <w:bCs/>
        </w:rPr>
        <w:t>Leticia Gonçalves Moreira</w:t>
      </w:r>
      <w:r>
        <w:rPr>
          <w:rStyle w:val="normaltextrun"/>
          <w:b/>
          <w:bCs/>
          <w:sz w:val="19"/>
          <w:szCs w:val="19"/>
          <w:vertAlign w:val="superscript"/>
        </w:rPr>
        <w:t>2</w:t>
      </w:r>
      <w:r>
        <w:rPr>
          <w:rStyle w:val="normaltextrun"/>
          <w:b/>
          <w:bCs/>
        </w:rPr>
        <w:t>, Edson Simão</w:t>
      </w:r>
      <w:r>
        <w:rPr>
          <w:rStyle w:val="normaltextrun"/>
          <w:b/>
          <w:bCs/>
          <w:sz w:val="19"/>
          <w:szCs w:val="19"/>
          <w:vertAlign w:val="superscript"/>
        </w:rPr>
        <w:t>2</w:t>
      </w:r>
      <w:r>
        <w:rPr>
          <w:rStyle w:val="normaltextrun"/>
          <w:b/>
          <w:bCs/>
        </w:rPr>
        <w:t>, Ana Carolina Pires Jacinto</w:t>
      </w:r>
      <w:r>
        <w:rPr>
          <w:rStyle w:val="normaltextrun"/>
          <w:b/>
          <w:bCs/>
          <w:sz w:val="19"/>
          <w:szCs w:val="19"/>
          <w:vertAlign w:val="superscript"/>
        </w:rPr>
        <w:t>1</w:t>
      </w:r>
    </w:p>
    <w:p w14:paraId="020C254C" w14:textId="77777777" w:rsidR="00CF4E65" w:rsidRDefault="00CF4E65" w:rsidP="00CF4E65">
      <w:pPr>
        <w:pStyle w:val="paragraph"/>
        <w:spacing w:before="0" w:beforeAutospacing="0" w:after="0" w:afterAutospacing="0"/>
        <w:ind w:firstLine="705"/>
        <w:jc w:val="center"/>
        <w:textAlignment w:val="baseline"/>
        <w:rPr>
          <w:rFonts w:ascii="Segoe UI" w:hAnsi="Segoe UI" w:cs="Segoe UI"/>
          <w:sz w:val="18"/>
          <w:szCs w:val="18"/>
        </w:rPr>
      </w:pPr>
      <w:r>
        <w:rPr>
          <w:rStyle w:val="eop"/>
          <w:sz w:val="19"/>
          <w:szCs w:val="19"/>
        </w:rPr>
        <w:t> </w:t>
      </w:r>
    </w:p>
    <w:p w14:paraId="26FF7521" w14:textId="77777777" w:rsidR="00CF4E65" w:rsidRDefault="00CF4E65" w:rsidP="00CF4E65">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19"/>
          <w:szCs w:val="19"/>
          <w:vertAlign w:val="superscript"/>
        </w:rPr>
        <w:t>1</w:t>
      </w:r>
      <w:r>
        <w:rPr>
          <w:rStyle w:val="normaltextrun"/>
          <w:color w:val="000000"/>
        </w:rPr>
        <w:t xml:space="preserve"> Universidade Federal de Uberlândia, Uberlândia - Programa de Pós-Graduação em Agronomia, MG (matheusmedeiros@ufu.br); </w:t>
      </w:r>
      <w:r>
        <w:rPr>
          <w:rStyle w:val="normaltextrun"/>
          <w:color w:val="000000"/>
          <w:sz w:val="19"/>
          <w:szCs w:val="19"/>
          <w:vertAlign w:val="superscript"/>
        </w:rPr>
        <w:t xml:space="preserve">2 </w:t>
      </w:r>
      <w:r>
        <w:rPr>
          <w:rStyle w:val="normaltextrun"/>
          <w:color w:val="000000"/>
        </w:rPr>
        <w:t>Universidade Federal de Uberlândia, Monte Carmelo, MG</w:t>
      </w:r>
      <w:r>
        <w:rPr>
          <w:rStyle w:val="eop"/>
          <w:color w:val="000000"/>
        </w:rPr>
        <w:t> </w:t>
      </w:r>
    </w:p>
    <w:p w14:paraId="25949DA7" w14:textId="77777777" w:rsidR="002F5B2A" w:rsidRDefault="002F5B2A" w:rsidP="00053C6B">
      <w:pPr>
        <w:spacing w:after="0" w:line="360" w:lineRule="auto"/>
        <w:jc w:val="center"/>
        <w:rPr>
          <w:rFonts w:ascii="Times New Roman" w:hAnsi="Times New Roman"/>
          <w:b/>
          <w:sz w:val="24"/>
          <w:szCs w:val="24"/>
        </w:rPr>
      </w:pPr>
    </w:p>
    <w:p w14:paraId="4DEDE87F" w14:textId="77777777" w:rsidR="002F5B2A" w:rsidRDefault="002F5B2A" w:rsidP="649B6533">
      <w:pPr>
        <w:spacing w:after="0" w:line="240" w:lineRule="auto"/>
        <w:jc w:val="both"/>
        <w:rPr>
          <w:rFonts w:ascii="Times New Roman" w:hAnsi="Times New Roman"/>
          <w:b/>
          <w:bCs/>
          <w:sz w:val="24"/>
          <w:szCs w:val="24"/>
        </w:rPr>
      </w:pPr>
    </w:p>
    <w:p w14:paraId="4650156C" w14:textId="1D8D39C4" w:rsidR="0D46E98E" w:rsidRDefault="60DB56B9" w:rsidP="649B6533">
      <w:pPr>
        <w:spacing w:after="0" w:line="240" w:lineRule="auto"/>
        <w:jc w:val="both"/>
        <w:rPr>
          <w:rFonts w:ascii="Times New Roman" w:eastAsia="Times New Roman" w:hAnsi="Times New Roman"/>
          <w:color w:val="000000" w:themeColor="text1"/>
          <w:sz w:val="24"/>
          <w:szCs w:val="24"/>
          <w:highlight w:val="yellow"/>
        </w:rPr>
      </w:pPr>
      <w:r w:rsidRPr="60DB56B9">
        <w:rPr>
          <w:rFonts w:ascii="Times New Roman" w:hAnsi="Times New Roman"/>
          <w:b/>
          <w:bCs/>
          <w:sz w:val="24"/>
          <w:szCs w:val="24"/>
        </w:rPr>
        <w:t xml:space="preserve">RESUMO: </w:t>
      </w:r>
      <w:r w:rsidRPr="60DB56B9">
        <w:rPr>
          <w:rFonts w:ascii="Times New Roman" w:hAnsi="Times New Roman"/>
          <w:sz w:val="24"/>
          <w:szCs w:val="24"/>
        </w:rPr>
        <w:t>A mudança do estádio vegetativo para reprodutivo em morangueiro é influenciada principalmente pelo fotoperíodo e temperatura</w:t>
      </w:r>
      <w:r w:rsidRPr="60DB56B9">
        <w:rPr>
          <w:rFonts w:ascii="Times New Roman" w:eastAsia="Times New Roman" w:hAnsi="Times New Roman"/>
          <w:color w:val="000000" w:themeColor="text1"/>
          <w:sz w:val="24"/>
          <w:szCs w:val="24"/>
        </w:rPr>
        <w:t xml:space="preserve">. A emissão de inflorescências varia entre cultivares de acordo com as condições ambientais de cultivo. Com isso, o objetivo do trabalho foi quantificar o florescimento de seis cultivares de morangueiro plantadas em Monte Carmelo – MG. O delineamento experimental foi em blocos </w:t>
      </w:r>
      <w:proofErr w:type="spellStart"/>
      <w:r w:rsidRPr="60DB56B9">
        <w:rPr>
          <w:rFonts w:ascii="Times New Roman" w:eastAsia="Times New Roman" w:hAnsi="Times New Roman"/>
          <w:color w:val="000000" w:themeColor="text1"/>
          <w:sz w:val="24"/>
          <w:szCs w:val="24"/>
        </w:rPr>
        <w:t>casualisados</w:t>
      </w:r>
      <w:proofErr w:type="spellEnd"/>
      <w:r w:rsidRPr="60DB56B9">
        <w:rPr>
          <w:rFonts w:ascii="Times New Roman" w:eastAsia="Times New Roman" w:hAnsi="Times New Roman"/>
          <w:color w:val="000000" w:themeColor="text1"/>
          <w:sz w:val="24"/>
          <w:szCs w:val="24"/>
        </w:rPr>
        <w:t xml:space="preserve"> com seis tratamentos (San Andreas, Albion, PR, Festival, </w:t>
      </w:r>
      <w:proofErr w:type="spellStart"/>
      <w:r w:rsidRPr="60DB56B9">
        <w:rPr>
          <w:rFonts w:ascii="Times New Roman" w:eastAsia="Times New Roman" w:hAnsi="Times New Roman"/>
          <w:color w:val="000000" w:themeColor="text1"/>
          <w:sz w:val="24"/>
          <w:szCs w:val="24"/>
        </w:rPr>
        <w:t>Oso</w:t>
      </w:r>
      <w:proofErr w:type="spellEnd"/>
      <w:r w:rsidRPr="60DB56B9">
        <w:rPr>
          <w:rFonts w:ascii="Times New Roman" w:eastAsia="Times New Roman" w:hAnsi="Times New Roman"/>
          <w:color w:val="000000" w:themeColor="text1"/>
          <w:sz w:val="24"/>
          <w:szCs w:val="24"/>
        </w:rPr>
        <w:t xml:space="preserve"> Grande, Guarani) e 4 repetições. Foram realizadas quinze avaliações semanais, quantificando o número de inflorescências em pré-antese, antese e aborto. As médias foram submetidas ao teste de Scott Knott a 5% de probabilidade. A cultivar Guarani obteve maior emissão de inflorescências em pré-antese, antese e baixa quantidade de inflorescências em aborto.</w:t>
      </w:r>
    </w:p>
    <w:p w14:paraId="7053777D" w14:textId="44FA6896" w:rsidR="0D46E98E" w:rsidRDefault="0D46E98E" w:rsidP="0D46E98E">
      <w:pPr>
        <w:spacing w:after="0" w:line="360" w:lineRule="auto"/>
        <w:jc w:val="both"/>
        <w:rPr>
          <w:rFonts w:ascii="Times New Roman" w:eastAsia="Times New Roman" w:hAnsi="Times New Roman"/>
          <w:color w:val="000000" w:themeColor="text1"/>
          <w:sz w:val="24"/>
          <w:szCs w:val="24"/>
        </w:rPr>
      </w:pPr>
    </w:p>
    <w:p w14:paraId="7E67A201" w14:textId="063DEB9D" w:rsidR="0D46E98E" w:rsidRDefault="649B6533" w:rsidP="649B6533">
      <w:pPr>
        <w:spacing w:after="0" w:line="240" w:lineRule="auto"/>
        <w:jc w:val="both"/>
        <w:rPr>
          <w:rFonts w:ascii="Times New Roman" w:eastAsia="Times New Roman" w:hAnsi="Times New Roman"/>
          <w:color w:val="000000" w:themeColor="text1"/>
          <w:sz w:val="24"/>
          <w:szCs w:val="24"/>
        </w:rPr>
      </w:pPr>
      <w:r w:rsidRPr="649B6533">
        <w:rPr>
          <w:rFonts w:ascii="Times New Roman" w:eastAsia="Times New Roman" w:hAnsi="Times New Roman"/>
          <w:b/>
          <w:bCs/>
          <w:color w:val="000000" w:themeColor="text1"/>
          <w:sz w:val="24"/>
          <w:szCs w:val="24"/>
        </w:rPr>
        <w:t xml:space="preserve">Palavras-chave: </w:t>
      </w:r>
      <w:r w:rsidRPr="649B6533">
        <w:rPr>
          <w:rFonts w:ascii="Times New Roman" w:eastAsia="Times New Roman" w:hAnsi="Times New Roman"/>
          <w:i/>
          <w:iCs/>
          <w:color w:val="000000" w:themeColor="text1"/>
          <w:sz w:val="24"/>
          <w:szCs w:val="24"/>
        </w:rPr>
        <w:t xml:space="preserve">Fragaria x </w:t>
      </w:r>
      <w:proofErr w:type="spellStart"/>
      <w:r w:rsidRPr="649B6533">
        <w:rPr>
          <w:rFonts w:ascii="Times New Roman" w:eastAsia="Times New Roman" w:hAnsi="Times New Roman"/>
          <w:i/>
          <w:iCs/>
          <w:color w:val="000000" w:themeColor="text1"/>
          <w:sz w:val="24"/>
          <w:szCs w:val="24"/>
        </w:rPr>
        <w:t>ananassa</w:t>
      </w:r>
      <w:proofErr w:type="spellEnd"/>
      <w:r w:rsidRPr="649B6533">
        <w:rPr>
          <w:rFonts w:ascii="Times New Roman" w:eastAsia="Times New Roman" w:hAnsi="Times New Roman"/>
          <w:color w:val="000000" w:themeColor="text1"/>
          <w:sz w:val="24"/>
          <w:szCs w:val="24"/>
        </w:rPr>
        <w:t xml:space="preserve"> </w:t>
      </w:r>
      <w:proofErr w:type="spellStart"/>
      <w:r w:rsidRPr="649B6533">
        <w:rPr>
          <w:rFonts w:ascii="Times New Roman" w:eastAsia="Times New Roman" w:hAnsi="Times New Roman"/>
          <w:color w:val="000000" w:themeColor="text1"/>
          <w:sz w:val="24"/>
          <w:szCs w:val="24"/>
        </w:rPr>
        <w:t>Duch</w:t>
      </w:r>
      <w:proofErr w:type="spellEnd"/>
      <w:r w:rsidRPr="649B6533">
        <w:rPr>
          <w:rFonts w:ascii="Times New Roman" w:eastAsia="Times New Roman" w:hAnsi="Times New Roman"/>
          <w:color w:val="000000" w:themeColor="text1"/>
          <w:sz w:val="24"/>
          <w:szCs w:val="24"/>
        </w:rPr>
        <w:t xml:space="preserve">., </w:t>
      </w:r>
      <w:r w:rsidR="00292E38">
        <w:rPr>
          <w:rFonts w:ascii="Times New Roman" w:eastAsia="Times New Roman" w:hAnsi="Times New Roman"/>
          <w:color w:val="000000" w:themeColor="text1"/>
          <w:sz w:val="24"/>
          <w:szCs w:val="24"/>
        </w:rPr>
        <w:t>i</w:t>
      </w:r>
      <w:r w:rsidRPr="649B6533">
        <w:rPr>
          <w:rFonts w:ascii="Times New Roman" w:eastAsia="Times New Roman" w:hAnsi="Times New Roman"/>
          <w:color w:val="000000" w:themeColor="text1"/>
          <w:sz w:val="24"/>
          <w:szCs w:val="24"/>
        </w:rPr>
        <w:t xml:space="preserve">nflorescência, </w:t>
      </w:r>
      <w:r w:rsidR="00292E38">
        <w:rPr>
          <w:rFonts w:ascii="Times New Roman" w:eastAsia="Times New Roman" w:hAnsi="Times New Roman"/>
          <w:color w:val="000000" w:themeColor="text1"/>
          <w:sz w:val="24"/>
          <w:szCs w:val="24"/>
        </w:rPr>
        <w:t>a</w:t>
      </w:r>
      <w:r w:rsidRPr="649B6533">
        <w:rPr>
          <w:rFonts w:ascii="Times New Roman" w:eastAsia="Times New Roman" w:hAnsi="Times New Roman"/>
          <w:color w:val="000000" w:themeColor="text1"/>
          <w:sz w:val="24"/>
          <w:szCs w:val="24"/>
        </w:rPr>
        <w:t>ntese</w:t>
      </w:r>
    </w:p>
    <w:p w14:paraId="3F2B6889" w14:textId="77777777" w:rsidR="00803851" w:rsidRDefault="00803851" w:rsidP="00053C6B">
      <w:pPr>
        <w:spacing w:after="0" w:line="360" w:lineRule="auto"/>
        <w:jc w:val="both"/>
        <w:rPr>
          <w:rFonts w:ascii="Times New Roman" w:hAnsi="Times New Roman"/>
          <w:sz w:val="24"/>
          <w:szCs w:val="24"/>
        </w:rPr>
      </w:pPr>
    </w:p>
    <w:p w14:paraId="7F5612C0" w14:textId="72C02162" w:rsidR="0061543B" w:rsidRPr="00913520" w:rsidRDefault="649B6533" w:rsidP="00053C6B">
      <w:pPr>
        <w:spacing w:after="0" w:line="360" w:lineRule="auto"/>
        <w:rPr>
          <w:rFonts w:ascii="Times New Roman" w:hAnsi="Times New Roman"/>
          <w:b/>
          <w:sz w:val="24"/>
          <w:szCs w:val="24"/>
        </w:rPr>
      </w:pPr>
      <w:r w:rsidRPr="649B6533">
        <w:rPr>
          <w:rFonts w:ascii="Times New Roman" w:hAnsi="Times New Roman"/>
          <w:b/>
          <w:bCs/>
          <w:sz w:val="24"/>
          <w:szCs w:val="24"/>
        </w:rPr>
        <w:t>INTRODUÇÃO</w:t>
      </w:r>
    </w:p>
    <w:p w14:paraId="5A4090E4" w14:textId="068C84AB" w:rsidR="649B6533" w:rsidRDefault="649B6533" w:rsidP="649B6533">
      <w:pPr>
        <w:spacing w:after="0" w:line="360" w:lineRule="auto"/>
        <w:ind w:firstLine="709"/>
        <w:jc w:val="both"/>
        <w:rPr>
          <w:rFonts w:ascii="Times New Roman" w:hAnsi="Times New Roman"/>
          <w:sz w:val="24"/>
          <w:szCs w:val="24"/>
        </w:rPr>
      </w:pPr>
    </w:p>
    <w:p w14:paraId="58C1D57D" w14:textId="4C2345D0" w:rsidR="630C95D7" w:rsidRDefault="60DB56B9" w:rsidP="630C95D7">
      <w:pPr>
        <w:spacing w:after="0" w:line="360" w:lineRule="auto"/>
        <w:ind w:firstLine="709"/>
        <w:jc w:val="both"/>
        <w:rPr>
          <w:rFonts w:ascii="Times New Roman" w:eastAsia="Times New Roman" w:hAnsi="Times New Roman"/>
          <w:sz w:val="24"/>
          <w:szCs w:val="24"/>
        </w:rPr>
      </w:pPr>
      <w:r w:rsidRPr="60DB56B9">
        <w:rPr>
          <w:rFonts w:ascii="Times New Roman" w:hAnsi="Times New Roman"/>
          <w:sz w:val="24"/>
          <w:szCs w:val="24"/>
        </w:rPr>
        <w:t>O cultivo de morango (</w:t>
      </w:r>
      <w:r w:rsidRPr="60DB56B9">
        <w:rPr>
          <w:rFonts w:ascii="Times New Roman" w:hAnsi="Times New Roman"/>
          <w:i/>
          <w:iCs/>
          <w:sz w:val="24"/>
          <w:szCs w:val="24"/>
        </w:rPr>
        <w:t xml:space="preserve">Fragaria x </w:t>
      </w:r>
      <w:proofErr w:type="spellStart"/>
      <w:r w:rsidRPr="60DB56B9">
        <w:rPr>
          <w:rFonts w:ascii="Times New Roman" w:hAnsi="Times New Roman"/>
          <w:i/>
          <w:iCs/>
          <w:sz w:val="24"/>
          <w:szCs w:val="24"/>
        </w:rPr>
        <w:t>ananassa</w:t>
      </w:r>
      <w:proofErr w:type="spellEnd"/>
      <w:r w:rsidRPr="60DB56B9">
        <w:rPr>
          <w:rFonts w:ascii="Times New Roman" w:hAnsi="Times New Roman"/>
          <w:sz w:val="24"/>
          <w:szCs w:val="24"/>
        </w:rPr>
        <w:t xml:space="preserve"> </w:t>
      </w:r>
      <w:proofErr w:type="spellStart"/>
      <w:r w:rsidRPr="60DB56B9">
        <w:rPr>
          <w:rFonts w:ascii="Times New Roman" w:hAnsi="Times New Roman"/>
          <w:sz w:val="24"/>
          <w:szCs w:val="24"/>
        </w:rPr>
        <w:t>Dunch</w:t>
      </w:r>
      <w:proofErr w:type="spellEnd"/>
      <w:r w:rsidRPr="60DB56B9">
        <w:rPr>
          <w:rFonts w:ascii="Times New Roman" w:hAnsi="Times New Roman"/>
          <w:sz w:val="24"/>
          <w:szCs w:val="24"/>
        </w:rPr>
        <w:t xml:space="preserve">.) no Brasil está em expansão, com crescimento de 4 a 6% em área plantada, devido a adoção de novas tecnologias de cultivo. A produção nacional é de 165.440 toneladas concentrada em 4.500 hectares </w:t>
      </w:r>
      <w:r w:rsidRPr="60DB56B9">
        <w:rPr>
          <w:rFonts w:ascii="Times New Roman" w:eastAsia="Times New Roman" w:hAnsi="Times New Roman"/>
          <w:color w:val="000000" w:themeColor="text1"/>
          <w:sz w:val="24"/>
          <w:szCs w:val="24"/>
        </w:rPr>
        <w:t>(ANTUNES</w:t>
      </w:r>
      <w:bookmarkStart w:id="0" w:name="_GoBack"/>
      <w:bookmarkEnd w:id="0"/>
      <w:r w:rsidRPr="60DB56B9">
        <w:rPr>
          <w:rFonts w:ascii="Times New Roman" w:eastAsia="Times New Roman" w:hAnsi="Times New Roman"/>
          <w:color w:val="000000" w:themeColor="text1"/>
          <w:sz w:val="24"/>
          <w:szCs w:val="24"/>
        </w:rPr>
        <w:t>; BONOW; REISSER JUNIOR, 2020).</w:t>
      </w:r>
    </w:p>
    <w:p w14:paraId="21D1D8D7" w14:textId="6BDE21F4" w:rsidR="630C95D7" w:rsidRDefault="60DB56B9" w:rsidP="649B6533">
      <w:pPr>
        <w:spacing w:after="0" w:line="360" w:lineRule="auto"/>
        <w:ind w:firstLine="709"/>
        <w:jc w:val="both"/>
        <w:rPr>
          <w:rFonts w:ascii="Times New Roman" w:eastAsia="Times New Roman" w:hAnsi="Times New Roman"/>
          <w:color w:val="000000" w:themeColor="text1"/>
          <w:sz w:val="24"/>
          <w:szCs w:val="24"/>
        </w:rPr>
      </w:pPr>
      <w:r w:rsidRPr="60DB56B9">
        <w:rPr>
          <w:rFonts w:ascii="Times New Roman" w:eastAsia="Times New Roman" w:hAnsi="Times New Roman"/>
          <w:color w:val="000000" w:themeColor="text1"/>
          <w:sz w:val="24"/>
          <w:szCs w:val="24"/>
        </w:rPr>
        <w:t xml:space="preserve">O crescimento e desenvolvimento de cultivares de morango são influenciadas por fatores ambientais (SONSTEBY; HEIDE, 2017). A temperatura e o fotoperíodo são os principais fatores que regulam a diferenciação e mudança da fase vegetativa para reprodutiva (CHIOMENTO </w:t>
      </w:r>
      <w:r w:rsidRPr="60DB56B9">
        <w:rPr>
          <w:rFonts w:ascii="Times New Roman" w:eastAsia="Times New Roman" w:hAnsi="Times New Roman"/>
          <w:i/>
          <w:iCs/>
          <w:color w:val="000000" w:themeColor="text1"/>
          <w:sz w:val="24"/>
          <w:szCs w:val="24"/>
        </w:rPr>
        <w:t>et al</w:t>
      </w:r>
      <w:r w:rsidRPr="60DB56B9">
        <w:rPr>
          <w:rFonts w:ascii="Times New Roman" w:eastAsia="Times New Roman" w:hAnsi="Times New Roman"/>
          <w:color w:val="000000" w:themeColor="text1"/>
          <w:sz w:val="24"/>
          <w:szCs w:val="24"/>
        </w:rPr>
        <w:t xml:space="preserve">., 2021). Após a diferenciação das gemas vegetativas em gemas reprodutivas ocorre a emissão das flores que posteriormente serão polinizadas gerando os frutos, parte comercializável do morango. A polinização e fertilização impactam na produtividade e qualidade dos frutos para o mercado consumidor (CUI </w:t>
      </w:r>
      <w:r w:rsidRPr="60DB56B9">
        <w:rPr>
          <w:rFonts w:ascii="Times New Roman" w:eastAsia="Times New Roman" w:hAnsi="Times New Roman"/>
          <w:i/>
          <w:iCs/>
          <w:color w:val="000000" w:themeColor="text1"/>
          <w:sz w:val="24"/>
          <w:szCs w:val="24"/>
        </w:rPr>
        <w:t>et al</w:t>
      </w:r>
      <w:r w:rsidRPr="60DB56B9">
        <w:rPr>
          <w:rFonts w:ascii="Times New Roman" w:eastAsia="Times New Roman" w:hAnsi="Times New Roman"/>
          <w:color w:val="000000" w:themeColor="text1"/>
          <w:sz w:val="24"/>
          <w:szCs w:val="24"/>
        </w:rPr>
        <w:t xml:space="preserve">., 2021). O florescimento pode ser dividido em pré-antese, quando as estruturas florais não se abriram, </w:t>
      </w:r>
      <w:r w:rsidRPr="60DB56B9">
        <w:rPr>
          <w:rFonts w:ascii="Times New Roman" w:eastAsia="Times New Roman" w:hAnsi="Times New Roman"/>
          <w:color w:val="000000" w:themeColor="text1"/>
          <w:sz w:val="24"/>
          <w:szCs w:val="24"/>
        </w:rPr>
        <w:lastRenderedPageBreak/>
        <w:t xml:space="preserve">antese que compreende a abertura dos botões florais e abortados caracterizados pela necrose e escurecimento da inflorescência (MENEZES; OLIVEIRA, 2011). </w:t>
      </w:r>
    </w:p>
    <w:p w14:paraId="30C618D7" w14:textId="2400E49D" w:rsidR="630C95D7" w:rsidRDefault="60DB56B9" w:rsidP="630C95D7">
      <w:pPr>
        <w:spacing w:after="0" w:line="360" w:lineRule="auto"/>
        <w:ind w:firstLine="709"/>
        <w:jc w:val="both"/>
      </w:pPr>
      <w:r w:rsidRPr="60DB56B9">
        <w:rPr>
          <w:rFonts w:ascii="Times New Roman" w:eastAsia="Times New Roman" w:hAnsi="Times New Roman"/>
          <w:color w:val="000000" w:themeColor="text1"/>
          <w:sz w:val="24"/>
          <w:szCs w:val="24"/>
        </w:rPr>
        <w:t xml:space="preserve">Considerando o exposto, o objetivo deste trabalho foi quantificar o florescimento de seis cultivares de morangueiro plantadas em Monte Carmelo – MG. </w:t>
      </w:r>
      <w:r w:rsidRPr="60DB56B9">
        <w:rPr>
          <w:rFonts w:ascii="Times New Roman" w:eastAsia="Times New Roman" w:hAnsi="Times New Roman"/>
          <w:sz w:val="24"/>
          <w:szCs w:val="24"/>
        </w:rPr>
        <w:t xml:space="preserve"> </w:t>
      </w:r>
    </w:p>
    <w:p w14:paraId="636D807A" w14:textId="75C7FE21" w:rsidR="630C95D7" w:rsidRDefault="630C95D7" w:rsidP="630C95D7">
      <w:pPr>
        <w:spacing w:after="0" w:line="360" w:lineRule="auto"/>
        <w:ind w:firstLine="709"/>
        <w:jc w:val="both"/>
        <w:rPr>
          <w:rFonts w:ascii="Times New Roman" w:hAnsi="Times New Roman"/>
          <w:sz w:val="24"/>
          <w:szCs w:val="24"/>
        </w:rPr>
      </w:pPr>
    </w:p>
    <w:p w14:paraId="6DFFC0BD" w14:textId="77777777" w:rsidR="00D7399F" w:rsidRPr="00913520" w:rsidRDefault="00D7399F" w:rsidP="00265898">
      <w:pPr>
        <w:spacing w:after="0" w:line="360" w:lineRule="auto"/>
        <w:rPr>
          <w:rFonts w:ascii="Times New Roman" w:hAnsi="Times New Roman"/>
          <w:sz w:val="24"/>
          <w:szCs w:val="24"/>
        </w:rPr>
      </w:pPr>
      <w:r w:rsidRPr="00913520">
        <w:rPr>
          <w:rFonts w:ascii="Times New Roman" w:hAnsi="Times New Roman"/>
          <w:b/>
          <w:sz w:val="24"/>
          <w:szCs w:val="24"/>
        </w:rPr>
        <w:t>MATERIAL E MÉTODOS</w:t>
      </w:r>
    </w:p>
    <w:p w14:paraId="0791F891" w14:textId="77777777" w:rsidR="00107CC4" w:rsidRDefault="00107CC4" w:rsidP="00265898">
      <w:pPr>
        <w:spacing w:after="0" w:line="360" w:lineRule="auto"/>
        <w:ind w:firstLine="709"/>
        <w:jc w:val="both"/>
        <w:rPr>
          <w:rFonts w:ascii="Times New Roman" w:hAnsi="Times New Roman"/>
          <w:sz w:val="24"/>
          <w:szCs w:val="24"/>
        </w:rPr>
      </w:pPr>
    </w:p>
    <w:p w14:paraId="6C85C47D" w14:textId="22EE964E" w:rsidR="008020E6" w:rsidRDefault="649B6533" w:rsidP="649B6533">
      <w:pPr>
        <w:spacing w:after="0" w:line="360" w:lineRule="auto"/>
        <w:ind w:firstLine="720"/>
        <w:jc w:val="both"/>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 xml:space="preserve">O experimento foi conduzido à campo na Universidade Federal de Uberlândia - Campus Monte Carmelo, MG, Brasil, durante o período de 16 de março a 25 de agosto de 2020. O delineamento experimental utilizado foi em blocos casualizados com seis tratamentos e quatro repetições, totalizando 24 parcelas experimentais. Os tratamentos consistiram em seis cultivares (cv.) comerciais de morango, sendo: San Andreas, Albion, PR, Festival, </w:t>
      </w:r>
      <w:proofErr w:type="spellStart"/>
      <w:r w:rsidRPr="649B6533">
        <w:rPr>
          <w:rFonts w:ascii="Times New Roman" w:eastAsia="Times New Roman" w:hAnsi="Times New Roman"/>
          <w:color w:val="000000" w:themeColor="text1"/>
          <w:sz w:val="24"/>
          <w:szCs w:val="24"/>
        </w:rPr>
        <w:t>Oso</w:t>
      </w:r>
      <w:proofErr w:type="spellEnd"/>
      <w:r w:rsidRPr="649B6533">
        <w:rPr>
          <w:rFonts w:ascii="Times New Roman" w:eastAsia="Times New Roman" w:hAnsi="Times New Roman"/>
          <w:color w:val="000000" w:themeColor="text1"/>
          <w:sz w:val="24"/>
          <w:szCs w:val="24"/>
        </w:rPr>
        <w:t xml:space="preserve"> Grande e Guarani. </w:t>
      </w:r>
    </w:p>
    <w:p w14:paraId="7506EE85" w14:textId="00646D0F" w:rsidR="008020E6" w:rsidRDefault="649B6533" w:rsidP="649B6533">
      <w:pPr>
        <w:spacing w:after="0" w:line="360" w:lineRule="auto"/>
        <w:ind w:firstLine="720"/>
        <w:jc w:val="both"/>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 xml:space="preserve">Cada parcela experimental foi constituída de 18 plantas, distribuídas em duas linhas, cobertas com mulching dupla face, espaçadas de 0,3 metros entre linhas e 0,3 metros entre plantas, sendo consideradas para avaliação dez plantas centrais de cada parcela. Foram realizadas quinze avaliações semanais após 35 dias do plantio, através da contagem do número de inflorescência em pré-antese, antese e aborto. Botões florais e inflorescência </w:t>
      </w:r>
      <w:proofErr w:type="spellStart"/>
      <w:r w:rsidRPr="649B6533">
        <w:rPr>
          <w:rFonts w:ascii="Times New Roman" w:eastAsia="Times New Roman" w:hAnsi="Times New Roman"/>
          <w:color w:val="000000" w:themeColor="text1"/>
          <w:sz w:val="24"/>
          <w:szCs w:val="24"/>
        </w:rPr>
        <w:t>semi-aberta</w:t>
      </w:r>
      <w:proofErr w:type="spellEnd"/>
      <w:r w:rsidRPr="649B6533">
        <w:rPr>
          <w:rFonts w:ascii="Times New Roman" w:eastAsia="Times New Roman" w:hAnsi="Times New Roman"/>
          <w:color w:val="000000" w:themeColor="text1"/>
          <w:sz w:val="24"/>
          <w:szCs w:val="24"/>
        </w:rPr>
        <w:t xml:space="preserve"> foram classificadas como pré-antese. Em antese foi quantificado as inflorescências totalmente desenvolvidas, expandidas e com desenvolvimento do pseudofruto. Já inflorescências onde não houve polinização, escurecidas e necróticas foram classificadas como aborto. </w:t>
      </w:r>
    </w:p>
    <w:p w14:paraId="7E100825" w14:textId="72E8F67E" w:rsidR="008020E6" w:rsidRDefault="649B6533" w:rsidP="649B6533">
      <w:pPr>
        <w:spacing w:after="0" w:line="360" w:lineRule="auto"/>
        <w:ind w:firstLine="708"/>
        <w:jc w:val="both"/>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lang w:val="pt-PT"/>
        </w:rPr>
        <w:t xml:space="preserve">Foi realizado o </w:t>
      </w:r>
      <w:r w:rsidRPr="649B6533">
        <w:rPr>
          <w:rFonts w:ascii="Times New Roman" w:eastAsia="Times New Roman" w:hAnsi="Times New Roman"/>
          <w:color w:val="000000" w:themeColor="text1"/>
          <w:sz w:val="24"/>
          <w:szCs w:val="24"/>
        </w:rPr>
        <w:t xml:space="preserve">teste de Scott-Knott (p ≤ 0,05) para comparação das médias, utilizado o software estatístico R Core Team (2022). </w:t>
      </w:r>
    </w:p>
    <w:p w14:paraId="267E5BA6" w14:textId="1328DE7D" w:rsidR="649B6533" w:rsidRDefault="649B6533" w:rsidP="649B6533">
      <w:pPr>
        <w:spacing w:after="0" w:line="360" w:lineRule="auto"/>
        <w:ind w:firstLine="708"/>
        <w:jc w:val="both"/>
        <w:rPr>
          <w:rFonts w:ascii="Times New Roman" w:eastAsia="Times New Roman" w:hAnsi="Times New Roman"/>
          <w:color w:val="000000" w:themeColor="text1"/>
          <w:sz w:val="24"/>
          <w:szCs w:val="24"/>
        </w:rPr>
      </w:pPr>
    </w:p>
    <w:p w14:paraId="3FC7F9B0" w14:textId="6EE9852E" w:rsidR="00107CC4" w:rsidRPr="008252FF" w:rsidRDefault="00D7399F" w:rsidP="00265898">
      <w:pPr>
        <w:spacing w:after="0" w:line="360" w:lineRule="auto"/>
        <w:rPr>
          <w:rFonts w:ascii="Times New Roman" w:hAnsi="Times New Roman"/>
          <w:b/>
          <w:sz w:val="24"/>
          <w:szCs w:val="24"/>
        </w:rPr>
      </w:pPr>
      <w:r w:rsidRPr="008252FF">
        <w:rPr>
          <w:rFonts w:ascii="Times New Roman" w:hAnsi="Times New Roman"/>
          <w:b/>
          <w:sz w:val="24"/>
          <w:szCs w:val="24"/>
        </w:rPr>
        <w:t>RESULTADOS E DISCUSSÃO</w:t>
      </w:r>
    </w:p>
    <w:p w14:paraId="0FA71C24" w14:textId="77777777" w:rsidR="00F34E71" w:rsidRPr="008252FF" w:rsidRDefault="00F34E71" w:rsidP="00265898">
      <w:pPr>
        <w:spacing w:after="0" w:line="360" w:lineRule="auto"/>
        <w:rPr>
          <w:rFonts w:ascii="Times New Roman" w:hAnsi="Times New Roman"/>
          <w:b/>
          <w:sz w:val="24"/>
          <w:szCs w:val="24"/>
        </w:rPr>
      </w:pPr>
    </w:p>
    <w:p w14:paraId="6FE976E7" w14:textId="0CDE2378" w:rsidR="649B6533" w:rsidRDefault="60DB56B9" w:rsidP="649B6533">
      <w:pPr>
        <w:spacing w:after="0" w:line="360" w:lineRule="auto"/>
        <w:ind w:firstLine="709"/>
        <w:jc w:val="both"/>
        <w:rPr>
          <w:rFonts w:ascii="Times New Roman" w:eastAsia="Times New Roman" w:hAnsi="Times New Roman"/>
          <w:color w:val="000000" w:themeColor="text1"/>
          <w:sz w:val="24"/>
          <w:szCs w:val="24"/>
        </w:rPr>
      </w:pPr>
      <w:r w:rsidRPr="60DB56B9">
        <w:rPr>
          <w:rFonts w:ascii="Times New Roman" w:eastAsia="Times New Roman" w:hAnsi="Times New Roman"/>
          <w:color w:val="000000" w:themeColor="text1"/>
          <w:sz w:val="24"/>
          <w:szCs w:val="24"/>
        </w:rPr>
        <w:t xml:space="preserve">De acordo com a Tabela 1, a cultivar Guarani apresentou maior número de inflorescências em pré-antese (1,76 inflorescências), antese (10,95 inflorescências) e baixa quantidade de inflorescências abortadas (0,19 inflorescências), seguida da cultivar Festival. </w:t>
      </w:r>
      <w:r w:rsidRPr="60DB56B9">
        <w:rPr>
          <w:rFonts w:ascii="Times New Roman" w:eastAsia="Times New Roman" w:hAnsi="Times New Roman"/>
          <w:color w:val="000000" w:themeColor="text1"/>
          <w:sz w:val="24"/>
          <w:szCs w:val="24"/>
        </w:rPr>
        <w:lastRenderedPageBreak/>
        <w:t>As cultivares Albion e PR apresentam baixa quantidade de inflorescência em desenvolvimento (antese) e maior quantidade de flores abortadas.</w:t>
      </w:r>
    </w:p>
    <w:p w14:paraId="3D5574BA" w14:textId="258E55FD" w:rsidR="649B6533" w:rsidRDefault="649B6533" w:rsidP="649B6533">
      <w:pPr>
        <w:spacing w:after="0" w:line="360" w:lineRule="auto"/>
        <w:ind w:firstLine="709"/>
        <w:jc w:val="both"/>
        <w:rPr>
          <w:rFonts w:ascii="Times New Roman" w:eastAsia="Times New Roman" w:hAnsi="Times New Roman"/>
          <w:color w:val="000000" w:themeColor="text1"/>
          <w:sz w:val="24"/>
          <w:szCs w:val="24"/>
        </w:rPr>
      </w:pPr>
    </w:p>
    <w:p w14:paraId="7CBCA534" w14:textId="1D6F2C16" w:rsidR="649B6533" w:rsidRDefault="60DB56B9" w:rsidP="60DB56B9">
      <w:pPr>
        <w:spacing w:after="0" w:line="240" w:lineRule="auto"/>
        <w:rPr>
          <w:rFonts w:ascii="Times New Roman" w:eastAsia="Times New Roman" w:hAnsi="Times New Roman"/>
          <w:color w:val="000000" w:themeColor="text1"/>
          <w:sz w:val="24"/>
          <w:szCs w:val="24"/>
        </w:rPr>
      </w:pPr>
      <w:r w:rsidRPr="60DB56B9">
        <w:rPr>
          <w:rFonts w:ascii="Times New Roman" w:eastAsia="Times New Roman" w:hAnsi="Times New Roman"/>
          <w:color w:val="000000" w:themeColor="text1"/>
          <w:sz w:val="24"/>
          <w:szCs w:val="24"/>
        </w:rPr>
        <w:t>Tabela 1.</w:t>
      </w:r>
      <w:r w:rsidRPr="60DB56B9">
        <w:rPr>
          <w:rFonts w:ascii="Times New Roman" w:eastAsia="Times New Roman" w:hAnsi="Times New Roman"/>
          <w:b/>
          <w:bCs/>
          <w:color w:val="000000" w:themeColor="text1"/>
          <w:sz w:val="24"/>
          <w:szCs w:val="24"/>
        </w:rPr>
        <w:t xml:space="preserve"> </w:t>
      </w:r>
      <w:r w:rsidRPr="60DB56B9">
        <w:rPr>
          <w:rFonts w:ascii="Times New Roman" w:eastAsia="Times New Roman" w:hAnsi="Times New Roman"/>
          <w:color w:val="000000" w:themeColor="text1"/>
          <w:sz w:val="24"/>
          <w:szCs w:val="24"/>
        </w:rPr>
        <w:t>Valores médios do número de inflorescências em pré-antese, antese e aborto de seis cultivares de morango</w:t>
      </w:r>
    </w:p>
    <w:tbl>
      <w:tblPr>
        <w:tblW w:w="0" w:type="auto"/>
        <w:jc w:val="center"/>
        <w:tblLayout w:type="fixed"/>
        <w:tblLook w:val="04A0" w:firstRow="1" w:lastRow="0" w:firstColumn="1" w:lastColumn="0" w:noHBand="0" w:noVBand="1"/>
      </w:tblPr>
      <w:tblGrid>
        <w:gridCol w:w="2208"/>
        <w:gridCol w:w="2208"/>
        <w:gridCol w:w="2208"/>
        <w:gridCol w:w="2209"/>
      </w:tblGrid>
      <w:tr w:rsidR="649B6533" w14:paraId="4C276806" w14:textId="77777777" w:rsidTr="60DB56B9">
        <w:trPr>
          <w:trHeight w:val="225"/>
          <w:jc w:val="center"/>
        </w:trPr>
        <w:tc>
          <w:tcPr>
            <w:tcW w:w="2208" w:type="dxa"/>
            <w:tcBorders>
              <w:top w:val="single" w:sz="12" w:space="0" w:color="000000" w:themeColor="text1"/>
              <w:left w:val="nil"/>
              <w:bottom w:val="single" w:sz="12" w:space="0" w:color="000000" w:themeColor="text1"/>
              <w:right w:val="nil"/>
            </w:tcBorders>
            <w:vAlign w:val="center"/>
          </w:tcPr>
          <w:p w14:paraId="2868ACB2" w14:textId="53B18A8C"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Cultivar</w:t>
            </w:r>
          </w:p>
        </w:tc>
        <w:tc>
          <w:tcPr>
            <w:tcW w:w="2208" w:type="dxa"/>
            <w:tcBorders>
              <w:top w:val="single" w:sz="12" w:space="0" w:color="000000" w:themeColor="text1"/>
              <w:left w:val="nil"/>
              <w:bottom w:val="single" w:sz="12" w:space="0" w:color="000000" w:themeColor="text1"/>
              <w:right w:val="nil"/>
            </w:tcBorders>
            <w:vAlign w:val="center"/>
          </w:tcPr>
          <w:p w14:paraId="3ABB4282" w14:textId="1D0A6CFE"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Pré-antese</w:t>
            </w:r>
          </w:p>
        </w:tc>
        <w:tc>
          <w:tcPr>
            <w:tcW w:w="2208" w:type="dxa"/>
            <w:tcBorders>
              <w:top w:val="single" w:sz="12" w:space="0" w:color="000000" w:themeColor="text1"/>
              <w:left w:val="nil"/>
              <w:bottom w:val="single" w:sz="12" w:space="0" w:color="000000" w:themeColor="text1"/>
              <w:right w:val="nil"/>
            </w:tcBorders>
            <w:vAlign w:val="center"/>
          </w:tcPr>
          <w:p w14:paraId="0F8E840A" w14:textId="3048D1B5"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Antese</w:t>
            </w:r>
          </w:p>
        </w:tc>
        <w:tc>
          <w:tcPr>
            <w:tcW w:w="2209" w:type="dxa"/>
            <w:tcBorders>
              <w:top w:val="single" w:sz="12" w:space="0" w:color="000000" w:themeColor="text1"/>
              <w:left w:val="nil"/>
              <w:bottom w:val="single" w:sz="12" w:space="0" w:color="000000" w:themeColor="text1"/>
              <w:right w:val="nil"/>
            </w:tcBorders>
            <w:vAlign w:val="center"/>
          </w:tcPr>
          <w:p w14:paraId="1DCF1F4B" w14:textId="3A17CD6B"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Abortos</w:t>
            </w:r>
          </w:p>
        </w:tc>
      </w:tr>
      <w:tr w:rsidR="649B6533" w14:paraId="5701BB4C" w14:textId="77777777" w:rsidTr="60DB56B9">
        <w:trPr>
          <w:trHeight w:val="345"/>
          <w:jc w:val="center"/>
        </w:trPr>
        <w:tc>
          <w:tcPr>
            <w:tcW w:w="2208" w:type="dxa"/>
            <w:tcBorders>
              <w:top w:val="single" w:sz="12" w:space="0" w:color="000000" w:themeColor="text1"/>
              <w:left w:val="nil"/>
              <w:bottom w:val="nil"/>
              <w:right w:val="nil"/>
            </w:tcBorders>
            <w:vAlign w:val="center"/>
          </w:tcPr>
          <w:p w14:paraId="0D91FC9A" w14:textId="2B9D0B8F"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San Andreas</w:t>
            </w:r>
          </w:p>
        </w:tc>
        <w:tc>
          <w:tcPr>
            <w:tcW w:w="2208" w:type="dxa"/>
            <w:tcBorders>
              <w:top w:val="single" w:sz="12" w:space="0" w:color="000000" w:themeColor="text1"/>
              <w:left w:val="nil"/>
              <w:bottom w:val="nil"/>
              <w:right w:val="nil"/>
            </w:tcBorders>
            <w:vAlign w:val="center"/>
          </w:tcPr>
          <w:p w14:paraId="7A84C996" w14:textId="45502704"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0,77 c</w:t>
            </w:r>
          </w:p>
        </w:tc>
        <w:tc>
          <w:tcPr>
            <w:tcW w:w="2208" w:type="dxa"/>
            <w:tcBorders>
              <w:top w:val="single" w:sz="12" w:space="0" w:color="000000" w:themeColor="text1"/>
              <w:left w:val="nil"/>
              <w:bottom w:val="nil"/>
              <w:right w:val="nil"/>
            </w:tcBorders>
            <w:vAlign w:val="center"/>
          </w:tcPr>
          <w:p w14:paraId="641F3600" w14:textId="7FDE262D"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4,73 c</w:t>
            </w:r>
          </w:p>
        </w:tc>
        <w:tc>
          <w:tcPr>
            <w:tcW w:w="2209" w:type="dxa"/>
            <w:tcBorders>
              <w:top w:val="single" w:sz="12" w:space="0" w:color="000000" w:themeColor="text1"/>
              <w:left w:val="nil"/>
              <w:bottom w:val="nil"/>
              <w:right w:val="nil"/>
            </w:tcBorders>
            <w:vAlign w:val="center"/>
          </w:tcPr>
          <w:p w14:paraId="47D75ED4" w14:textId="3CB8C5F0"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0,32 a</w:t>
            </w:r>
          </w:p>
        </w:tc>
      </w:tr>
      <w:tr w:rsidR="649B6533" w14:paraId="38E8EE48" w14:textId="77777777" w:rsidTr="60DB56B9">
        <w:trPr>
          <w:trHeight w:val="345"/>
          <w:jc w:val="center"/>
        </w:trPr>
        <w:tc>
          <w:tcPr>
            <w:tcW w:w="2208" w:type="dxa"/>
            <w:tcBorders>
              <w:top w:val="nil"/>
              <w:left w:val="nil"/>
              <w:bottom w:val="nil"/>
              <w:right w:val="nil"/>
            </w:tcBorders>
            <w:vAlign w:val="center"/>
          </w:tcPr>
          <w:p w14:paraId="478F0113" w14:textId="557CC9BD"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Albion</w:t>
            </w:r>
          </w:p>
        </w:tc>
        <w:tc>
          <w:tcPr>
            <w:tcW w:w="2208" w:type="dxa"/>
            <w:tcBorders>
              <w:top w:val="nil"/>
              <w:left w:val="nil"/>
              <w:bottom w:val="nil"/>
              <w:right w:val="nil"/>
            </w:tcBorders>
            <w:vAlign w:val="center"/>
          </w:tcPr>
          <w:p w14:paraId="5FBC335C" w14:textId="55FC035B" w:rsidR="649B6533" w:rsidRDefault="649B6533" w:rsidP="649B6533">
            <w:pPr>
              <w:spacing w:after="0" w:line="240" w:lineRule="auto"/>
              <w:ind w:left="-270"/>
              <w:jc w:val="center"/>
            </w:pPr>
            <w:r w:rsidRPr="649B6533">
              <w:rPr>
                <w:rFonts w:ascii="Times New Roman" w:eastAsia="Times New Roman" w:hAnsi="Times New Roman"/>
                <w:color w:val="000000" w:themeColor="text1"/>
                <w:sz w:val="24"/>
                <w:szCs w:val="24"/>
              </w:rPr>
              <w:t>0,44 d</w:t>
            </w:r>
          </w:p>
        </w:tc>
        <w:tc>
          <w:tcPr>
            <w:tcW w:w="2208" w:type="dxa"/>
            <w:tcBorders>
              <w:top w:val="nil"/>
              <w:left w:val="nil"/>
              <w:bottom w:val="nil"/>
              <w:right w:val="nil"/>
            </w:tcBorders>
            <w:vAlign w:val="center"/>
          </w:tcPr>
          <w:p w14:paraId="7220DEB7" w14:textId="3B338C67"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2,98 d</w:t>
            </w:r>
          </w:p>
        </w:tc>
        <w:tc>
          <w:tcPr>
            <w:tcW w:w="2209" w:type="dxa"/>
            <w:tcBorders>
              <w:top w:val="nil"/>
              <w:left w:val="nil"/>
              <w:bottom w:val="nil"/>
              <w:right w:val="nil"/>
            </w:tcBorders>
            <w:vAlign w:val="center"/>
          </w:tcPr>
          <w:p w14:paraId="6878CB6E" w14:textId="3D241D36"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0,46 b</w:t>
            </w:r>
          </w:p>
        </w:tc>
      </w:tr>
      <w:tr w:rsidR="649B6533" w14:paraId="4E245543" w14:textId="77777777" w:rsidTr="60DB56B9">
        <w:trPr>
          <w:trHeight w:val="345"/>
          <w:jc w:val="center"/>
        </w:trPr>
        <w:tc>
          <w:tcPr>
            <w:tcW w:w="2208" w:type="dxa"/>
            <w:tcBorders>
              <w:top w:val="nil"/>
              <w:left w:val="nil"/>
              <w:bottom w:val="nil"/>
              <w:right w:val="nil"/>
            </w:tcBorders>
            <w:vAlign w:val="center"/>
          </w:tcPr>
          <w:p w14:paraId="28B3E7C9" w14:textId="745D6CA9"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PR</w:t>
            </w:r>
          </w:p>
        </w:tc>
        <w:tc>
          <w:tcPr>
            <w:tcW w:w="2208" w:type="dxa"/>
            <w:tcBorders>
              <w:top w:val="nil"/>
              <w:left w:val="nil"/>
              <w:bottom w:val="nil"/>
              <w:right w:val="nil"/>
            </w:tcBorders>
            <w:vAlign w:val="center"/>
          </w:tcPr>
          <w:p w14:paraId="5C2D40C2" w14:textId="7FCC5A2C" w:rsidR="649B6533" w:rsidRDefault="649B6533" w:rsidP="649B6533">
            <w:pPr>
              <w:spacing w:after="0" w:line="240" w:lineRule="auto"/>
              <w:ind w:left="-270"/>
              <w:jc w:val="center"/>
            </w:pPr>
            <w:r w:rsidRPr="649B6533">
              <w:rPr>
                <w:rFonts w:ascii="Times New Roman" w:eastAsia="Times New Roman" w:hAnsi="Times New Roman"/>
                <w:color w:val="000000" w:themeColor="text1"/>
                <w:sz w:val="24"/>
                <w:szCs w:val="24"/>
              </w:rPr>
              <w:t>0,74 c</w:t>
            </w:r>
          </w:p>
        </w:tc>
        <w:tc>
          <w:tcPr>
            <w:tcW w:w="2208" w:type="dxa"/>
            <w:tcBorders>
              <w:top w:val="nil"/>
              <w:left w:val="nil"/>
              <w:bottom w:val="nil"/>
              <w:right w:val="nil"/>
            </w:tcBorders>
            <w:vAlign w:val="center"/>
          </w:tcPr>
          <w:p w14:paraId="762BA54D" w14:textId="73F11A56"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4,04 d</w:t>
            </w:r>
          </w:p>
        </w:tc>
        <w:tc>
          <w:tcPr>
            <w:tcW w:w="2209" w:type="dxa"/>
            <w:tcBorders>
              <w:top w:val="nil"/>
              <w:left w:val="nil"/>
              <w:bottom w:val="nil"/>
              <w:right w:val="nil"/>
            </w:tcBorders>
            <w:vAlign w:val="center"/>
          </w:tcPr>
          <w:p w14:paraId="5AA5AFEB" w14:textId="43771A8B"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0,53 b</w:t>
            </w:r>
          </w:p>
        </w:tc>
      </w:tr>
      <w:tr w:rsidR="649B6533" w14:paraId="3EC35190" w14:textId="77777777" w:rsidTr="60DB56B9">
        <w:trPr>
          <w:trHeight w:val="315"/>
          <w:jc w:val="center"/>
        </w:trPr>
        <w:tc>
          <w:tcPr>
            <w:tcW w:w="2208" w:type="dxa"/>
            <w:tcBorders>
              <w:top w:val="nil"/>
              <w:left w:val="nil"/>
              <w:bottom w:val="nil"/>
              <w:right w:val="nil"/>
            </w:tcBorders>
            <w:vAlign w:val="center"/>
          </w:tcPr>
          <w:p w14:paraId="59F96898" w14:textId="4210F256"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Festival</w:t>
            </w:r>
          </w:p>
        </w:tc>
        <w:tc>
          <w:tcPr>
            <w:tcW w:w="2208" w:type="dxa"/>
            <w:tcBorders>
              <w:top w:val="nil"/>
              <w:left w:val="nil"/>
              <w:bottom w:val="nil"/>
              <w:right w:val="nil"/>
            </w:tcBorders>
            <w:vAlign w:val="center"/>
          </w:tcPr>
          <w:p w14:paraId="411C5492" w14:textId="5A68EDC4"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1,35 b</w:t>
            </w:r>
          </w:p>
        </w:tc>
        <w:tc>
          <w:tcPr>
            <w:tcW w:w="2208" w:type="dxa"/>
            <w:tcBorders>
              <w:top w:val="nil"/>
              <w:left w:val="nil"/>
              <w:bottom w:val="nil"/>
              <w:right w:val="nil"/>
            </w:tcBorders>
            <w:vAlign w:val="center"/>
          </w:tcPr>
          <w:p w14:paraId="41AACE0D" w14:textId="2A9E5337"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8,78 b</w:t>
            </w:r>
          </w:p>
        </w:tc>
        <w:tc>
          <w:tcPr>
            <w:tcW w:w="2209" w:type="dxa"/>
            <w:tcBorders>
              <w:top w:val="nil"/>
              <w:left w:val="nil"/>
              <w:bottom w:val="nil"/>
              <w:right w:val="nil"/>
            </w:tcBorders>
            <w:vAlign w:val="center"/>
          </w:tcPr>
          <w:p w14:paraId="55B84670" w14:textId="3B18C0D2"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0,14 a</w:t>
            </w:r>
          </w:p>
        </w:tc>
      </w:tr>
      <w:tr w:rsidR="649B6533" w14:paraId="62C73B24" w14:textId="77777777" w:rsidTr="60DB56B9">
        <w:trPr>
          <w:trHeight w:val="345"/>
          <w:jc w:val="center"/>
        </w:trPr>
        <w:tc>
          <w:tcPr>
            <w:tcW w:w="2208" w:type="dxa"/>
            <w:tcBorders>
              <w:top w:val="nil"/>
              <w:left w:val="nil"/>
              <w:bottom w:val="nil"/>
              <w:right w:val="nil"/>
            </w:tcBorders>
            <w:vAlign w:val="center"/>
          </w:tcPr>
          <w:p w14:paraId="73056966" w14:textId="0CEE1945" w:rsidR="649B6533" w:rsidRDefault="649B6533" w:rsidP="649B6533">
            <w:pPr>
              <w:spacing w:after="0" w:line="240" w:lineRule="auto"/>
              <w:ind w:left="-270"/>
              <w:jc w:val="center"/>
              <w:rPr>
                <w:rFonts w:ascii="Times New Roman" w:eastAsia="Times New Roman" w:hAnsi="Times New Roman"/>
                <w:color w:val="000000" w:themeColor="text1"/>
                <w:sz w:val="24"/>
                <w:szCs w:val="24"/>
              </w:rPr>
            </w:pPr>
            <w:proofErr w:type="spellStart"/>
            <w:r w:rsidRPr="649B6533">
              <w:rPr>
                <w:rFonts w:ascii="Times New Roman" w:eastAsia="Times New Roman" w:hAnsi="Times New Roman"/>
                <w:color w:val="000000" w:themeColor="text1"/>
                <w:sz w:val="24"/>
                <w:szCs w:val="24"/>
              </w:rPr>
              <w:t>Oso</w:t>
            </w:r>
            <w:proofErr w:type="spellEnd"/>
            <w:r w:rsidRPr="649B6533">
              <w:rPr>
                <w:rFonts w:ascii="Times New Roman" w:eastAsia="Times New Roman" w:hAnsi="Times New Roman"/>
                <w:color w:val="000000" w:themeColor="text1"/>
                <w:sz w:val="24"/>
                <w:szCs w:val="24"/>
              </w:rPr>
              <w:t xml:space="preserve"> Grande</w:t>
            </w:r>
          </w:p>
        </w:tc>
        <w:tc>
          <w:tcPr>
            <w:tcW w:w="2208" w:type="dxa"/>
            <w:tcBorders>
              <w:top w:val="nil"/>
              <w:left w:val="nil"/>
              <w:bottom w:val="nil"/>
              <w:right w:val="nil"/>
            </w:tcBorders>
            <w:vAlign w:val="center"/>
          </w:tcPr>
          <w:p w14:paraId="49DDE0F6" w14:textId="41D1F9FA" w:rsidR="649B6533" w:rsidRDefault="649B6533" w:rsidP="649B6533">
            <w:pPr>
              <w:spacing w:after="0" w:line="240" w:lineRule="auto"/>
              <w:ind w:left="-270"/>
              <w:jc w:val="center"/>
            </w:pPr>
            <w:r w:rsidRPr="649B6533">
              <w:rPr>
                <w:rFonts w:ascii="Times New Roman" w:eastAsia="Times New Roman" w:hAnsi="Times New Roman"/>
                <w:color w:val="000000" w:themeColor="text1"/>
                <w:sz w:val="24"/>
                <w:szCs w:val="24"/>
              </w:rPr>
              <w:t>0,59 d</w:t>
            </w:r>
          </w:p>
        </w:tc>
        <w:tc>
          <w:tcPr>
            <w:tcW w:w="2208" w:type="dxa"/>
            <w:tcBorders>
              <w:top w:val="nil"/>
              <w:left w:val="nil"/>
              <w:bottom w:val="nil"/>
              <w:right w:val="nil"/>
            </w:tcBorders>
            <w:vAlign w:val="center"/>
          </w:tcPr>
          <w:p w14:paraId="5057D78E" w14:textId="42A3F9E6"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5,74 c</w:t>
            </w:r>
          </w:p>
        </w:tc>
        <w:tc>
          <w:tcPr>
            <w:tcW w:w="2209" w:type="dxa"/>
            <w:tcBorders>
              <w:top w:val="nil"/>
              <w:left w:val="nil"/>
              <w:bottom w:val="nil"/>
              <w:right w:val="nil"/>
            </w:tcBorders>
            <w:vAlign w:val="center"/>
          </w:tcPr>
          <w:p w14:paraId="3276A6DE" w14:textId="04638A9A"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0,21 a</w:t>
            </w:r>
          </w:p>
        </w:tc>
      </w:tr>
      <w:tr w:rsidR="649B6533" w14:paraId="55BD1E13" w14:textId="77777777" w:rsidTr="60DB56B9">
        <w:trPr>
          <w:trHeight w:val="345"/>
          <w:jc w:val="center"/>
        </w:trPr>
        <w:tc>
          <w:tcPr>
            <w:tcW w:w="2208" w:type="dxa"/>
            <w:tcBorders>
              <w:top w:val="nil"/>
              <w:left w:val="nil"/>
              <w:bottom w:val="single" w:sz="12" w:space="0" w:color="000000" w:themeColor="text1"/>
              <w:right w:val="nil"/>
            </w:tcBorders>
            <w:vAlign w:val="center"/>
          </w:tcPr>
          <w:p w14:paraId="6E145CB8" w14:textId="408EC8C1"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Guarani</w:t>
            </w:r>
          </w:p>
        </w:tc>
        <w:tc>
          <w:tcPr>
            <w:tcW w:w="2208" w:type="dxa"/>
            <w:tcBorders>
              <w:top w:val="nil"/>
              <w:left w:val="nil"/>
              <w:bottom w:val="single" w:sz="12" w:space="0" w:color="000000" w:themeColor="text1"/>
              <w:right w:val="nil"/>
            </w:tcBorders>
            <w:vAlign w:val="center"/>
          </w:tcPr>
          <w:p w14:paraId="78AC4616" w14:textId="3EC5C36F"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1,76 a</w:t>
            </w:r>
          </w:p>
        </w:tc>
        <w:tc>
          <w:tcPr>
            <w:tcW w:w="2208" w:type="dxa"/>
            <w:tcBorders>
              <w:top w:val="nil"/>
              <w:left w:val="nil"/>
              <w:bottom w:val="single" w:sz="12" w:space="0" w:color="000000" w:themeColor="text1"/>
              <w:right w:val="nil"/>
            </w:tcBorders>
            <w:vAlign w:val="center"/>
          </w:tcPr>
          <w:p w14:paraId="4C6AE8F1" w14:textId="3D4D79C6"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10,95 a</w:t>
            </w:r>
          </w:p>
        </w:tc>
        <w:tc>
          <w:tcPr>
            <w:tcW w:w="2209" w:type="dxa"/>
            <w:tcBorders>
              <w:top w:val="nil"/>
              <w:left w:val="nil"/>
              <w:bottom w:val="single" w:sz="12" w:space="0" w:color="000000" w:themeColor="text1"/>
              <w:right w:val="nil"/>
            </w:tcBorders>
            <w:vAlign w:val="center"/>
          </w:tcPr>
          <w:p w14:paraId="325FB25D" w14:textId="6B72BAAA" w:rsidR="649B6533" w:rsidRDefault="649B6533" w:rsidP="649B6533">
            <w:pPr>
              <w:spacing w:after="0" w:line="240" w:lineRule="auto"/>
              <w:ind w:left="-270"/>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0,19 a</w:t>
            </w:r>
          </w:p>
        </w:tc>
      </w:tr>
      <w:tr w:rsidR="649B6533" w14:paraId="6A90E7BC" w14:textId="77777777" w:rsidTr="60DB56B9">
        <w:trPr>
          <w:trHeight w:val="345"/>
          <w:jc w:val="center"/>
        </w:trPr>
        <w:tc>
          <w:tcPr>
            <w:tcW w:w="2208" w:type="dxa"/>
            <w:tcBorders>
              <w:top w:val="single" w:sz="12" w:space="0" w:color="000000" w:themeColor="text1"/>
              <w:left w:val="nil"/>
              <w:bottom w:val="single" w:sz="12" w:space="0" w:color="000000" w:themeColor="text1"/>
              <w:right w:val="nil"/>
            </w:tcBorders>
            <w:vAlign w:val="center"/>
          </w:tcPr>
          <w:p w14:paraId="494684DF" w14:textId="0B3E3F52" w:rsidR="649B6533" w:rsidRDefault="649B6533" w:rsidP="649B6533">
            <w:pPr>
              <w:spacing w:after="0" w:line="240" w:lineRule="auto"/>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CV (%)</w:t>
            </w:r>
          </w:p>
        </w:tc>
        <w:tc>
          <w:tcPr>
            <w:tcW w:w="2208" w:type="dxa"/>
            <w:tcBorders>
              <w:top w:val="single" w:sz="12" w:space="0" w:color="000000" w:themeColor="text1"/>
              <w:left w:val="nil"/>
              <w:bottom w:val="single" w:sz="12" w:space="0" w:color="000000" w:themeColor="text1"/>
              <w:right w:val="nil"/>
            </w:tcBorders>
            <w:vAlign w:val="center"/>
          </w:tcPr>
          <w:p w14:paraId="0C1B1B58" w14:textId="6D86BDEF" w:rsidR="649B6533" w:rsidRDefault="649B6533" w:rsidP="649B6533">
            <w:pPr>
              <w:spacing w:after="0" w:line="240" w:lineRule="auto"/>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16,6</w:t>
            </w:r>
          </w:p>
        </w:tc>
        <w:tc>
          <w:tcPr>
            <w:tcW w:w="2208" w:type="dxa"/>
            <w:tcBorders>
              <w:top w:val="single" w:sz="12" w:space="0" w:color="000000" w:themeColor="text1"/>
              <w:left w:val="nil"/>
              <w:bottom w:val="single" w:sz="12" w:space="0" w:color="000000" w:themeColor="text1"/>
              <w:right w:val="nil"/>
            </w:tcBorders>
            <w:vAlign w:val="center"/>
          </w:tcPr>
          <w:p w14:paraId="6F4DF0E7" w14:textId="540D2F47" w:rsidR="649B6533" w:rsidRDefault="649B6533" w:rsidP="649B6533">
            <w:pPr>
              <w:spacing w:after="0" w:line="240" w:lineRule="auto"/>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13,0</w:t>
            </w:r>
          </w:p>
        </w:tc>
        <w:tc>
          <w:tcPr>
            <w:tcW w:w="2209" w:type="dxa"/>
            <w:tcBorders>
              <w:top w:val="single" w:sz="12" w:space="0" w:color="000000" w:themeColor="text1"/>
              <w:left w:val="nil"/>
              <w:bottom w:val="single" w:sz="12" w:space="0" w:color="000000" w:themeColor="text1"/>
              <w:right w:val="nil"/>
            </w:tcBorders>
            <w:vAlign w:val="center"/>
          </w:tcPr>
          <w:p w14:paraId="1ECE0B16" w14:textId="335B25A8" w:rsidR="649B6533" w:rsidRDefault="649B6533" w:rsidP="649B6533">
            <w:pPr>
              <w:spacing w:after="0" w:line="240" w:lineRule="auto"/>
              <w:jc w:val="center"/>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42,2</w:t>
            </w:r>
          </w:p>
        </w:tc>
      </w:tr>
    </w:tbl>
    <w:p w14:paraId="10115E06" w14:textId="0E78D22A" w:rsidR="649B6533" w:rsidRDefault="649B6533" w:rsidP="00510441">
      <w:pPr>
        <w:spacing w:after="0" w:line="240" w:lineRule="auto"/>
        <w:ind w:right="990"/>
        <w:jc w:val="both"/>
        <w:rPr>
          <w:rFonts w:ascii="Times New Roman" w:eastAsia="Times New Roman" w:hAnsi="Times New Roman"/>
          <w:color w:val="000000" w:themeColor="text1"/>
          <w:sz w:val="20"/>
          <w:szCs w:val="20"/>
        </w:rPr>
      </w:pPr>
      <w:r w:rsidRPr="649B6533">
        <w:rPr>
          <w:rFonts w:ascii="Times New Roman" w:eastAsia="Times New Roman" w:hAnsi="Times New Roman"/>
          <w:color w:val="000000" w:themeColor="text1"/>
          <w:sz w:val="20"/>
          <w:szCs w:val="20"/>
        </w:rPr>
        <w:t>Médias seguidas com letras distintas nas colunas</w:t>
      </w:r>
      <w:proofErr w:type="gramStart"/>
      <w:r w:rsidRPr="649B6533">
        <w:rPr>
          <w:rFonts w:ascii="Times New Roman" w:eastAsia="Times New Roman" w:hAnsi="Times New Roman"/>
          <w:color w:val="000000" w:themeColor="text1"/>
          <w:sz w:val="20"/>
          <w:szCs w:val="20"/>
        </w:rPr>
        <w:t>, diferem</w:t>
      </w:r>
      <w:proofErr w:type="gramEnd"/>
      <w:r w:rsidRPr="649B6533">
        <w:rPr>
          <w:rFonts w:ascii="Times New Roman" w:eastAsia="Times New Roman" w:hAnsi="Times New Roman"/>
          <w:color w:val="000000" w:themeColor="text1"/>
          <w:sz w:val="20"/>
          <w:szCs w:val="20"/>
        </w:rPr>
        <w:t xml:space="preserve"> estatisticamente entre si pelo teste de</w:t>
      </w:r>
      <w:r w:rsidR="0070365E">
        <w:rPr>
          <w:rFonts w:ascii="Times New Roman" w:eastAsia="Times New Roman" w:hAnsi="Times New Roman"/>
          <w:color w:val="000000" w:themeColor="text1"/>
          <w:sz w:val="20"/>
          <w:szCs w:val="20"/>
        </w:rPr>
        <w:t xml:space="preserve"> </w:t>
      </w:r>
      <w:r w:rsidRPr="649B6533">
        <w:rPr>
          <w:rFonts w:ascii="Times New Roman" w:eastAsia="Times New Roman" w:hAnsi="Times New Roman"/>
          <w:color w:val="000000" w:themeColor="text1"/>
          <w:sz w:val="20"/>
          <w:szCs w:val="20"/>
        </w:rPr>
        <w:t>Scott-</w:t>
      </w:r>
      <w:proofErr w:type="spellStart"/>
      <w:r w:rsidRPr="649B6533">
        <w:rPr>
          <w:rFonts w:ascii="Times New Roman" w:eastAsia="Times New Roman" w:hAnsi="Times New Roman"/>
          <w:color w:val="000000" w:themeColor="text1"/>
          <w:sz w:val="20"/>
          <w:szCs w:val="20"/>
        </w:rPr>
        <w:t>Knott</w:t>
      </w:r>
      <w:proofErr w:type="spellEnd"/>
      <w:r w:rsidRPr="649B6533">
        <w:rPr>
          <w:rFonts w:ascii="Times New Roman" w:eastAsia="Times New Roman" w:hAnsi="Times New Roman"/>
          <w:color w:val="000000" w:themeColor="text1"/>
          <w:sz w:val="20"/>
          <w:szCs w:val="20"/>
        </w:rPr>
        <w:t>, a 5% de probabilidade.</w:t>
      </w:r>
    </w:p>
    <w:p w14:paraId="0ADFA6F7" w14:textId="5156177C" w:rsidR="649B6533" w:rsidRDefault="649B6533" w:rsidP="649B6533">
      <w:pPr>
        <w:spacing w:after="0" w:line="360" w:lineRule="auto"/>
        <w:ind w:firstLine="708"/>
        <w:jc w:val="both"/>
        <w:rPr>
          <w:rFonts w:ascii="Times New Roman" w:eastAsia="Times New Roman" w:hAnsi="Times New Roman"/>
          <w:color w:val="000000" w:themeColor="text1"/>
          <w:sz w:val="24"/>
          <w:szCs w:val="24"/>
        </w:rPr>
      </w:pPr>
    </w:p>
    <w:p w14:paraId="4AE78ADA" w14:textId="702E1E6D" w:rsidR="649B6533" w:rsidRDefault="649B6533" w:rsidP="649B6533">
      <w:pPr>
        <w:spacing w:after="0" w:line="360" w:lineRule="auto"/>
        <w:ind w:firstLine="709"/>
        <w:jc w:val="both"/>
        <w:rPr>
          <w:rFonts w:ascii="Times New Roman" w:eastAsia="Times New Roman" w:hAnsi="Times New Roman"/>
          <w:color w:val="000000" w:themeColor="text1"/>
          <w:sz w:val="24"/>
          <w:szCs w:val="24"/>
        </w:rPr>
      </w:pPr>
      <w:r w:rsidRPr="649B6533">
        <w:rPr>
          <w:rFonts w:ascii="Times New Roman" w:eastAsia="Times New Roman" w:hAnsi="Times New Roman"/>
          <w:color w:val="000000" w:themeColor="text1"/>
          <w:sz w:val="24"/>
          <w:szCs w:val="24"/>
        </w:rPr>
        <w:t xml:space="preserve">Temperaturas altas no cultivo do morangueiro podem ter prejudicado a emissão de novas inflorescências nas cultivares Albion, PR, San Andreas e </w:t>
      </w:r>
      <w:proofErr w:type="spellStart"/>
      <w:r w:rsidRPr="649B6533">
        <w:rPr>
          <w:rFonts w:ascii="Times New Roman" w:eastAsia="Times New Roman" w:hAnsi="Times New Roman"/>
          <w:color w:val="000000" w:themeColor="text1"/>
          <w:sz w:val="24"/>
          <w:szCs w:val="24"/>
        </w:rPr>
        <w:t>Oso</w:t>
      </w:r>
      <w:proofErr w:type="spellEnd"/>
      <w:r w:rsidRPr="649B6533">
        <w:rPr>
          <w:rFonts w:ascii="Times New Roman" w:eastAsia="Times New Roman" w:hAnsi="Times New Roman"/>
          <w:color w:val="000000" w:themeColor="text1"/>
          <w:sz w:val="24"/>
          <w:szCs w:val="24"/>
        </w:rPr>
        <w:t xml:space="preserve"> Grande. </w:t>
      </w:r>
      <w:r w:rsidR="002C06E8" w:rsidRPr="002C06E8">
        <w:rPr>
          <w:rFonts w:ascii="Times New Roman" w:eastAsia="Times New Roman" w:hAnsi="Times New Roman"/>
          <w:color w:val="000000" w:themeColor="text1"/>
          <w:sz w:val="24"/>
          <w:szCs w:val="24"/>
        </w:rPr>
        <w:t xml:space="preserve">A máxima temperatura do ar </w:t>
      </w:r>
      <w:r w:rsidR="002C06E8">
        <w:rPr>
          <w:rFonts w:ascii="Times New Roman" w:eastAsia="Times New Roman" w:hAnsi="Times New Roman"/>
          <w:color w:val="000000" w:themeColor="text1"/>
          <w:sz w:val="24"/>
          <w:szCs w:val="24"/>
        </w:rPr>
        <w:t xml:space="preserve">coletada na área em estudo </w:t>
      </w:r>
      <w:r w:rsidR="002C06E8" w:rsidRPr="002C06E8">
        <w:rPr>
          <w:rFonts w:ascii="Times New Roman" w:eastAsia="Times New Roman" w:hAnsi="Times New Roman"/>
          <w:color w:val="000000" w:themeColor="text1"/>
          <w:sz w:val="24"/>
          <w:szCs w:val="24"/>
        </w:rPr>
        <w:t>foi de 41,2ºC e mínima de 12,9ºC. Já a temperatura média coletada entre 8h e 16h foi de 28,6ºC.</w:t>
      </w:r>
      <w:r w:rsidR="002C06E8">
        <w:rPr>
          <w:rFonts w:ascii="Times New Roman" w:eastAsia="Times New Roman" w:hAnsi="Times New Roman"/>
          <w:color w:val="000000" w:themeColor="text1"/>
          <w:sz w:val="24"/>
          <w:szCs w:val="24"/>
        </w:rPr>
        <w:t xml:space="preserve"> </w:t>
      </w:r>
      <w:r w:rsidRPr="649B6533">
        <w:rPr>
          <w:rFonts w:ascii="Times New Roman" w:eastAsia="Times New Roman" w:hAnsi="Times New Roman"/>
          <w:color w:val="000000" w:themeColor="text1"/>
          <w:sz w:val="24"/>
          <w:szCs w:val="24"/>
        </w:rPr>
        <w:t xml:space="preserve">Segundo </w:t>
      </w:r>
      <w:proofErr w:type="spellStart"/>
      <w:r w:rsidRPr="649B6533">
        <w:rPr>
          <w:rFonts w:ascii="Times New Roman" w:eastAsia="Times New Roman" w:hAnsi="Times New Roman"/>
          <w:color w:val="000000" w:themeColor="text1"/>
          <w:sz w:val="24"/>
          <w:szCs w:val="24"/>
        </w:rPr>
        <w:t>Cui</w:t>
      </w:r>
      <w:proofErr w:type="spellEnd"/>
      <w:r w:rsidRPr="649B6533">
        <w:rPr>
          <w:rFonts w:ascii="Times New Roman" w:eastAsia="Times New Roman" w:hAnsi="Times New Roman"/>
          <w:color w:val="000000" w:themeColor="text1"/>
          <w:sz w:val="24"/>
          <w:szCs w:val="24"/>
        </w:rPr>
        <w:t xml:space="preserve"> </w:t>
      </w:r>
      <w:r w:rsidRPr="649B6533">
        <w:rPr>
          <w:rFonts w:ascii="Times New Roman" w:eastAsia="Times New Roman" w:hAnsi="Times New Roman"/>
          <w:i/>
          <w:iCs/>
          <w:color w:val="000000" w:themeColor="text1"/>
          <w:sz w:val="24"/>
          <w:szCs w:val="24"/>
        </w:rPr>
        <w:t>et al</w:t>
      </w:r>
      <w:r w:rsidRPr="649B6533">
        <w:rPr>
          <w:rFonts w:ascii="Times New Roman" w:eastAsia="Times New Roman" w:hAnsi="Times New Roman"/>
          <w:color w:val="000000" w:themeColor="text1"/>
          <w:sz w:val="24"/>
          <w:szCs w:val="24"/>
        </w:rPr>
        <w:t xml:space="preserve">. (2021) a exposição das plantas de morango a condições de estresse calórico provoca má formação de frutos. </w:t>
      </w:r>
    </w:p>
    <w:p w14:paraId="297C3E96" w14:textId="2038E05C" w:rsidR="649B6533" w:rsidRDefault="649B6533" w:rsidP="649B6533">
      <w:pPr>
        <w:spacing w:after="0" w:line="240" w:lineRule="auto"/>
        <w:jc w:val="both"/>
        <w:rPr>
          <w:rFonts w:ascii="Times New Roman" w:hAnsi="Times New Roman"/>
          <w:color w:val="000000" w:themeColor="text1"/>
          <w:sz w:val="20"/>
          <w:szCs w:val="20"/>
          <w:lang w:eastAsia="pt-BR"/>
        </w:rPr>
      </w:pPr>
    </w:p>
    <w:p w14:paraId="428921DA" w14:textId="77777777" w:rsidR="00436A86" w:rsidRDefault="00436A86" w:rsidP="00053C6B">
      <w:pPr>
        <w:spacing w:after="0" w:line="360" w:lineRule="auto"/>
        <w:jc w:val="both"/>
        <w:rPr>
          <w:rFonts w:ascii="Times New Roman" w:hAnsi="Times New Roman"/>
          <w:sz w:val="24"/>
          <w:szCs w:val="24"/>
        </w:rPr>
      </w:pPr>
    </w:p>
    <w:p w14:paraId="21E47633" w14:textId="77777777" w:rsidR="00D7399F" w:rsidRPr="00913520" w:rsidRDefault="00D7399F" w:rsidP="00053C6B">
      <w:pPr>
        <w:spacing w:after="0" w:line="360" w:lineRule="auto"/>
        <w:rPr>
          <w:rFonts w:ascii="Times New Roman" w:hAnsi="Times New Roman"/>
          <w:b/>
          <w:sz w:val="24"/>
          <w:szCs w:val="24"/>
        </w:rPr>
      </w:pPr>
      <w:r w:rsidRPr="00913520">
        <w:rPr>
          <w:rFonts w:ascii="Times New Roman" w:hAnsi="Times New Roman"/>
          <w:b/>
          <w:sz w:val="24"/>
          <w:szCs w:val="24"/>
        </w:rPr>
        <w:t>CONCLUSÕES</w:t>
      </w:r>
    </w:p>
    <w:p w14:paraId="47A2E54B" w14:textId="442E2128" w:rsidR="00D7399F" w:rsidRDefault="00D7399F" w:rsidP="00053C6B">
      <w:pPr>
        <w:spacing w:after="0" w:line="360" w:lineRule="auto"/>
        <w:rPr>
          <w:rFonts w:ascii="Times New Roman" w:hAnsi="Times New Roman"/>
          <w:sz w:val="24"/>
          <w:szCs w:val="24"/>
        </w:rPr>
      </w:pPr>
    </w:p>
    <w:p w14:paraId="6B3D3869" w14:textId="092AF102" w:rsidR="649B6533" w:rsidRDefault="649B6533" w:rsidP="649B6533">
      <w:pPr>
        <w:spacing w:after="0" w:line="360" w:lineRule="auto"/>
        <w:ind w:firstLine="709"/>
        <w:jc w:val="both"/>
        <w:rPr>
          <w:rFonts w:ascii="Times New Roman" w:hAnsi="Times New Roman"/>
          <w:sz w:val="24"/>
          <w:szCs w:val="24"/>
        </w:rPr>
      </w:pPr>
      <w:r w:rsidRPr="649B6533">
        <w:rPr>
          <w:rFonts w:ascii="Times New Roman" w:hAnsi="Times New Roman"/>
          <w:sz w:val="24"/>
          <w:szCs w:val="24"/>
        </w:rPr>
        <w:t xml:space="preserve">A cultivar Guarani apresenta o maior número de inflorescências em pré-antese, antese e baixo número de inflorescências abortadas, comparada as cultivares San Andreas, Albion, PR, Festival e </w:t>
      </w:r>
      <w:proofErr w:type="spellStart"/>
      <w:r w:rsidRPr="649B6533">
        <w:rPr>
          <w:rFonts w:ascii="Times New Roman" w:hAnsi="Times New Roman"/>
          <w:sz w:val="24"/>
          <w:szCs w:val="24"/>
        </w:rPr>
        <w:t>Oso</w:t>
      </w:r>
      <w:proofErr w:type="spellEnd"/>
      <w:r w:rsidRPr="649B6533">
        <w:rPr>
          <w:rFonts w:ascii="Times New Roman" w:hAnsi="Times New Roman"/>
          <w:sz w:val="24"/>
          <w:szCs w:val="24"/>
        </w:rPr>
        <w:t xml:space="preserve"> Grande.</w:t>
      </w:r>
    </w:p>
    <w:p w14:paraId="2D953E70" w14:textId="46CC7B62" w:rsidR="008252FF" w:rsidRDefault="008252FF" w:rsidP="00053C6B">
      <w:pPr>
        <w:spacing w:after="0" w:line="360" w:lineRule="auto"/>
        <w:rPr>
          <w:rFonts w:ascii="Times New Roman" w:hAnsi="Times New Roman"/>
          <w:sz w:val="24"/>
          <w:szCs w:val="24"/>
        </w:rPr>
      </w:pPr>
    </w:p>
    <w:p w14:paraId="2DA63C0A" w14:textId="5D5A1283" w:rsidR="002645A8" w:rsidRDefault="002645A8" w:rsidP="00053C6B">
      <w:pPr>
        <w:spacing w:after="0" w:line="360" w:lineRule="auto"/>
        <w:rPr>
          <w:rFonts w:ascii="Times New Roman" w:hAnsi="Times New Roman"/>
          <w:sz w:val="24"/>
          <w:szCs w:val="24"/>
        </w:rPr>
      </w:pPr>
    </w:p>
    <w:p w14:paraId="63852559" w14:textId="05F6A78B" w:rsidR="002645A8" w:rsidRDefault="002645A8" w:rsidP="00053C6B">
      <w:pPr>
        <w:spacing w:after="0" w:line="360" w:lineRule="auto"/>
        <w:rPr>
          <w:rFonts w:ascii="Times New Roman" w:hAnsi="Times New Roman"/>
          <w:sz w:val="24"/>
          <w:szCs w:val="24"/>
        </w:rPr>
      </w:pPr>
    </w:p>
    <w:p w14:paraId="62863BA9" w14:textId="52ABBD20" w:rsidR="002645A8" w:rsidRDefault="002645A8" w:rsidP="00053C6B">
      <w:pPr>
        <w:spacing w:after="0" w:line="360" w:lineRule="auto"/>
        <w:rPr>
          <w:rFonts w:ascii="Times New Roman" w:hAnsi="Times New Roman"/>
          <w:sz w:val="24"/>
          <w:szCs w:val="24"/>
        </w:rPr>
      </w:pPr>
    </w:p>
    <w:p w14:paraId="42E7B1C9" w14:textId="77777777" w:rsidR="002645A8" w:rsidRDefault="002645A8" w:rsidP="00053C6B">
      <w:pPr>
        <w:spacing w:after="0" w:line="360" w:lineRule="auto"/>
        <w:rPr>
          <w:rFonts w:ascii="Times New Roman" w:hAnsi="Times New Roman"/>
          <w:b/>
          <w:sz w:val="24"/>
          <w:szCs w:val="24"/>
        </w:rPr>
      </w:pPr>
    </w:p>
    <w:p w14:paraId="4F435007" w14:textId="486E19FC" w:rsidR="00D7399F" w:rsidRPr="00913520" w:rsidRDefault="00D7399F" w:rsidP="00053C6B">
      <w:pPr>
        <w:spacing w:after="0" w:line="360" w:lineRule="auto"/>
        <w:rPr>
          <w:rFonts w:ascii="Times New Roman" w:hAnsi="Times New Roman"/>
          <w:b/>
          <w:sz w:val="24"/>
          <w:szCs w:val="24"/>
        </w:rPr>
      </w:pPr>
      <w:r w:rsidRPr="00913520">
        <w:rPr>
          <w:rFonts w:ascii="Times New Roman" w:hAnsi="Times New Roman"/>
          <w:b/>
          <w:sz w:val="24"/>
          <w:szCs w:val="24"/>
        </w:rPr>
        <w:lastRenderedPageBreak/>
        <w:t>AGRADECIMENTOS</w:t>
      </w:r>
    </w:p>
    <w:p w14:paraId="6461F7F4" w14:textId="77777777" w:rsidR="00D7399F" w:rsidRDefault="00D7399F" w:rsidP="00053C6B">
      <w:pPr>
        <w:spacing w:after="0" w:line="360" w:lineRule="auto"/>
        <w:jc w:val="both"/>
        <w:rPr>
          <w:rFonts w:ascii="Times New Roman" w:hAnsi="Times New Roman"/>
          <w:b/>
          <w:sz w:val="24"/>
          <w:szCs w:val="24"/>
        </w:rPr>
      </w:pPr>
    </w:p>
    <w:p w14:paraId="1D723C8F" w14:textId="26E9A53E" w:rsidR="00D7399F" w:rsidRDefault="60DB56B9" w:rsidP="630C95D7">
      <w:pPr>
        <w:spacing w:after="0" w:line="360" w:lineRule="auto"/>
        <w:ind w:firstLine="709"/>
        <w:jc w:val="both"/>
        <w:rPr>
          <w:rFonts w:ascii="Times New Roman" w:hAnsi="Times New Roman"/>
          <w:sz w:val="24"/>
          <w:szCs w:val="24"/>
          <w:vertAlign w:val="superscript"/>
        </w:rPr>
      </w:pPr>
      <w:r w:rsidRPr="60DB56B9">
        <w:rPr>
          <w:rFonts w:ascii="Times New Roman" w:hAnsi="Times New Roman"/>
          <w:sz w:val="24"/>
          <w:szCs w:val="24"/>
        </w:rPr>
        <w:t>Ao NUPOL - Núcleo de Pesquisa em Olericultura, coordenado pela Prof</w:t>
      </w:r>
      <w:r w:rsidRPr="60DB56B9">
        <w:rPr>
          <w:rFonts w:ascii="Times New Roman" w:hAnsi="Times New Roman"/>
          <w:sz w:val="24"/>
          <w:szCs w:val="24"/>
          <w:vertAlign w:val="superscript"/>
        </w:rPr>
        <w:t>a</w:t>
      </w:r>
      <w:r w:rsidRPr="60DB56B9">
        <w:rPr>
          <w:rFonts w:ascii="Times New Roman" w:hAnsi="Times New Roman"/>
          <w:sz w:val="24"/>
          <w:szCs w:val="24"/>
        </w:rPr>
        <w:t>. Dr</w:t>
      </w:r>
      <w:r w:rsidRPr="60DB56B9">
        <w:rPr>
          <w:rFonts w:ascii="Times New Roman" w:hAnsi="Times New Roman"/>
          <w:sz w:val="24"/>
          <w:szCs w:val="24"/>
          <w:vertAlign w:val="superscript"/>
        </w:rPr>
        <w:t>a</w:t>
      </w:r>
      <w:r w:rsidRPr="60DB56B9">
        <w:rPr>
          <w:rFonts w:ascii="Times New Roman" w:hAnsi="Times New Roman"/>
          <w:sz w:val="24"/>
          <w:szCs w:val="24"/>
        </w:rPr>
        <w:t xml:space="preserve">. Renata </w:t>
      </w:r>
      <w:proofErr w:type="spellStart"/>
      <w:r w:rsidRPr="60DB56B9">
        <w:rPr>
          <w:rFonts w:ascii="Times New Roman" w:hAnsi="Times New Roman"/>
          <w:sz w:val="24"/>
          <w:szCs w:val="24"/>
        </w:rPr>
        <w:t>Castoldi</w:t>
      </w:r>
      <w:proofErr w:type="spellEnd"/>
      <w:r w:rsidRPr="60DB56B9">
        <w:rPr>
          <w:rFonts w:ascii="Times New Roman" w:hAnsi="Times New Roman"/>
          <w:sz w:val="24"/>
          <w:szCs w:val="24"/>
        </w:rPr>
        <w:t xml:space="preserve"> e a todos integrantes do grupo de estudos que auxiliaram na condução do experimento. </w:t>
      </w:r>
    </w:p>
    <w:p w14:paraId="449C2FC6" w14:textId="77777777" w:rsidR="00BB7E9F" w:rsidRDefault="00BB7E9F" w:rsidP="00D475E8">
      <w:pPr>
        <w:spacing w:after="0" w:line="360" w:lineRule="auto"/>
        <w:jc w:val="both"/>
        <w:rPr>
          <w:rFonts w:ascii="Times New Roman" w:hAnsi="Times New Roman"/>
          <w:sz w:val="24"/>
          <w:szCs w:val="24"/>
        </w:rPr>
      </w:pPr>
    </w:p>
    <w:p w14:paraId="36E18D75" w14:textId="77777777" w:rsidR="00D7399F" w:rsidRPr="00913520" w:rsidRDefault="00D7399F" w:rsidP="00053C6B">
      <w:pPr>
        <w:spacing w:after="0" w:line="360" w:lineRule="auto"/>
        <w:rPr>
          <w:rFonts w:ascii="Times New Roman" w:hAnsi="Times New Roman"/>
          <w:b/>
          <w:sz w:val="24"/>
          <w:szCs w:val="24"/>
        </w:rPr>
      </w:pPr>
      <w:r w:rsidRPr="00913520">
        <w:rPr>
          <w:rFonts w:ascii="Times New Roman" w:hAnsi="Times New Roman"/>
          <w:b/>
          <w:sz w:val="24"/>
          <w:szCs w:val="24"/>
        </w:rPr>
        <w:t>REFERÊNCIAS</w:t>
      </w:r>
    </w:p>
    <w:p w14:paraId="05FC82C5" w14:textId="77777777" w:rsidR="00D7399F" w:rsidRDefault="00D7399F" w:rsidP="00053C6B">
      <w:pPr>
        <w:spacing w:after="0" w:line="360" w:lineRule="auto"/>
        <w:jc w:val="both"/>
        <w:rPr>
          <w:rFonts w:ascii="Times New Roman" w:hAnsi="Times New Roman"/>
          <w:b/>
          <w:sz w:val="24"/>
          <w:szCs w:val="24"/>
        </w:rPr>
      </w:pPr>
    </w:p>
    <w:p w14:paraId="1D63436B" w14:textId="0402B529" w:rsidR="630C95D7" w:rsidRDefault="60DB56B9" w:rsidP="630C95D7">
      <w:pPr>
        <w:spacing w:after="0" w:line="240" w:lineRule="auto"/>
        <w:jc w:val="both"/>
        <w:rPr>
          <w:rFonts w:ascii="Times New Roman" w:eastAsia="Times New Roman" w:hAnsi="Times New Roman"/>
          <w:sz w:val="24"/>
          <w:szCs w:val="24"/>
        </w:rPr>
      </w:pPr>
      <w:r w:rsidRPr="60DB56B9">
        <w:rPr>
          <w:rFonts w:ascii="Times New Roman" w:eastAsia="Times New Roman" w:hAnsi="Times New Roman"/>
          <w:color w:val="000000" w:themeColor="text1"/>
          <w:sz w:val="24"/>
          <w:szCs w:val="24"/>
        </w:rPr>
        <w:t xml:space="preserve">ANTUNES, L.; BONOW, S.; REISSER JUNIOR, C. </w:t>
      </w:r>
      <w:r w:rsidRPr="60DB56B9">
        <w:rPr>
          <w:rFonts w:ascii="Times New Roman" w:eastAsia="Times New Roman" w:hAnsi="Times New Roman"/>
          <w:b/>
          <w:bCs/>
          <w:color w:val="000000" w:themeColor="text1"/>
          <w:sz w:val="24"/>
          <w:szCs w:val="24"/>
        </w:rPr>
        <w:t>Morango</w:t>
      </w:r>
      <w:r w:rsidRPr="60DB56B9">
        <w:rPr>
          <w:rFonts w:ascii="Times New Roman" w:eastAsia="Times New Roman" w:hAnsi="Times New Roman"/>
          <w:color w:val="000000" w:themeColor="text1"/>
          <w:sz w:val="24"/>
          <w:szCs w:val="24"/>
        </w:rPr>
        <w:t>: crescimento constante em área e produção. Embrapa Clima Temperado- (ALICE), 2020. ISSN 2316-6304.</w:t>
      </w:r>
    </w:p>
    <w:p w14:paraId="7D8B3D33" w14:textId="64722101" w:rsidR="630C95D7" w:rsidRDefault="630C95D7" w:rsidP="630C95D7">
      <w:pPr>
        <w:spacing w:after="0" w:line="240" w:lineRule="auto"/>
        <w:jc w:val="both"/>
        <w:rPr>
          <w:rFonts w:ascii="Times New Roman" w:eastAsia="Times New Roman" w:hAnsi="Times New Roman"/>
          <w:color w:val="000000" w:themeColor="text1"/>
          <w:sz w:val="24"/>
          <w:szCs w:val="24"/>
        </w:rPr>
      </w:pPr>
    </w:p>
    <w:p w14:paraId="06AB2DDB" w14:textId="6A7DCFDF" w:rsidR="630C95D7" w:rsidRDefault="60DB56B9" w:rsidP="649B6533">
      <w:pPr>
        <w:spacing w:after="0" w:line="240" w:lineRule="auto"/>
        <w:jc w:val="both"/>
        <w:rPr>
          <w:rFonts w:ascii="Times New Roman" w:eastAsia="Times New Roman" w:hAnsi="Times New Roman"/>
          <w:color w:val="000000" w:themeColor="text1"/>
          <w:sz w:val="24"/>
          <w:szCs w:val="24"/>
        </w:rPr>
      </w:pPr>
      <w:bookmarkStart w:id="1" w:name="_Hlk35897674"/>
      <w:r w:rsidRPr="60DB56B9">
        <w:rPr>
          <w:rFonts w:ascii="Times New Roman" w:eastAsia="Times New Roman" w:hAnsi="Times New Roman"/>
          <w:color w:val="000000" w:themeColor="text1"/>
          <w:sz w:val="24"/>
          <w:szCs w:val="24"/>
        </w:rPr>
        <w:t xml:space="preserve">CHIOMENTO, J. L. T. </w:t>
      </w:r>
      <w:r w:rsidRPr="60DB56B9">
        <w:rPr>
          <w:rFonts w:ascii="Times New Roman" w:eastAsia="Times New Roman" w:hAnsi="Times New Roman"/>
          <w:i/>
          <w:iCs/>
          <w:color w:val="000000" w:themeColor="text1"/>
          <w:sz w:val="24"/>
          <w:szCs w:val="24"/>
        </w:rPr>
        <w:t>et al</w:t>
      </w:r>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Horticultural</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potential</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of</w:t>
      </w:r>
      <w:proofErr w:type="spellEnd"/>
      <w:r w:rsidRPr="60DB56B9">
        <w:rPr>
          <w:rFonts w:ascii="Times New Roman" w:eastAsia="Times New Roman" w:hAnsi="Times New Roman"/>
          <w:color w:val="000000" w:themeColor="text1"/>
          <w:sz w:val="24"/>
          <w:szCs w:val="24"/>
        </w:rPr>
        <w:t xml:space="preserve"> nine </w:t>
      </w:r>
      <w:proofErr w:type="spellStart"/>
      <w:r w:rsidRPr="60DB56B9">
        <w:rPr>
          <w:rFonts w:ascii="Times New Roman" w:eastAsia="Times New Roman" w:hAnsi="Times New Roman"/>
          <w:color w:val="000000" w:themeColor="text1"/>
          <w:sz w:val="24"/>
          <w:szCs w:val="24"/>
        </w:rPr>
        <w:t>strawberry</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cultivars</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by</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greenhouse</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production</w:t>
      </w:r>
      <w:proofErr w:type="spellEnd"/>
      <w:r w:rsidRPr="60DB56B9">
        <w:rPr>
          <w:rFonts w:ascii="Times New Roman" w:eastAsia="Times New Roman" w:hAnsi="Times New Roman"/>
          <w:color w:val="000000" w:themeColor="text1"/>
          <w:sz w:val="24"/>
          <w:szCs w:val="24"/>
        </w:rPr>
        <w:t xml:space="preserve"> in </w:t>
      </w:r>
      <w:proofErr w:type="spellStart"/>
      <w:r w:rsidRPr="60DB56B9">
        <w:rPr>
          <w:rFonts w:ascii="Times New Roman" w:eastAsia="Times New Roman" w:hAnsi="Times New Roman"/>
          <w:color w:val="000000" w:themeColor="text1"/>
          <w:sz w:val="24"/>
          <w:szCs w:val="24"/>
        </w:rPr>
        <w:t>Brazil</w:t>
      </w:r>
      <w:proofErr w:type="spellEnd"/>
      <w:r w:rsidRPr="60DB56B9">
        <w:rPr>
          <w:rFonts w:ascii="Times New Roman" w:eastAsia="Times New Roman" w:hAnsi="Times New Roman"/>
          <w:color w:val="000000" w:themeColor="text1"/>
          <w:sz w:val="24"/>
          <w:szCs w:val="24"/>
        </w:rPr>
        <w:t xml:space="preserve">: A </w:t>
      </w:r>
      <w:proofErr w:type="spellStart"/>
      <w:r w:rsidRPr="60DB56B9">
        <w:rPr>
          <w:rFonts w:ascii="Times New Roman" w:eastAsia="Times New Roman" w:hAnsi="Times New Roman"/>
          <w:color w:val="000000" w:themeColor="text1"/>
          <w:sz w:val="24"/>
          <w:szCs w:val="24"/>
        </w:rPr>
        <w:t>view</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through</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multivariate</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color w:val="000000" w:themeColor="text1"/>
          <w:sz w:val="24"/>
          <w:szCs w:val="24"/>
        </w:rPr>
        <w:t>analysis</w:t>
      </w:r>
      <w:proofErr w:type="spellEnd"/>
      <w:r w:rsidRPr="60DB56B9">
        <w:rPr>
          <w:rFonts w:ascii="Times New Roman" w:eastAsia="Times New Roman" w:hAnsi="Times New Roman"/>
          <w:color w:val="000000" w:themeColor="text1"/>
          <w:sz w:val="24"/>
          <w:szCs w:val="24"/>
        </w:rPr>
        <w:t xml:space="preserve">. </w:t>
      </w:r>
      <w:proofErr w:type="spellStart"/>
      <w:r w:rsidRPr="60DB56B9">
        <w:rPr>
          <w:rFonts w:ascii="Times New Roman" w:eastAsia="Times New Roman" w:hAnsi="Times New Roman"/>
          <w:b/>
          <w:bCs/>
          <w:color w:val="000000" w:themeColor="text1"/>
          <w:sz w:val="24"/>
          <w:szCs w:val="24"/>
        </w:rPr>
        <w:t>Scientia</w:t>
      </w:r>
      <w:proofErr w:type="spellEnd"/>
      <w:r w:rsidRPr="60DB56B9">
        <w:rPr>
          <w:rFonts w:ascii="Times New Roman" w:eastAsia="Times New Roman" w:hAnsi="Times New Roman"/>
          <w:b/>
          <w:bCs/>
          <w:color w:val="000000" w:themeColor="text1"/>
          <w:sz w:val="24"/>
          <w:szCs w:val="24"/>
        </w:rPr>
        <w:t xml:space="preserve"> </w:t>
      </w:r>
      <w:proofErr w:type="spellStart"/>
      <w:r w:rsidRPr="60DB56B9">
        <w:rPr>
          <w:rFonts w:ascii="Times New Roman" w:eastAsia="Times New Roman" w:hAnsi="Times New Roman"/>
          <w:b/>
          <w:bCs/>
          <w:color w:val="000000" w:themeColor="text1"/>
          <w:sz w:val="24"/>
          <w:szCs w:val="24"/>
        </w:rPr>
        <w:t>Horticulturae</w:t>
      </w:r>
      <w:proofErr w:type="spellEnd"/>
      <w:r w:rsidRPr="60DB56B9">
        <w:rPr>
          <w:rFonts w:ascii="Times New Roman" w:eastAsia="Times New Roman" w:hAnsi="Times New Roman"/>
          <w:color w:val="000000" w:themeColor="text1"/>
          <w:sz w:val="24"/>
          <w:szCs w:val="24"/>
        </w:rPr>
        <w:t>, v. 279, p. 1-8, 2021.</w:t>
      </w:r>
    </w:p>
    <w:p w14:paraId="003716EF" w14:textId="77777777" w:rsidR="004F4533" w:rsidRDefault="004F4533" w:rsidP="004F4533">
      <w:pPr>
        <w:pStyle w:val="TableContents"/>
        <w:jc w:val="both"/>
        <w:rPr>
          <w:rFonts w:ascii="Times New Roman" w:hAnsi="Times New Roman"/>
          <w:color w:val="000000"/>
        </w:rPr>
      </w:pPr>
    </w:p>
    <w:p w14:paraId="4B7720EF" w14:textId="74AE3ADD" w:rsidR="630C95D7" w:rsidRDefault="60DB56B9" w:rsidP="630C95D7">
      <w:pPr>
        <w:pStyle w:val="TableContents"/>
        <w:jc w:val="both"/>
        <w:rPr>
          <w:rFonts w:ascii="Times New Roman" w:hAnsi="Times New Roman"/>
          <w:color w:val="000000" w:themeColor="text1"/>
        </w:rPr>
      </w:pPr>
      <w:r w:rsidRPr="60DB56B9">
        <w:rPr>
          <w:rFonts w:ascii="Times New Roman" w:hAnsi="Times New Roman"/>
          <w:color w:val="000000" w:themeColor="text1"/>
        </w:rPr>
        <w:t xml:space="preserve">CUI, M. </w:t>
      </w:r>
      <w:r w:rsidRPr="60DB56B9">
        <w:rPr>
          <w:rFonts w:ascii="Times New Roman" w:hAnsi="Times New Roman"/>
          <w:i/>
          <w:iCs/>
          <w:color w:val="000000" w:themeColor="text1"/>
        </w:rPr>
        <w:t>et al.</w:t>
      </w:r>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Flower</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development</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and</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fruit</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malformation</w:t>
      </w:r>
      <w:proofErr w:type="spellEnd"/>
      <w:r w:rsidRPr="60DB56B9">
        <w:rPr>
          <w:rFonts w:ascii="Times New Roman" w:hAnsi="Times New Roman"/>
          <w:color w:val="000000" w:themeColor="text1"/>
        </w:rPr>
        <w:t xml:space="preserve"> in </w:t>
      </w:r>
      <w:proofErr w:type="spellStart"/>
      <w:r w:rsidRPr="60DB56B9">
        <w:rPr>
          <w:rFonts w:ascii="Times New Roman" w:hAnsi="Times New Roman"/>
          <w:color w:val="000000" w:themeColor="text1"/>
        </w:rPr>
        <w:t>strawberries</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after</w:t>
      </w:r>
      <w:proofErr w:type="spellEnd"/>
      <w:r w:rsidRPr="60DB56B9">
        <w:rPr>
          <w:rFonts w:ascii="Times New Roman" w:hAnsi="Times New Roman"/>
          <w:color w:val="000000" w:themeColor="text1"/>
        </w:rPr>
        <w:t xml:space="preserve"> short-</w:t>
      </w:r>
      <w:proofErr w:type="spellStart"/>
      <w:r w:rsidRPr="60DB56B9">
        <w:rPr>
          <w:rFonts w:ascii="Times New Roman" w:hAnsi="Times New Roman"/>
          <w:color w:val="000000" w:themeColor="text1"/>
        </w:rPr>
        <w:t>term</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exposure</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to</w:t>
      </w:r>
      <w:proofErr w:type="spellEnd"/>
      <w:r w:rsidRPr="60DB56B9">
        <w:rPr>
          <w:rFonts w:ascii="Times New Roman" w:hAnsi="Times New Roman"/>
          <w:color w:val="000000" w:themeColor="text1"/>
        </w:rPr>
        <w:t xml:space="preserve"> high </w:t>
      </w:r>
      <w:proofErr w:type="spellStart"/>
      <w:r w:rsidRPr="60DB56B9">
        <w:rPr>
          <w:rFonts w:ascii="Times New Roman" w:hAnsi="Times New Roman"/>
          <w:color w:val="000000" w:themeColor="text1"/>
        </w:rPr>
        <w:t>or</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low</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temperature</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Scientia</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Horticulturae</w:t>
      </w:r>
      <w:proofErr w:type="spellEnd"/>
      <w:r w:rsidRPr="60DB56B9">
        <w:rPr>
          <w:rFonts w:ascii="Times New Roman" w:hAnsi="Times New Roman"/>
          <w:color w:val="000000" w:themeColor="text1"/>
        </w:rPr>
        <w:t>, v. 288, p. 1-9, 2021.</w:t>
      </w:r>
    </w:p>
    <w:p w14:paraId="5F84BEEC" w14:textId="6D4BE62B" w:rsidR="649B6533" w:rsidRDefault="649B6533" w:rsidP="649B6533">
      <w:pPr>
        <w:pStyle w:val="TableContents"/>
        <w:jc w:val="both"/>
        <w:rPr>
          <w:rFonts w:ascii="Times New Roman" w:hAnsi="Times New Roman"/>
          <w:color w:val="000000" w:themeColor="text1"/>
        </w:rPr>
      </w:pPr>
    </w:p>
    <w:p w14:paraId="0AD06CC6" w14:textId="71B15863" w:rsidR="649B6533" w:rsidRDefault="60DB56B9" w:rsidP="649B6533">
      <w:pPr>
        <w:pStyle w:val="TableContents"/>
        <w:jc w:val="both"/>
        <w:rPr>
          <w:rFonts w:ascii="Times New Roman" w:hAnsi="Times New Roman"/>
          <w:color w:val="000000" w:themeColor="text1"/>
        </w:rPr>
      </w:pPr>
      <w:r w:rsidRPr="60DB56B9">
        <w:rPr>
          <w:rFonts w:ascii="Times New Roman" w:hAnsi="Times New Roman"/>
          <w:color w:val="000000" w:themeColor="text1"/>
        </w:rPr>
        <w:t xml:space="preserve">MENEZES, S. P.; OLIVEIRA, A. C. Biologia flora, sistema reprodutivo e métodos artificiais de hibridação de </w:t>
      </w:r>
      <w:proofErr w:type="spellStart"/>
      <w:r w:rsidRPr="60DB56B9">
        <w:rPr>
          <w:rFonts w:ascii="Times New Roman" w:hAnsi="Times New Roman"/>
          <w:color w:val="000000" w:themeColor="text1"/>
        </w:rPr>
        <w:t>Hemerocallis</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hybrida</w:t>
      </w:r>
      <w:proofErr w:type="spellEnd"/>
      <w:r w:rsidRPr="60DB56B9">
        <w:rPr>
          <w:rFonts w:ascii="Times New Roman" w:hAnsi="Times New Roman"/>
          <w:color w:val="000000" w:themeColor="text1"/>
        </w:rPr>
        <w:t xml:space="preserve">. </w:t>
      </w:r>
      <w:r w:rsidRPr="60DB56B9">
        <w:rPr>
          <w:rFonts w:ascii="Times New Roman" w:hAnsi="Times New Roman"/>
          <w:b/>
          <w:bCs/>
          <w:color w:val="000000" w:themeColor="text1"/>
        </w:rPr>
        <w:t xml:space="preserve">Ciência e </w:t>
      </w:r>
      <w:proofErr w:type="spellStart"/>
      <w:r w:rsidRPr="60DB56B9">
        <w:rPr>
          <w:rFonts w:ascii="Times New Roman" w:hAnsi="Times New Roman"/>
          <w:b/>
          <w:bCs/>
          <w:color w:val="000000" w:themeColor="text1"/>
        </w:rPr>
        <w:t>agrotecnologia</w:t>
      </w:r>
      <w:proofErr w:type="spellEnd"/>
      <w:r w:rsidRPr="60DB56B9">
        <w:rPr>
          <w:rFonts w:ascii="Times New Roman" w:hAnsi="Times New Roman"/>
          <w:color w:val="000000" w:themeColor="text1"/>
        </w:rPr>
        <w:t xml:space="preserve">, Lavras, v. 35, n. 1, p. 28-34, </w:t>
      </w:r>
      <w:proofErr w:type="spellStart"/>
      <w:r w:rsidRPr="60DB56B9">
        <w:rPr>
          <w:rFonts w:ascii="Times New Roman" w:hAnsi="Times New Roman"/>
          <w:color w:val="000000" w:themeColor="text1"/>
        </w:rPr>
        <w:t>jan</w:t>
      </w:r>
      <w:proofErr w:type="spellEnd"/>
      <w:r w:rsidRPr="60DB56B9">
        <w:rPr>
          <w:rFonts w:ascii="Times New Roman" w:hAnsi="Times New Roman"/>
          <w:color w:val="000000" w:themeColor="text1"/>
        </w:rPr>
        <w:t>/</w:t>
      </w:r>
      <w:proofErr w:type="spellStart"/>
      <w:r w:rsidRPr="60DB56B9">
        <w:rPr>
          <w:rFonts w:ascii="Times New Roman" w:hAnsi="Times New Roman"/>
          <w:color w:val="000000" w:themeColor="text1"/>
        </w:rPr>
        <w:t>fev</w:t>
      </w:r>
      <w:proofErr w:type="spellEnd"/>
      <w:r w:rsidRPr="60DB56B9">
        <w:rPr>
          <w:rFonts w:ascii="Times New Roman" w:hAnsi="Times New Roman"/>
          <w:color w:val="000000" w:themeColor="text1"/>
        </w:rPr>
        <w:t>, 2011.</w:t>
      </w:r>
    </w:p>
    <w:p w14:paraId="4EF72F77" w14:textId="118F9E9D" w:rsidR="630C95D7" w:rsidRDefault="630C95D7" w:rsidP="630C95D7">
      <w:pPr>
        <w:pStyle w:val="TableContents"/>
        <w:jc w:val="both"/>
        <w:rPr>
          <w:rFonts w:ascii="Times New Roman" w:hAnsi="Times New Roman"/>
          <w:color w:val="000000" w:themeColor="text1"/>
        </w:rPr>
      </w:pPr>
    </w:p>
    <w:p w14:paraId="5A94281D" w14:textId="3023D403" w:rsidR="630C95D7" w:rsidRDefault="60DB56B9" w:rsidP="630C95D7">
      <w:pPr>
        <w:pStyle w:val="TableContents"/>
        <w:jc w:val="both"/>
        <w:rPr>
          <w:rFonts w:ascii="Times New Roman" w:hAnsi="Times New Roman"/>
          <w:color w:val="000000" w:themeColor="text1"/>
        </w:rPr>
      </w:pPr>
      <w:r w:rsidRPr="60DB56B9">
        <w:rPr>
          <w:rFonts w:ascii="Times New Roman" w:hAnsi="Times New Roman"/>
          <w:color w:val="000000" w:themeColor="text1"/>
        </w:rPr>
        <w:t xml:space="preserve">SONSTEBY, A.; HEIDE, O. M. </w:t>
      </w:r>
      <w:proofErr w:type="spellStart"/>
      <w:r w:rsidRPr="60DB56B9">
        <w:rPr>
          <w:rFonts w:ascii="Times New Roman" w:hAnsi="Times New Roman"/>
          <w:color w:val="000000" w:themeColor="text1"/>
        </w:rPr>
        <w:t>Flowering</w:t>
      </w:r>
      <w:proofErr w:type="spellEnd"/>
      <w:r w:rsidRPr="60DB56B9">
        <w:rPr>
          <w:rFonts w:ascii="Times New Roman" w:hAnsi="Times New Roman"/>
          <w:color w:val="000000" w:themeColor="text1"/>
        </w:rPr>
        <w:t xml:space="preserve"> performance </w:t>
      </w:r>
      <w:proofErr w:type="spellStart"/>
      <w:r w:rsidRPr="60DB56B9">
        <w:rPr>
          <w:rFonts w:ascii="Times New Roman" w:hAnsi="Times New Roman"/>
          <w:color w:val="000000" w:themeColor="text1"/>
        </w:rPr>
        <w:t>and</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yield</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of</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established</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and</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recent</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strawberry</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cultivars</w:t>
      </w:r>
      <w:proofErr w:type="spellEnd"/>
      <w:r w:rsidRPr="60DB56B9">
        <w:rPr>
          <w:rFonts w:ascii="Times New Roman" w:hAnsi="Times New Roman"/>
          <w:color w:val="000000" w:themeColor="text1"/>
        </w:rPr>
        <w:t xml:space="preserve"> (</w:t>
      </w:r>
      <w:r w:rsidRPr="60DB56B9">
        <w:rPr>
          <w:rFonts w:ascii="Times New Roman" w:hAnsi="Times New Roman"/>
          <w:i/>
          <w:iCs/>
          <w:color w:val="000000" w:themeColor="text1"/>
        </w:rPr>
        <w:t xml:space="preserve">Fragaria x </w:t>
      </w:r>
      <w:proofErr w:type="spellStart"/>
      <w:r w:rsidRPr="60DB56B9">
        <w:rPr>
          <w:rFonts w:ascii="Times New Roman" w:hAnsi="Times New Roman"/>
          <w:i/>
          <w:iCs/>
          <w:color w:val="000000" w:themeColor="text1"/>
        </w:rPr>
        <w:t>ananassa</w:t>
      </w:r>
      <w:proofErr w:type="spellEnd"/>
      <w:r w:rsidRPr="60DB56B9">
        <w:rPr>
          <w:rFonts w:ascii="Times New Roman" w:hAnsi="Times New Roman"/>
          <w:color w:val="000000" w:themeColor="text1"/>
        </w:rPr>
        <w:t xml:space="preserve">) as </w:t>
      </w:r>
      <w:proofErr w:type="spellStart"/>
      <w:r w:rsidRPr="60DB56B9">
        <w:rPr>
          <w:rFonts w:ascii="Times New Roman" w:hAnsi="Times New Roman"/>
          <w:color w:val="000000" w:themeColor="text1"/>
        </w:rPr>
        <w:t>affected</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by</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raising</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temperature</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and</w:t>
      </w:r>
      <w:proofErr w:type="spellEnd"/>
      <w:r w:rsidRPr="60DB56B9">
        <w:rPr>
          <w:rFonts w:ascii="Times New Roman" w:hAnsi="Times New Roman"/>
          <w:color w:val="000000" w:themeColor="text1"/>
        </w:rPr>
        <w:t xml:space="preserve"> </w:t>
      </w:r>
      <w:proofErr w:type="spellStart"/>
      <w:r w:rsidRPr="60DB56B9">
        <w:rPr>
          <w:rFonts w:ascii="Times New Roman" w:hAnsi="Times New Roman"/>
          <w:color w:val="000000" w:themeColor="text1"/>
        </w:rPr>
        <w:t>photoperiod</w:t>
      </w:r>
      <w:proofErr w:type="spellEnd"/>
      <w:r w:rsidRPr="60DB56B9">
        <w:rPr>
          <w:rFonts w:ascii="Times New Roman" w:hAnsi="Times New Roman"/>
          <w:color w:val="000000" w:themeColor="text1"/>
        </w:rPr>
        <w:t xml:space="preserve">. </w:t>
      </w:r>
      <w:proofErr w:type="spellStart"/>
      <w:r w:rsidRPr="60DB56B9">
        <w:rPr>
          <w:rFonts w:ascii="Times New Roman" w:hAnsi="Times New Roman"/>
          <w:b/>
          <w:bCs/>
          <w:color w:val="000000" w:themeColor="text1"/>
        </w:rPr>
        <w:t>Horticultural</w:t>
      </w:r>
      <w:proofErr w:type="spellEnd"/>
      <w:r w:rsidRPr="60DB56B9">
        <w:rPr>
          <w:rFonts w:ascii="Times New Roman" w:hAnsi="Times New Roman"/>
          <w:b/>
          <w:bCs/>
          <w:color w:val="000000" w:themeColor="text1"/>
        </w:rPr>
        <w:t xml:space="preserve"> Science e </w:t>
      </w:r>
      <w:proofErr w:type="spellStart"/>
      <w:r w:rsidRPr="60DB56B9">
        <w:rPr>
          <w:rFonts w:ascii="Times New Roman" w:hAnsi="Times New Roman"/>
          <w:b/>
          <w:bCs/>
          <w:color w:val="000000" w:themeColor="text1"/>
        </w:rPr>
        <w:t>Biotechnology</w:t>
      </w:r>
      <w:proofErr w:type="spellEnd"/>
      <w:r w:rsidRPr="60DB56B9">
        <w:rPr>
          <w:rFonts w:ascii="Times New Roman" w:hAnsi="Times New Roman"/>
          <w:color w:val="000000" w:themeColor="text1"/>
        </w:rPr>
        <w:t>, v. 92, p. 367–375, 2017. DOI:  https://doi.org/10.1080/ 14620316.2017.1283970.</w:t>
      </w:r>
    </w:p>
    <w:p w14:paraId="5C05827D" w14:textId="0075F05A" w:rsidR="630C95D7" w:rsidRDefault="630C95D7" w:rsidP="630C95D7">
      <w:pPr>
        <w:pStyle w:val="TableContents"/>
        <w:jc w:val="both"/>
        <w:rPr>
          <w:rFonts w:ascii="Times New Roman" w:hAnsi="Times New Roman"/>
          <w:color w:val="000000" w:themeColor="text1"/>
        </w:rPr>
      </w:pPr>
    </w:p>
    <w:p w14:paraId="2575714C" w14:textId="77777777" w:rsidR="00F4265C" w:rsidRPr="00F4265C" w:rsidRDefault="00F4265C" w:rsidP="00F4265C">
      <w:pPr>
        <w:spacing w:after="0" w:line="240" w:lineRule="auto"/>
        <w:jc w:val="both"/>
        <w:rPr>
          <w:rFonts w:ascii="Times New Roman" w:hAnsi="Times New Roman"/>
          <w:color w:val="000000"/>
          <w:sz w:val="24"/>
          <w:szCs w:val="24"/>
        </w:rPr>
      </w:pPr>
    </w:p>
    <w:bookmarkEnd w:id="1"/>
    <w:p w14:paraId="33B9B0AD" w14:textId="77777777" w:rsidR="00F4265C" w:rsidRDefault="00F4265C" w:rsidP="00053C6B">
      <w:pPr>
        <w:spacing w:after="0" w:line="360" w:lineRule="auto"/>
        <w:jc w:val="both"/>
        <w:rPr>
          <w:rFonts w:ascii="Times New Roman" w:hAnsi="Times New Roman"/>
          <w:sz w:val="24"/>
          <w:szCs w:val="24"/>
        </w:rPr>
      </w:pPr>
    </w:p>
    <w:sectPr w:rsidR="00F4265C" w:rsidSect="00053C6B">
      <w:headerReference w:type="default" r:id="rId9"/>
      <w:pgSz w:w="11906" w:h="16838" w:code="9"/>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E235A3" w15:done="0"/>
  <w15:commentEx w15:paraId="3571B4BD" w15:paraIdParent="0DE235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235A3" w16cid:durableId="26F6A0AE"/>
  <w16cid:commentId w16cid:paraId="3571B4BD" w16cid:durableId="26F6A2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EFF8F" w14:textId="77777777" w:rsidR="00CB54AF" w:rsidRDefault="00CB54AF" w:rsidP="009E3693">
      <w:pPr>
        <w:spacing w:after="0" w:line="240" w:lineRule="auto"/>
      </w:pPr>
      <w:r>
        <w:separator/>
      </w:r>
    </w:p>
  </w:endnote>
  <w:endnote w:type="continuationSeparator" w:id="0">
    <w:p w14:paraId="0D39A0B4" w14:textId="77777777" w:rsidR="00CB54AF" w:rsidRDefault="00CB54AF" w:rsidP="009E3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FF7C3" w14:textId="77777777" w:rsidR="00CB54AF" w:rsidRDefault="00CB54AF" w:rsidP="009E3693">
      <w:pPr>
        <w:spacing w:after="0" w:line="240" w:lineRule="auto"/>
      </w:pPr>
      <w:r>
        <w:separator/>
      </w:r>
    </w:p>
  </w:footnote>
  <w:footnote w:type="continuationSeparator" w:id="0">
    <w:p w14:paraId="2DD27FF9" w14:textId="77777777" w:rsidR="00CB54AF" w:rsidRDefault="00CB54AF" w:rsidP="009E3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E3894" w14:textId="446E498B" w:rsidR="0028395B" w:rsidRDefault="00A7205D" w:rsidP="00A966AF">
    <w:pPr>
      <w:pStyle w:val="Cabealho"/>
    </w:pPr>
    <w:r>
      <w:rPr>
        <w:noProof/>
        <w:lang w:eastAsia="pt-BR"/>
      </w:rPr>
      <w:drawing>
        <wp:inline distT="0" distB="0" distL="0" distR="0" wp14:anchorId="3595311C" wp14:editId="4E2FE757">
          <wp:extent cx="5753356" cy="1181100"/>
          <wp:effectExtent l="0" t="0" r="0" b="0"/>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27485"/>
                  <a:stretch/>
                </pic:blipFill>
                <pic:spPr bwMode="auto">
                  <a:xfrm>
                    <a:off x="0" y="0"/>
                    <a:ext cx="5760085" cy="1182481"/>
                  </a:xfrm>
                  <a:prstGeom prst="rect">
                    <a:avLst/>
                  </a:prstGeom>
                  <a:noFill/>
                  <a:ln>
                    <a:noFill/>
                  </a:ln>
                  <a:extLst>
                    <a:ext uri="{53640926-AAD7-44D8-BBD7-CCE9431645EC}">
                      <a14:shadowObscured xmlns:a14="http://schemas.microsoft.com/office/drawing/2010/main"/>
                    </a:ext>
                  </a:extLst>
                </pic:spPr>
              </pic:pic>
            </a:graphicData>
          </a:graphic>
        </wp:inline>
      </w:drawing>
    </w:r>
  </w:p>
  <w:p w14:paraId="4D44ABCB" w14:textId="77777777" w:rsidR="006761D1" w:rsidRPr="00A966AF" w:rsidRDefault="006761D1" w:rsidP="00A966A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D59FE"/>
    <w:multiLevelType w:val="hybridMultilevel"/>
    <w:tmpl w:val="7FF0B232"/>
    <w:lvl w:ilvl="0" w:tplc="C92C5BFE">
      <w:start w:val="1"/>
      <w:numFmt w:val="bullet"/>
      <w:lvlText w:val="•"/>
      <w:lvlJc w:val="left"/>
      <w:pPr>
        <w:tabs>
          <w:tab w:val="num" w:pos="720"/>
        </w:tabs>
        <w:ind w:left="720" w:hanging="360"/>
      </w:pPr>
      <w:rPr>
        <w:rFonts w:ascii="Arial" w:hAnsi="Arial" w:hint="default"/>
      </w:rPr>
    </w:lvl>
    <w:lvl w:ilvl="1" w:tplc="73260362" w:tentative="1">
      <w:start w:val="1"/>
      <w:numFmt w:val="bullet"/>
      <w:lvlText w:val="•"/>
      <w:lvlJc w:val="left"/>
      <w:pPr>
        <w:tabs>
          <w:tab w:val="num" w:pos="1440"/>
        </w:tabs>
        <w:ind w:left="1440" w:hanging="360"/>
      </w:pPr>
      <w:rPr>
        <w:rFonts w:ascii="Arial" w:hAnsi="Arial" w:hint="default"/>
      </w:rPr>
    </w:lvl>
    <w:lvl w:ilvl="2" w:tplc="020600EC" w:tentative="1">
      <w:start w:val="1"/>
      <w:numFmt w:val="bullet"/>
      <w:lvlText w:val="•"/>
      <w:lvlJc w:val="left"/>
      <w:pPr>
        <w:tabs>
          <w:tab w:val="num" w:pos="2160"/>
        </w:tabs>
        <w:ind w:left="2160" w:hanging="360"/>
      </w:pPr>
      <w:rPr>
        <w:rFonts w:ascii="Arial" w:hAnsi="Arial" w:hint="default"/>
      </w:rPr>
    </w:lvl>
    <w:lvl w:ilvl="3" w:tplc="9D7C211C" w:tentative="1">
      <w:start w:val="1"/>
      <w:numFmt w:val="bullet"/>
      <w:lvlText w:val="•"/>
      <w:lvlJc w:val="left"/>
      <w:pPr>
        <w:tabs>
          <w:tab w:val="num" w:pos="2880"/>
        </w:tabs>
        <w:ind w:left="2880" w:hanging="360"/>
      </w:pPr>
      <w:rPr>
        <w:rFonts w:ascii="Arial" w:hAnsi="Arial" w:hint="default"/>
      </w:rPr>
    </w:lvl>
    <w:lvl w:ilvl="4" w:tplc="7C7E8AD2" w:tentative="1">
      <w:start w:val="1"/>
      <w:numFmt w:val="bullet"/>
      <w:lvlText w:val="•"/>
      <w:lvlJc w:val="left"/>
      <w:pPr>
        <w:tabs>
          <w:tab w:val="num" w:pos="3600"/>
        </w:tabs>
        <w:ind w:left="3600" w:hanging="360"/>
      </w:pPr>
      <w:rPr>
        <w:rFonts w:ascii="Arial" w:hAnsi="Arial" w:hint="default"/>
      </w:rPr>
    </w:lvl>
    <w:lvl w:ilvl="5" w:tplc="14961BFC" w:tentative="1">
      <w:start w:val="1"/>
      <w:numFmt w:val="bullet"/>
      <w:lvlText w:val="•"/>
      <w:lvlJc w:val="left"/>
      <w:pPr>
        <w:tabs>
          <w:tab w:val="num" w:pos="4320"/>
        </w:tabs>
        <w:ind w:left="4320" w:hanging="360"/>
      </w:pPr>
      <w:rPr>
        <w:rFonts w:ascii="Arial" w:hAnsi="Arial" w:hint="default"/>
      </w:rPr>
    </w:lvl>
    <w:lvl w:ilvl="6" w:tplc="F00A7636" w:tentative="1">
      <w:start w:val="1"/>
      <w:numFmt w:val="bullet"/>
      <w:lvlText w:val="•"/>
      <w:lvlJc w:val="left"/>
      <w:pPr>
        <w:tabs>
          <w:tab w:val="num" w:pos="5040"/>
        </w:tabs>
        <w:ind w:left="5040" w:hanging="360"/>
      </w:pPr>
      <w:rPr>
        <w:rFonts w:ascii="Arial" w:hAnsi="Arial" w:hint="default"/>
      </w:rPr>
    </w:lvl>
    <w:lvl w:ilvl="7" w:tplc="5D260108" w:tentative="1">
      <w:start w:val="1"/>
      <w:numFmt w:val="bullet"/>
      <w:lvlText w:val="•"/>
      <w:lvlJc w:val="left"/>
      <w:pPr>
        <w:tabs>
          <w:tab w:val="num" w:pos="5760"/>
        </w:tabs>
        <w:ind w:left="5760" w:hanging="360"/>
      </w:pPr>
      <w:rPr>
        <w:rFonts w:ascii="Arial" w:hAnsi="Arial" w:hint="default"/>
      </w:rPr>
    </w:lvl>
    <w:lvl w:ilvl="8" w:tplc="0DF8310E" w:tentative="1">
      <w:start w:val="1"/>
      <w:numFmt w:val="bullet"/>
      <w:lvlText w:val="•"/>
      <w:lvlJc w:val="left"/>
      <w:pPr>
        <w:tabs>
          <w:tab w:val="num" w:pos="6480"/>
        </w:tabs>
        <w:ind w:left="6480" w:hanging="360"/>
      </w:pPr>
      <w:rPr>
        <w:rFonts w:ascii="Arial" w:hAnsi="Arial" w:hint="default"/>
      </w:rPr>
    </w:lvl>
  </w:abstractNum>
  <w:abstractNum w:abstractNumId="1">
    <w:nsid w:val="26F37451"/>
    <w:multiLevelType w:val="hybridMultilevel"/>
    <w:tmpl w:val="48A69450"/>
    <w:lvl w:ilvl="0" w:tplc="2D16F658">
      <w:start w:val="1"/>
      <w:numFmt w:val="bullet"/>
      <w:lvlText w:val="•"/>
      <w:lvlJc w:val="left"/>
      <w:pPr>
        <w:tabs>
          <w:tab w:val="num" w:pos="720"/>
        </w:tabs>
        <w:ind w:left="720" w:hanging="360"/>
      </w:pPr>
      <w:rPr>
        <w:rFonts w:ascii="Arial" w:hAnsi="Arial" w:hint="default"/>
      </w:rPr>
    </w:lvl>
    <w:lvl w:ilvl="1" w:tplc="4E8CD1D6" w:tentative="1">
      <w:start w:val="1"/>
      <w:numFmt w:val="bullet"/>
      <w:lvlText w:val="•"/>
      <w:lvlJc w:val="left"/>
      <w:pPr>
        <w:tabs>
          <w:tab w:val="num" w:pos="1440"/>
        </w:tabs>
        <w:ind w:left="1440" w:hanging="360"/>
      </w:pPr>
      <w:rPr>
        <w:rFonts w:ascii="Arial" w:hAnsi="Arial" w:hint="default"/>
      </w:rPr>
    </w:lvl>
    <w:lvl w:ilvl="2" w:tplc="845A110E" w:tentative="1">
      <w:start w:val="1"/>
      <w:numFmt w:val="bullet"/>
      <w:lvlText w:val="•"/>
      <w:lvlJc w:val="left"/>
      <w:pPr>
        <w:tabs>
          <w:tab w:val="num" w:pos="2160"/>
        </w:tabs>
        <w:ind w:left="2160" w:hanging="360"/>
      </w:pPr>
      <w:rPr>
        <w:rFonts w:ascii="Arial" w:hAnsi="Arial" w:hint="default"/>
      </w:rPr>
    </w:lvl>
    <w:lvl w:ilvl="3" w:tplc="C0B440C0" w:tentative="1">
      <w:start w:val="1"/>
      <w:numFmt w:val="bullet"/>
      <w:lvlText w:val="•"/>
      <w:lvlJc w:val="left"/>
      <w:pPr>
        <w:tabs>
          <w:tab w:val="num" w:pos="2880"/>
        </w:tabs>
        <w:ind w:left="2880" w:hanging="360"/>
      </w:pPr>
      <w:rPr>
        <w:rFonts w:ascii="Arial" w:hAnsi="Arial" w:hint="default"/>
      </w:rPr>
    </w:lvl>
    <w:lvl w:ilvl="4" w:tplc="70169A76" w:tentative="1">
      <w:start w:val="1"/>
      <w:numFmt w:val="bullet"/>
      <w:lvlText w:val="•"/>
      <w:lvlJc w:val="left"/>
      <w:pPr>
        <w:tabs>
          <w:tab w:val="num" w:pos="3600"/>
        </w:tabs>
        <w:ind w:left="3600" w:hanging="360"/>
      </w:pPr>
      <w:rPr>
        <w:rFonts w:ascii="Arial" w:hAnsi="Arial" w:hint="default"/>
      </w:rPr>
    </w:lvl>
    <w:lvl w:ilvl="5" w:tplc="1AE4E722" w:tentative="1">
      <w:start w:val="1"/>
      <w:numFmt w:val="bullet"/>
      <w:lvlText w:val="•"/>
      <w:lvlJc w:val="left"/>
      <w:pPr>
        <w:tabs>
          <w:tab w:val="num" w:pos="4320"/>
        </w:tabs>
        <w:ind w:left="4320" w:hanging="360"/>
      </w:pPr>
      <w:rPr>
        <w:rFonts w:ascii="Arial" w:hAnsi="Arial" w:hint="default"/>
      </w:rPr>
    </w:lvl>
    <w:lvl w:ilvl="6" w:tplc="BE2A0A0C" w:tentative="1">
      <w:start w:val="1"/>
      <w:numFmt w:val="bullet"/>
      <w:lvlText w:val="•"/>
      <w:lvlJc w:val="left"/>
      <w:pPr>
        <w:tabs>
          <w:tab w:val="num" w:pos="5040"/>
        </w:tabs>
        <w:ind w:left="5040" w:hanging="360"/>
      </w:pPr>
      <w:rPr>
        <w:rFonts w:ascii="Arial" w:hAnsi="Arial" w:hint="default"/>
      </w:rPr>
    </w:lvl>
    <w:lvl w:ilvl="7" w:tplc="BCB4F798" w:tentative="1">
      <w:start w:val="1"/>
      <w:numFmt w:val="bullet"/>
      <w:lvlText w:val="•"/>
      <w:lvlJc w:val="left"/>
      <w:pPr>
        <w:tabs>
          <w:tab w:val="num" w:pos="5760"/>
        </w:tabs>
        <w:ind w:left="5760" w:hanging="360"/>
      </w:pPr>
      <w:rPr>
        <w:rFonts w:ascii="Arial" w:hAnsi="Arial" w:hint="default"/>
      </w:rPr>
    </w:lvl>
    <w:lvl w:ilvl="8" w:tplc="396682AC" w:tentative="1">
      <w:start w:val="1"/>
      <w:numFmt w:val="bullet"/>
      <w:lvlText w:val="•"/>
      <w:lvlJc w:val="left"/>
      <w:pPr>
        <w:tabs>
          <w:tab w:val="num" w:pos="6480"/>
        </w:tabs>
        <w:ind w:left="6480" w:hanging="360"/>
      </w:pPr>
      <w:rPr>
        <w:rFonts w:ascii="Arial" w:hAnsi="Arial" w:hint="default"/>
      </w:rPr>
    </w:lvl>
  </w:abstractNum>
  <w:abstractNum w:abstractNumId="2">
    <w:nsid w:val="2D3D32D0"/>
    <w:multiLevelType w:val="hybridMultilevel"/>
    <w:tmpl w:val="261A2F62"/>
    <w:lvl w:ilvl="0" w:tplc="2BE2D2FC">
      <w:start w:val="1"/>
      <w:numFmt w:val="bullet"/>
      <w:lvlText w:val="•"/>
      <w:lvlJc w:val="left"/>
      <w:pPr>
        <w:tabs>
          <w:tab w:val="num" w:pos="720"/>
        </w:tabs>
        <w:ind w:left="720" w:hanging="360"/>
      </w:pPr>
      <w:rPr>
        <w:rFonts w:ascii="Arial" w:hAnsi="Arial" w:hint="default"/>
      </w:rPr>
    </w:lvl>
    <w:lvl w:ilvl="1" w:tplc="C26C1BB6" w:tentative="1">
      <w:start w:val="1"/>
      <w:numFmt w:val="bullet"/>
      <w:lvlText w:val="•"/>
      <w:lvlJc w:val="left"/>
      <w:pPr>
        <w:tabs>
          <w:tab w:val="num" w:pos="1440"/>
        </w:tabs>
        <w:ind w:left="1440" w:hanging="360"/>
      </w:pPr>
      <w:rPr>
        <w:rFonts w:ascii="Arial" w:hAnsi="Arial" w:hint="default"/>
      </w:rPr>
    </w:lvl>
    <w:lvl w:ilvl="2" w:tplc="9A206492" w:tentative="1">
      <w:start w:val="1"/>
      <w:numFmt w:val="bullet"/>
      <w:lvlText w:val="•"/>
      <w:lvlJc w:val="left"/>
      <w:pPr>
        <w:tabs>
          <w:tab w:val="num" w:pos="2160"/>
        </w:tabs>
        <w:ind w:left="2160" w:hanging="360"/>
      </w:pPr>
      <w:rPr>
        <w:rFonts w:ascii="Arial" w:hAnsi="Arial" w:hint="default"/>
      </w:rPr>
    </w:lvl>
    <w:lvl w:ilvl="3" w:tplc="A656AAD6" w:tentative="1">
      <w:start w:val="1"/>
      <w:numFmt w:val="bullet"/>
      <w:lvlText w:val="•"/>
      <w:lvlJc w:val="left"/>
      <w:pPr>
        <w:tabs>
          <w:tab w:val="num" w:pos="2880"/>
        </w:tabs>
        <w:ind w:left="2880" w:hanging="360"/>
      </w:pPr>
      <w:rPr>
        <w:rFonts w:ascii="Arial" w:hAnsi="Arial" w:hint="default"/>
      </w:rPr>
    </w:lvl>
    <w:lvl w:ilvl="4" w:tplc="680C29FA" w:tentative="1">
      <w:start w:val="1"/>
      <w:numFmt w:val="bullet"/>
      <w:lvlText w:val="•"/>
      <w:lvlJc w:val="left"/>
      <w:pPr>
        <w:tabs>
          <w:tab w:val="num" w:pos="3600"/>
        </w:tabs>
        <w:ind w:left="3600" w:hanging="360"/>
      </w:pPr>
      <w:rPr>
        <w:rFonts w:ascii="Arial" w:hAnsi="Arial" w:hint="default"/>
      </w:rPr>
    </w:lvl>
    <w:lvl w:ilvl="5" w:tplc="EB1C1122" w:tentative="1">
      <w:start w:val="1"/>
      <w:numFmt w:val="bullet"/>
      <w:lvlText w:val="•"/>
      <w:lvlJc w:val="left"/>
      <w:pPr>
        <w:tabs>
          <w:tab w:val="num" w:pos="4320"/>
        </w:tabs>
        <w:ind w:left="4320" w:hanging="360"/>
      </w:pPr>
      <w:rPr>
        <w:rFonts w:ascii="Arial" w:hAnsi="Arial" w:hint="default"/>
      </w:rPr>
    </w:lvl>
    <w:lvl w:ilvl="6" w:tplc="A0F20074" w:tentative="1">
      <w:start w:val="1"/>
      <w:numFmt w:val="bullet"/>
      <w:lvlText w:val="•"/>
      <w:lvlJc w:val="left"/>
      <w:pPr>
        <w:tabs>
          <w:tab w:val="num" w:pos="5040"/>
        </w:tabs>
        <w:ind w:left="5040" w:hanging="360"/>
      </w:pPr>
      <w:rPr>
        <w:rFonts w:ascii="Arial" w:hAnsi="Arial" w:hint="default"/>
      </w:rPr>
    </w:lvl>
    <w:lvl w:ilvl="7" w:tplc="ABF20F76" w:tentative="1">
      <w:start w:val="1"/>
      <w:numFmt w:val="bullet"/>
      <w:lvlText w:val="•"/>
      <w:lvlJc w:val="left"/>
      <w:pPr>
        <w:tabs>
          <w:tab w:val="num" w:pos="5760"/>
        </w:tabs>
        <w:ind w:left="5760" w:hanging="360"/>
      </w:pPr>
      <w:rPr>
        <w:rFonts w:ascii="Arial" w:hAnsi="Arial" w:hint="default"/>
      </w:rPr>
    </w:lvl>
    <w:lvl w:ilvl="8" w:tplc="90989698" w:tentative="1">
      <w:start w:val="1"/>
      <w:numFmt w:val="bullet"/>
      <w:lvlText w:val="•"/>
      <w:lvlJc w:val="left"/>
      <w:pPr>
        <w:tabs>
          <w:tab w:val="num" w:pos="6480"/>
        </w:tabs>
        <w:ind w:left="6480" w:hanging="360"/>
      </w:pPr>
      <w:rPr>
        <w:rFonts w:ascii="Arial" w:hAnsi="Arial" w:hint="default"/>
      </w:rPr>
    </w:lvl>
  </w:abstractNum>
  <w:abstractNum w:abstractNumId="3">
    <w:nsid w:val="4FCD1F1A"/>
    <w:multiLevelType w:val="hybridMultilevel"/>
    <w:tmpl w:val="71F2B636"/>
    <w:lvl w:ilvl="0" w:tplc="EDEABBE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BE710CB"/>
    <w:multiLevelType w:val="hybridMultilevel"/>
    <w:tmpl w:val="4BA0AF8A"/>
    <w:lvl w:ilvl="0" w:tplc="BC860280">
      <w:numFmt w:val="bullet"/>
      <w:lvlText w:val=""/>
      <w:lvlJc w:val="left"/>
      <w:pPr>
        <w:ind w:left="360" w:hanging="360"/>
      </w:pPr>
      <w:rPr>
        <w:rFonts w:ascii="Symbol" w:eastAsia="Calibri" w:hAnsi="Symbol" w:cs="Times New Roman"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93"/>
    <w:rsid w:val="00053C6B"/>
    <w:rsid w:val="00071664"/>
    <w:rsid w:val="000805DB"/>
    <w:rsid w:val="000B46EA"/>
    <w:rsid w:val="000C6E95"/>
    <w:rsid w:val="000F1DC7"/>
    <w:rsid w:val="000F2512"/>
    <w:rsid w:val="000F6A77"/>
    <w:rsid w:val="00107CC4"/>
    <w:rsid w:val="00130829"/>
    <w:rsid w:val="001352E0"/>
    <w:rsid w:val="00140FC0"/>
    <w:rsid w:val="001645C9"/>
    <w:rsid w:val="00191DD9"/>
    <w:rsid w:val="001938F9"/>
    <w:rsid w:val="001C5AB3"/>
    <w:rsid w:val="00212EBB"/>
    <w:rsid w:val="00221E94"/>
    <w:rsid w:val="00227397"/>
    <w:rsid w:val="002559C4"/>
    <w:rsid w:val="00257110"/>
    <w:rsid w:val="00260641"/>
    <w:rsid w:val="00262EA5"/>
    <w:rsid w:val="002645A8"/>
    <w:rsid w:val="00265898"/>
    <w:rsid w:val="00270FD1"/>
    <w:rsid w:val="00272841"/>
    <w:rsid w:val="0028395B"/>
    <w:rsid w:val="00291E8F"/>
    <w:rsid w:val="00292E38"/>
    <w:rsid w:val="002C06E8"/>
    <w:rsid w:val="002F5B2A"/>
    <w:rsid w:val="003336D2"/>
    <w:rsid w:val="00350442"/>
    <w:rsid w:val="003662A7"/>
    <w:rsid w:val="003771CF"/>
    <w:rsid w:val="00392B90"/>
    <w:rsid w:val="00405A43"/>
    <w:rsid w:val="00415AE5"/>
    <w:rsid w:val="00436A86"/>
    <w:rsid w:val="004425A6"/>
    <w:rsid w:val="00466A4E"/>
    <w:rsid w:val="00472025"/>
    <w:rsid w:val="0047426C"/>
    <w:rsid w:val="00477B22"/>
    <w:rsid w:val="004A2447"/>
    <w:rsid w:val="004B5871"/>
    <w:rsid w:val="004F3C67"/>
    <w:rsid w:val="004F4533"/>
    <w:rsid w:val="004F5670"/>
    <w:rsid w:val="00510441"/>
    <w:rsid w:val="00556A1F"/>
    <w:rsid w:val="00561A84"/>
    <w:rsid w:val="00572495"/>
    <w:rsid w:val="00576428"/>
    <w:rsid w:val="00587779"/>
    <w:rsid w:val="005A777B"/>
    <w:rsid w:val="005B03FA"/>
    <w:rsid w:val="005B2CCC"/>
    <w:rsid w:val="005D3B19"/>
    <w:rsid w:val="0061543B"/>
    <w:rsid w:val="00616200"/>
    <w:rsid w:val="006200DB"/>
    <w:rsid w:val="006557A7"/>
    <w:rsid w:val="00670C0A"/>
    <w:rsid w:val="006761D1"/>
    <w:rsid w:val="00684D35"/>
    <w:rsid w:val="006856E6"/>
    <w:rsid w:val="00685DD8"/>
    <w:rsid w:val="006932F5"/>
    <w:rsid w:val="006B21C9"/>
    <w:rsid w:val="006B6285"/>
    <w:rsid w:val="006C2034"/>
    <w:rsid w:val="006F67B4"/>
    <w:rsid w:val="00702852"/>
    <w:rsid w:val="0070365E"/>
    <w:rsid w:val="00714DDE"/>
    <w:rsid w:val="00717CB8"/>
    <w:rsid w:val="007222CB"/>
    <w:rsid w:val="00751454"/>
    <w:rsid w:val="00751623"/>
    <w:rsid w:val="0076275C"/>
    <w:rsid w:val="00795101"/>
    <w:rsid w:val="007D05FA"/>
    <w:rsid w:val="007E7CB8"/>
    <w:rsid w:val="008020E6"/>
    <w:rsid w:val="00803851"/>
    <w:rsid w:val="00817416"/>
    <w:rsid w:val="008252FF"/>
    <w:rsid w:val="008409BB"/>
    <w:rsid w:val="008B4B74"/>
    <w:rsid w:val="008D0136"/>
    <w:rsid w:val="008E044D"/>
    <w:rsid w:val="00913520"/>
    <w:rsid w:val="00927B93"/>
    <w:rsid w:val="00970DDA"/>
    <w:rsid w:val="009808E2"/>
    <w:rsid w:val="0099777B"/>
    <w:rsid w:val="009A3B83"/>
    <w:rsid w:val="009C1C86"/>
    <w:rsid w:val="009E3693"/>
    <w:rsid w:val="00A234D2"/>
    <w:rsid w:val="00A24AC9"/>
    <w:rsid w:val="00A47199"/>
    <w:rsid w:val="00A7205D"/>
    <w:rsid w:val="00A90BE2"/>
    <w:rsid w:val="00A966AF"/>
    <w:rsid w:val="00A96932"/>
    <w:rsid w:val="00AB3199"/>
    <w:rsid w:val="00AC0F5E"/>
    <w:rsid w:val="00AC451B"/>
    <w:rsid w:val="00B1645E"/>
    <w:rsid w:val="00B20864"/>
    <w:rsid w:val="00B45734"/>
    <w:rsid w:val="00B56353"/>
    <w:rsid w:val="00B56A56"/>
    <w:rsid w:val="00B6666A"/>
    <w:rsid w:val="00B84D46"/>
    <w:rsid w:val="00BB7E9F"/>
    <w:rsid w:val="00BC3B8A"/>
    <w:rsid w:val="00BD234E"/>
    <w:rsid w:val="00BE0168"/>
    <w:rsid w:val="00BF480F"/>
    <w:rsid w:val="00BF550F"/>
    <w:rsid w:val="00C15B87"/>
    <w:rsid w:val="00C236C7"/>
    <w:rsid w:val="00C33A90"/>
    <w:rsid w:val="00C72D66"/>
    <w:rsid w:val="00C8227A"/>
    <w:rsid w:val="00C86659"/>
    <w:rsid w:val="00CB0497"/>
    <w:rsid w:val="00CB54AF"/>
    <w:rsid w:val="00CB6105"/>
    <w:rsid w:val="00CB73AF"/>
    <w:rsid w:val="00CC488B"/>
    <w:rsid w:val="00CD7C10"/>
    <w:rsid w:val="00CF4E65"/>
    <w:rsid w:val="00CF6FDA"/>
    <w:rsid w:val="00D33235"/>
    <w:rsid w:val="00D475E8"/>
    <w:rsid w:val="00D654BF"/>
    <w:rsid w:val="00D7399F"/>
    <w:rsid w:val="00D904DA"/>
    <w:rsid w:val="00DA239C"/>
    <w:rsid w:val="00DB6134"/>
    <w:rsid w:val="00DE22ED"/>
    <w:rsid w:val="00DE565D"/>
    <w:rsid w:val="00E000AB"/>
    <w:rsid w:val="00E00D93"/>
    <w:rsid w:val="00E17377"/>
    <w:rsid w:val="00E82353"/>
    <w:rsid w:val="00EA67D2"/>
    <w:rsid w:val="00EC1F9C"/>
    <w:rsid w:val="00F174CB"/>
    <w:rsid w:val="00F34E71"/>
    <w:rsid w:val="00F4265C"/>
    <w:rsid w:val="00F464B5"/>
    <w:rsid w:val="00F64380"/>
    <w:rsid w:val="00F74290"/>
    <w:rsid w:val="00FB30B3"/>
    <w:rsid w:val="00FC2EB3"/>
    <w:rsid w:val="00FD5815"/>
    <w:rsid w:val="0D46E98E"/>
    <w:rsid w:val="60DB56B9"/>
    <w:rsid w:val="630C95D7"/>
    <w:rsid w:val="649B6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0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FA"/>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6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693"/>
  </w:style>
  <w:style w:type="paragraph" w:styleId="Rodap">
    <w:name w:val="footer"/>
    <w:basedOn w:val="Normal"/>
    <w:link w:val="RodapChar"/>
    <w:uiPriority w:val="99"/>
    <w:unhideWhenUsed/>
    <w:rsid w:val="009E3693"/>
    <w:pPr>
      <w:tabs>
        <w:tab w:val="center" w:pos="4252"/>
        <w:tab w:val="right" w:pos="8504"/>
      </w:tabs>
      <w:spacing w:after="0" w:line="240" w:lineRule="auto"/>
    </w:pPr>
  </w:style>
  <w:style w:type="character" w:customStyle="1" w:styleId="RodapChar">
    <w:name w:val="Rodapé Char"/>
    <w:basedOn w:val="Fontepargpadro"/>
    <w:link w:val="Rodap"/>
    <w:uiPriority w:val="99"/>
    <w:rsid w:val="009E3693"/>
  </w:style>
  <w:style w:type="paragraph" w:styleId="Textodenotaderodap">
    <w:name w:val="footnote text"/>
    <w:basedOn w:val="Normal"/>
    <w:link w:val="TextodenotaderodapChar"/>
    <w:uiPriority w:val="99"/>
    <w:semiHidden/>
    <w:unhideWhenUsed/>
    <w:rsid w:val="009E3693"/>
    <w:pPr>
      <w:spacing w:after="0" w:line="240" w:lineRule="auto"/>
    </w:pPr>
    <w:rPr>
      <w:sz w:val="20"/>
      <w:szCs w:val="20"/>
    </w:rPr>
  </w:style>
  <w:style w:type="character" w:customStyle="1" w:styleId="TextodenotaderodapChar">
    <w:name w:val="Texto de nota de rodapé Char"/>
    <w:link w:val="Textodenotaderodap"/>
    <w:uiPriority w:val="99"/>
    <w:semiHidden/>
    <w:rsid w:val="009E3693"/>
    <w:rPr>
      <w:sz w:val="20"/>
      <w:szCs w:val="20"/>
    </w:rPr>
  </w:style>
  <w:style w:type="character" w:styleId="Refdenotaderodap">
    <w:name w:val="footnote reference"/>
    <w:uiPriority w:val="99"/>
    <w:semiHidden/>
    <w:unhideWhenUsed/>
    <w:rsid w:val="009E3693"/>
    <w:rPr>
      <w:vertAlign w:val="superscript"/>
    </w:rPr>
  </w:style>
  <w:style w:type="paragraph" w:styleId="Textodebalo">
    <w:name w:val="Balloon Text"/>
    <w:basedOn w:val="Normal"/>
    <w:link w:val="TextodebaloChar"/>
    <w:uiPriority w:val="99"/>
    <w:semiHidden/>
    <w:unhideWhenUsed/>
    <w:rsid w:val="007222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2CB"/>
    <w:rPr>
      <w:rFonts w:ascii="Tahoma" w:hAnsi="Tahoma" w:cs="Tahoma"/>
      <w:sz w:val="16"/>
      <w:szCs w:val="16"/>
      <w:lang w:eastAsia="en-US"/>
    </w:rPr>
  </w:style>
  <w:style w:type="character" w:styleId="Refdecomentrio">
    <w:name w:val="annotation reference"/>
    <w:basedOn w:val="Fontepargpadro"/>
    <w:uiPriority w:val="99"/>
    <w:semiHidden/>
    <w:unhideWhenUsed/>
    <w:rsid w:val="00EA67D2"/>
    <w:rPr>
      <w:sz w:val="16"/>
      <w:szCs w:val="16"/>
    </w:rPr>
  </w:style>
  <w:style w:type="paragraph" w:styleId="Textodecomentrio">
    <w:name w:val="annotation text"/>
    <w:basedOn w:val="Normal"/>
    <w:link w:val="TextodecomentrioChar"/>
    <w:uiPriority w:val="99"/>
    <w:semiHidden/>
    <w:unhideWhenUsed/>
    <w:rsid w:val="00EA67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67D2"/>
    <w:rPr>
      <w:lang w:eastAsia="en-US"/>
    </w:rPr>
  </w:style>
  <w:style w:type="paragraph" w:styleId="Assuntodocomentrio">
    <w:name w:val="annotation subject"/>
    <w:basedOn w:val="Textodecomentrio"/>
    <w:next w:val="Textodecomentrio"/>
    <w:link w:val="AssuntodocomentrioChar"/>
    <w:uiPriority w:val="99"/>
    <w:semiHidden/>
    <w:unhideWhenUsed/>
    <w:rsid w:val="00EA67D2"/>
    <w:rPr>
      <w:b/>
      <w:bCs/>
    </w:rPr>
  </w:style>
  <w:style w:type="character" w:customStyle="1" w:styleId="AssuntodocomentrioChar">
    <w:name w:val="Assunto do comentário Char"/>
    <w:basedOn w:val="TextodecomentrioChar"/>
    <w:link w:val="Assuntodocomentrio"/>
    <w:uiPriority w:val="99"/>
    <w:semiHidden/>
    <w:rsid w:val="00EA67D2"/>
    <w:rPr>
      <w:b/>
      <w:bCs/>
      <w:lang w:eastAsia="en-US"/>
    </w:rPr>
  </w:style>
  <w:style w:type="paragraph" w:styleId="PargrafodaLista">
    <w:name w:val="List Paragraph"/>
    <w:basedOn w:val="Normal"/>
    <w:uiPriority w:val="34"/>
    <w:qFormat/>
    <w:rsid w:val="006761D1"/>
    <w:pPr>
      <w:ind w:left="720"/>
      <w:contextualSpacing/>
    </w:pPr>
  </w:style>
  <w:style w:type="paragraph" w:customStyle="1" w:styleId="Standard">
    <w:name w:val="Standard"/>
    <w:rsid w:val="00F4265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F4265C"/>
    <w:pPr>
      <w:suppressLineNumbers/>
    </w:pPr>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o">
    <w:name w:val="Revision"/>
    <w:hidden/>
    <w:uiPriority w:val="99"/>
    <w:semiHidden/>
    <w:rsid w:val="00556A1F"/>
    <w:rPr>
      <w:sz w:val="22"/>
      <w:szCs w:val="22"/>
      <w:lang w:eastAsia="en-US"/>
    </w:rPr>
  </w:style>
  <w:style w:type="character" w:customStyle="1" w:styleId="Fontepargpadro1">
    <w:name w:val="Fonte parág. padrão1"/>
    <w:rsid w:val="00556A1F"/>
  </w:style>
  <w:style w:type="paragraph" w:customStyle="1" w:styleId="paragraph">
    <w:name w:val="paragraph"/>
    <w:basedOn w:val="Normal"/>
    <w:rsid w:val="00CF4E6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CF4E65"/>
  </w:style>
  <w:style w:type="character" w:customStyle="1" w:styleId="eop">
    <w:name w:val="eop"/>
    <w:basedOn w:val="Fontepargpadro"/>
    <w:rsid w:val="00CF4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5FA"/>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6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693"/>
  </w:style>
  <w:style w:type="paragraph" w:styleId="Rodap">
    <w:name w:val="footer"/>
    <w:basedOn w:val="Normal"/>
    <w:link w:val="RodapChar"/>
    <w:uiPriority w:val="99"/>
    <w:unhideWhenUsed/>
    <w:rsid w:val="009E3693"/>
    <w:pPr>
      <w:tabs>
        <w:tab w:val="center" w:pos="4252"/>
        <w:tab w:val="right" w:pos="8504"/>
      </w:tabs>
      <w:spacing w:after="0" w:line="240" w:lineRule="auto"/>
    </w:pPr>
  </w:style>
  <w:style w:type="character" w:customStyle="1" w:styleId="RodapChar">
    <w:name w:val="Rodapé Char"/>
    <w:basedOn w:val="Fontepargpadro"/>
    <w:link w:val="Rodap"/>
    <w:uiPriority w:val="99"/>
    <w:rsid w:val="009E3693"/>
  </w:style>
  <w:style w:type="paragraph" w:styleId="Textodenotaderodap">
    <w:name w:val="footnote text"/>
    <w:basedOn w:val="Normal"/>
    <w:link w:val="TextodenotaderodapChar"/>
    <w:uiPriority w:val="99"/>
    <w:semiHidden/>
    <w:unhideWhenUsed/>
    <w:rsid w:val="009E3693"/>
    <w:pPr>
      <w:spacing w:after="0" w:line="240" w:lineRule="auto"/>
    </w:pPr>
    <w:rPr>
      <w:sz w:val="20"/>
      <w:szCs w:val="20"/>
    </w:rPr>
  </w:style>
  <w:style w:type="character" w:customStyle="1" w:styleId="TextodenotaderodapChar">
    <w:name w:val="Texto de nota de rodapé Char"/>
    <w:link w:val="Textodenotaderodap"/>
    <w:uiPriority w:val="99"/>
    <w:semiHidden/>
    <w:rsid w:val="009E3693"/>
    <w:rPr>
      <w:sz w:val="20"/>
      <w:szCs w:val="20"/>
    </w:rPr>
  </w:style>
  <w:style w:type="character" w:styleId="Refdenotaderodap">
    <w:name w:val="footnote reference"/>
    <w:uiPriority w:val="99"/>
    <w:semiHidden/>
    <w:unhideWhenUsed/>
    <w:rsid w:val="009E3693"/>
    <w:rPr>
      <w:vertAlign w:val="superscript"/>
    </w:rPr>
  </w:style>
  <w:style w:type="paragraph" w:styleId="Textodebalo">
    <w:name w:val="Balloon Text"/>
    <w:basedOn w:val="Normal"/>
    <w:link w:val="TextodebaloChar"/>
    <w:uiPriority w:val="99"/>
    <w:semiHidden/>
    <w:unhideWhenUsed/>
    <w:rsid w:val="007222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22CB"/>
    <w:rPr>
      <w:rFonts w:ascii="Tahoma" w:hAnsi="Tahoma" w:cs="Tahoma"/>
      <w:sz w:val="16"/>
      <w:szCs w:val="16"/>
      <w:lang w:eastAsia="en-US"/>
    </w:rPr>
  </w:style>
  <w:style w:type="character" w:styleId="Refdecomentrio">
    <w:name w:val="annotation reference"/>
    <w:basedOn w:val="Fontepargpadro"/>
    <w:uiPriority w:val="99"/>
    <w:semiHidden/>
    <w:unhideWhenUsed/>
    <w:rsid w:val="00EA67D2"/>
    <w:rPr>
      <w:sz w:val="16"/>
      <w:szCs w:val="16"/>
    </w:rPr>
  </w:style>
  <w:style w:type="paragraph" w:styleId="Textodecomentrio">
    <w:name w:val="annotation text"/>
    <w:basedOn w:val="Normal"/>
    <w:link w:val="TextodecomentrioChar"/>
    <w:uiPriority w:val="99"/>
    <w:semiHidden/>
    <w:unhideWhenUsed/>
    <w:rsid w:val="00EA67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A67D2"/>
    <w:rPr>
      <w:lang w:eastAsia="en-US"/>
    </w:rPr>
  </w:style>
  <w:style w:type="paragraph" w:styleId="Assuntodocomentrio">
    <w:name w:val="annotation subject"/>
    <w:basedOn w:val="Textodecomentrio"/>
    <w:next w:val="Textodecomentrio"/>
    <w:link w:val="AssuntodocomentrioChar"/>
    <w:uiPriority w:val="99"/>
    <w:semiHidden/>
    <w:unhideWhenUsed/>
    <w:rsid w:val="00EA67D2"/>
    <w:rPr>
      <w:b/>
      <w:bCs/>
    </w:rPr>
  </w:style>
  <w:style w:type="character" w:customStyle="1" w:styleId="AssuntodocomentrioChar">
    <w:name w:val="Assunto do comentário Char"/>
    <w:basedOn w:val="TextodecomentrioChar"/>
    <w:link w:val="Assuntodocomentrio"/>
    <w:uiPriority w:val="99"/>
    <w:semiHidden/>
    <w:rsid w:val="00EA67D2"/>
    <w:rPr>
      <w:b/>
      <w:bCs/>
      <w:lang w:eastAsia="en-US"/>
    </w:rPr>
  </w:style>
  <w:style w:type="paragraph" w:styleId="PargrafodaLista">
    <w:name w:val="List Paragraph"/>
    <w:basedOn w:val="Normal"/>
    <w:uiPriority w:val="34"/>
    <w:qFormat/>
    <w:rsid w:val="006761D1"/>
    <w:pPr>
      <w:ind w:left="720"/>
      <w:contextualSpacing/>
    </w:pPr>
  </w:style>
  <w:style w:type="paragraph" w:customStyle="1" w:styleId="Standard">
    <w:name w:val="Standard"/>
    <w:rsid w:val="00F4265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F4265C"/>
    <w:pPr>
      <w:suppressLineNumbers/>
    </w:pPr>
  </w:style>
  <w:style w:type="table" w:styleId="Tabelacomgrade">
    <w:name w:val="Table Grid"/>
    <w:basedOn w:val="Tabela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o">
    <w:name w:val="Revision"/>
    <w:hidden/>
    <w:uiPriority w:val="99"/>
    <w:semiHidden/>
    <w:rsid w:val="00556A1F"/>
    <w:rPr>
      <w:sz w:val="22"/>
      <w:szCs w:val="22"/>
      <w:lang w:eastAsia="en-US"/>
    </w:rPr>
  </w:style>
  <w:style w:type="character" w:customStyle="1" w:styleId="Fontepargpadro1">
    <w:name w:val="Fonte parág. padrão1"/>
    <w:rsid w:val="00556A1F"/>
  </w:style>
  <w:style w:type="paragraph" w:customStyle="1" w:styleId="paragraph">
    <w:name w:val="paragraph"/>
    <w:basedOn w:val="Normal"/>
    <w:rsid w:val="00CF4E6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CF4E65"/>
  </w:style>
  <w:style w:type="character" w:customStyle="1" w:styleId="eop">
    <w:name w:val="eop"/>
    <w:basedOn w:val="Fontepargpadro"/>
    <w:rsid w:val="00CF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80519">
      <w:bodyDiv w:val="1"/>
      <w:marLeft w:val="0"/>
      <w:marRight w:val="0"/>
      <w:marTop w:val="0"/>
      <w:marBottom w:val="0"/>
      <w:divBdr>
        <w:top w:val="none" w:sz="0" w:space="0" w:color="auto"/>
        <w:left w:val="none" w:sz="0" w:space="0" w:color="auto"/>
        <w:bottom w:val="none" w:sz="0" w:space="0" w:color="auto"/>
        <w:right w:val="none" w:sz="0" w:space="0" w:color="auto"/>
      </w:divBdr>
    </w:div>
    <w:div w:id="649678211">
      <w:bodyDiv w:val="1"/>
      <w:marLeft w:val="0"/>
      <w:marRight w:val="0"/>
      <w:marTop w:val="0"/>
      <w:marBottom w:val="0"/>
      <w:divBdr>
        <w:top w:val="none" w:sz="0" w:space="0" w:color="auto"/>
        <w:left w:val="none" w:sz="0" w:space="0" w:color="auto"/>
        <w:bottom w:val="none" w:sz="0" w:space="0" w:color="auto"/>
        <w:right w:val="none" w:sz="0" w:space="0" w:color="auto"/>
      </w:divBdr>
      <w:divsChild>
        <w:div w:id="1132484632">
          <w:marLeft w:val="0"/>
          <w:marRight w:val="0"/>
          <w:marTop w:val="0"/>
          <w:marBottom w:val="0"/>
          <w:divBdr>
            <w:top w:val="none" w:sz="0" w:space="0" w:color="auto"/>
            <w:left w:val="none" w:sz="0" w:space="0" w:color="auto"/>
            <w:bottom w:val="none" w:sz="0" w:space="0" w:color="auto"/>
            <w:right w:val="none" w:sz="0" w:space="0" w:color="auto"/>
          </w:divBdr>
        </w:div>
        <w:div w:id="616446801">
          <w:marLeft w:val="0"/>
          <w:marRight w:val="0"/>
          <w:marTop w:val="0"/>
          <w:marBottom w:val="0"/>
          <w:divBdr>
            <w:top w:val="none" w:sz="0" w:space="0" w:color="auto"/>
            <w:left w:val="none" w:sz="0" w:space="0" w:color="auto"/>
            <w:bottom w:val="none" w:sz="0" w:space="0" w:color="auto"/>
            <w:right w:val="none" w:sz="0" w:space="0" w:color="auto"/>
          </w:divBdr>
        </w:div>
        <w:div w:id="722870673">
          <w:marLeft w:val="0"/>
          <w:marRight w:val="0"/>
          <w:marTop w:val="0"/>
          <w:marBottom w:val="0"/>
          <w:divBdr>
            <w:top w:val="none" w:sz="0" w:space="0" w:color="auto"/>
            <w:left w:val="none" w:sz="0" w:space="0" w:color="auto"/>
            <w:bottom w:val="none" w:sz="0" w:space="0" w:color="auto"/>
            <w:right w:val="none" w:sz="0" w:space="0" w:color="auto"/>
          </w:divBdr>
        </w:div>
        <w:div w:id="1103917302">
          <w:marLeft w:val="0"/>
          <w:marRight w:val="0"/>
          <w:marTop w:val="0"/>
          <w:marBottom w:val="0"/>
          <w:divBdr>
            <w:top w:val="none" w:sz="0" w:space="0" w:color="auto"/>
            <w:left w:val="none" w:sz="0" w:space="0" w:color="auto"/>
            <w:bottom w:val="none" w:sz="0" w:space="0" w:color="auto"/>
            <w:right w:val="none" w:sz="0" w:space="0" w:color="auto"/>
          </w:divBdr>
        </w:div>
      </w:divsChild>
    </w:div>
    <w:div w:id="733889148">
      <w:bodyDiv w:val="1"/>
      <w:marLeft w:val="0"/>
      <w:marRight w:val="0"/>
      <w:marTop w:val="0"/>
      <w:marBottom w:val="0"/>
      <w:divBdr>
        <w:top w:val="none" w:sz="0" w:space="0" w:color="auto"/>
        <w:left w:val="none" w:sz="0" w:space="0" w:color="auto"/>
        <w:bottom w:val="none" w:sz="0" w:space="0" w:color="auto"/>
        <w:right w:val="none" w:sz="0" w:space="0" w:color="auto"/>
      </w:divBdr>
      <w:divsChild>
        <w:div w:id="264075417">
          <w:marLeft w:val="0"/>
          <w:marRight w:val="0"/>
          <w:marTop w:val="160"/>
          <w:marBottom w:val="0"/>
          <w:divBdr>
            <w:top w:val="none" w:sz="0" w:space="0" w:color="auto"/>
            <w:left w:val="none" w:sz="0" w:space="0" w:color="auto"/>
            <w:bottom w:val="none" w:sz="0" w:space="0" w:color="auto"/>
            <w:right w:val="none" w:sz="0" w:space="0" w:color="auto"/>
          </w:divBdr>
        </w:div>
      </w:divsChild>
    </w:div>
    <w:div w:id="1662809009">
      <w:bodyDiv w:val="1"/>
      <w:marLeft w:val="0"/>
      <w:marRight w:val="0"/>
      <w:marTop w:val="0"/>
      <w:marBottom w:val="0"/>
      <w:divBdr>
        <w:top w:val="none" w:sz="0" w:space="0" w:color="auto"/>
        <w:left w:val="none" w:sz="0" w:space="0" w:color="auto"/>
        <w:bottom w:val="none" w:sz="0" w:space="0" w:color="auto"/>
        <w:right w:val="none" w:sz="0" w:space="0" w:color="auto"/>
      </w:divBdr>
      <w:divsChild>
        <w:div w:id="1893930577">
          <w:marLeft w:val="0"/>
          <w:marRight w:val="0"/>
          <w:marTop w:val="160"/>
          <w:marBottom w:val="0"/>
          <w:divBdr>
            <w:top w:val="none" w:sz="0" w:space="0" w:color="auto"/>
            <w:left w:val="none" w:sz="0" w:space="0" w:color="auto"/>
            <w:bottom w:val="none" w:sz="0" w:space="0" w:color="auto"/>
            <w:right w:val="none" w:sz="0" w:space="0" w:color="auto"/>
          </w:divBdr>
        </w:div>
        <w:div w:id="1650213315">
          <w:marLeft w:val="0"/>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BD18-8B83-4AB1-8D22-469B4D51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Paula Rinaldi</cp:lastModifiedBy>
  <cp:revision>2</cp:revision>
  <dcterms:created xsi:type="dcterms:W3CDTF">2022-10-23T19:23:00Z</dcterms:created>
  <dcterms:modified xsi:type="dcterms:W3CDTF">2022-10-23T19:23:00Z</dcterms:modified>
</cp:coreProperties>
</file>