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517B5" w14:textId="77777777" w:rsidR="005444EA" w:rsidRDefault="005444EA">
      <w:pPr>
        <w:widowControl w:val="0"/>
        <w:pBdr>
          <w:top w:val="nil"/>
          <w:left w:val="nil"/>
          <w:bottom w:val="nil"/>
          <w:right w:val="nil"/>
          <w:between w:val="nil"/>
        </w:pBdr>
        <w:spacing w:line="276" w:lineRule="auto"/>
        <w:jc w:val="left"/>
      </w:pPr>
    </w:p>
    <w:p w14:paraId="5CBB6946" w14:textId="77777777" w:rsidR="005444EA" w:rsidRDefault="005444EA">
      <w:pPr>
        <w:jc w:val="center"/>
        <w:rPr>
          <w:b/>
          <w:bCs/>
          <w:sz w:val="28"/>
          <w:szCs w:val="28"/>
        </w:rPr>
      </w:pPr>
    </w:p>
    <w:p w14:paraId="1CC27946" w14:textId="77777777" w:rsidR="005444EA" w:rsidRDefault="00000000">
      <w:pPr>
        <w:jc w:val="center"/>
        <w:rPr>
          <w:b/>
          <w:bCs/>
          <w:sz w:val="28"/>
          <w:szCs w:val="28"/>
        </w:rPr>
      </w:pPr>
      <w:r>
        <w:rPr>
          <w:b/>
          <w:bCs/>
          <w:sz w:val="28"/>
          <w:szCs w:val="28"/>
        </w:rPr>
        <w:t>Physicochemical-Based Prediction of Soil Microbial Communities</w:t>
      </w:r>
    </w:p>
    <w:p w14:paraId="6BB339E9" w14:textId="77777777" w:rsidR="005444EA" w:rsidRDefault="005444EA">
      <w:pPr>
        <w:jc w:val="left"/>
        <w:rPr>
          <w:b/>
          <w:bCs/>
          <w:color w:val="C00000"/>
          <w:sz w:val="28"/>
          <w:szCs w:val="28"/>
        </w:rPr>
      </w:pPr>
    </w:p>
    <w:p w14:paraId="55C1846C" w14:textId="77777777" w:rsidR="005444EA" w:rsidRDefault="005444EA">
      <w:pPr>
        <w:jc w:val="left"/>
        <w:rPr>
          <w:b/>
          <w:bCs/>
          <w:color w:val="C00000"/>
          <w:sz w:val="28"/>
          <w:szCs w:val="28"/>
        </w:rPr>
      </w:pPr>
    </w:p>
    <w:p w14:paraId="7C0208E9" w14:textId="77777777" w:rsidR="005444EA" w:rsidRDefault="005444EA">
      <w:pPr>
        <w:jc w:val="left"/>
        <w:rPr>
          <w:b/>
          <w:bCs/>
          <w:color w:val="C00000"/>
          <w:sz w:val="28"/>
          <w:szCs w:val="28"/>
        </w:rPr>
      </w:pPr>
    </w:p>
    <w:p w14:paraId="751CBF23" w14:textId="77777777" w:rsidR="005444EA" w:rsidRDefault="00000000">
      <w:pPr>
        <w:ind w:left="360"/>
        <w:jc w:val="center"/>
        <w:rPr>
          <w:b/>
          <w:bCs/>
          <w:sz w:val="22"/>
          <w:szCs w:val="22"/>
        </w:rPr>
      </w:pPr>
      <w:r>
        <w:rPr>
          <w:b/>
          <w:bCs/>
          <w:sz w:val="22"/>
          <w:szCs w:val="22"/>
          <w:u w:val="single"/>
        </w:rPr>
        <w:t>S. Gabriel</w:t>
      </w:r>
      <w:r>
        <w:rPr>
          <w:b/>
          <w:bCs/>
          <w:sz w:val="22"/>
          <w:szCs w:val="22"/>
          <w:u w:val="single"/>
          <w:vertAlign w:val="superscript"/>
        </w:rPr>
        <w:t>1,2</w:t>
      </w:r>
      <w:r>
        <w:rPr>
          <w:b/>
          <w:bCs/>
          <w:sz w:val="22"/>
          <w:szCs w:val="22"/>
        </w:rPr>
        <w:t>, C. Robert</w:t>
      </w:r>
      <w:r>
        <w:rPr>
          <w:b/>
          <w:bCs/>
          <w:sz w:val="22"/>
          <w:szCs w:val="22"/>
          <w:vertAlign w:val="superscript"/>
        </w:rPr>
        <w:t>2</w:t>
      </w:r>
      <w:r>
        <w:rPr>
          <w:b/>
          <w:bCs/>
          <w:sz w:val="22"/>
          <w:szCs w:val="22"/>
        </w:rPr>
        <w:t>, G. Breno</w:t>
      </w:r>
      <w:r>
        <w:rPr>
          <w:b/>
          <w:bCs/>
          <w:sz w:val="22"/>
          <w:szCs w:val="22"/>
          <w:vertAlign w:val="superscript"/>
        </w:rPr>
        <w:t>2*</w:t>
      </w:r>
    </w:p>
    <w:p w14:paraId="6ADDA284" w14:textId="77777777" w:rsidR="005444EA" w:rsidRDefault="00000000">
      <w:pPr>
        <w:jc w:val="center"/>
        <w:rPr>
          <w:i/>
          <w:iCs/>
          <w:color w:val="C00000"/>
          <w:sz w:val="18"/>
          <w:szCs w:val="18"/>
        </w:rPr>
      </w:pPr>
      <w:r>
        <w:rPr>
          <w:i/>
          <w:iCs/>
          <w:sz w:val="18"/>
          <w:szCs w:val="18"/>
          <w:vertAlign w:val="superscript"/>
        </w:rPr>
        <w:t>1</w:t>
      </w:r>
      <w:r>
        <w:rPr>
          <w:i/>
          <w:iCs/>
          <w:sz w:val="18"/>
          <w:szCs w:val="18"/>
        </w:rPr>
        <w:t xml:space="preserve"> Universidade Nove de Julho (UNINOVE) Av. Dr. Adolpho Pinto, 109 - Barra Funda, São Paulo - SP</w:t>
      </w:r>
    </w:p>
    <w:p w14:paraId="53B08515" w14:textId="77777777" w:rsidR="005444EA" w:rsidRDefault="00000000">
      <w:pPr>
        <w:jc w:val="center"/>
        <w:rPr>
          <w:i/>
          <w:iCs/>
          <w:sz w:val="18"/>
          <w:szCs w:val="18"/>
        </w:rPr>
      </w:pPr>
      <w:r>
        <w:rPr>
          <w:i/>
          <w:iCs/>
          <w:sz w:val="18"/>
          <w:szCs w:val="18"/>
          <w:vertAlign w:val="superscript"/>
        </w:rPr>
        <w:t>2</w:t>
      </w:r>
      <w:r>
        <w:rPr>
          <w:i/>
          <w:iCs/>
          <w:sz w:val="18"/>
          <w:szCs w:val="18"/>
        </w:rPr>
        <w:t>Biome4all. Avenida Paulista 2073, Bela Vista, São Paulo - SP</w:t>
      </w:r>
      <w:r>
        <w:rPr>
          <w:i/>
          <w:iCs/>
          <w:color w:val="C00000"/>
          <w:sz w:val="18"/>
          <w:szCs w:val="18"/>
        </w:rPr>
        <w:t xml:space="preserve"> </w:t>
      </w:r>
    </w:p>
    <w:p w14:paraId="35EE5C75" w14:textId="77777777" w:rsidR="005444EA" w:rsidRDefault="00000000">
      <w:pPr>
        <w:jc w:val="center"/>
        <w:rPr>
          <w:i/>
          <w:iCs/>
          <w:sz w:val="18"/>
          <w:szCs w:val="18"/>
        </w:rPr>
      </w:pPr>
      <w:r>
        <w:rPr>
          <w:i/>
          <w:iCs/>
          <w:sz w:val="18"/>
          <w:szCs w:val="18"/>
        </w:rPr>
        <w:t xml:space="preserve">*breno@biome4all.com.br </w:t>
      </w:r>
    </w:p>
    <w:p w14:paraId="145DC894" w14:textId="77777777" w:rsidR="005444EA" w:rsidRDefault="005444EA">
      <w:pPr>
        <w:jc w:val="center"/>
      </w:pPr>
    </w:p>
    <w:p w14:paraId="6CE48199" w14:textId="77777777" w:rsidR="005444EA" w:rsidRDefault="005444EA">
      <w:pPr>
        <w:jc w:val="center"/>
      </w:pPr>
    </w:p>
    <w:p w14:paraId="154CAE64" w14:textId="77777777" w:rsidR="005444EA" w:rsidRDefault="005444EA">
      <w:pPr>
        <w:ind w:firstLine="720"/>
        <w:rPr>
          <w:highlight w:val="white"/>
        </w:rPr>
      </w:pPr>
    </w:p>
    <w:p w14:paraId="39CAE3B5" w14:textId="77777777" w:rsidR="005444EA" w:rsidRDefault="00000000">
      <w:pPr>
        <w:ind w:firstLine="720"/>
        <w:rPr>
          <w:highlight w:val="white"/>
        </w:rPr>
      </w:pPr>
      <w:r>
        <w:rPr>
          <w:highlight w:val="white"/>
        </w:rPr>
        <w:t xml:space="preserve">Metagenomic analyses have gained prominence in agriculture in recent years, generating vast volumes of genetic data. To elucidate the complex interplay governing agricultural soil ecosystems, integration with physicochemical parameters becomes essential. In this study, soil samples were collected from diverse Brazilian regions and subjected to DNA sequencing and physicochemical analysis. Using artificial intelligence tools, data were analyzed to elucidate connections between soil biology and soil agronomic characteristics. Sequencing data were processed with DADA2 and taxonomically classified via a naive Bayes classifier using the SILVA 138 and UNITE databases. Resulting amplicon sequence variants were transformed through centered log-ratio and integrated with physicochemical variables into a nonparametric Bayesian cross-categorization model, which captures variable dependencies through statistical views and mixtures. Model training employed Markov chain Monte Carlo with 20,000 iterations. Dependency analysis assessed view structures, posterior distributions, dependency probabilities, and entropy, including bidirectional discrimination tests between biological and physicochemical variables by conditioning posterior distributions. As a result, phosphorus was linked to microbial activity, iron to </w:t>
      </w:r>
      <w:r>
        <w:rPr>
          <w:i/>
          <w:iCs/>
          <w:highlight w:val="white"/>
        </w:rPr>
        <w:t xml:space="preserve">Fusarium </w:t>
      </w:r>
      <w:r>
        <w:rPr>
          <w:highlight w:val="white"/>
        </w:rPr>
        <w:t>proliferation, pH to nitrogen-fixing bacteria, potassium to phosphorus-solubilizing microorganisms, and clay content to pathogen suppression capacity. This approach demonstrates the potential of nonparametric Bayesian statistics and information-theory metrics for investigating complex dependencies between soil microbiota and abiotic contexts, enabling future applications in predictive analytics, bioindicator delineation, objective soil classification and bioinput placement.</w:t>
      </w:r>
    </w:p>
    <w:p w14:paraId="378E6521" w14:textId="77777777" w:rsidR="005444EA" w:rsidRDefault="005444EA">
      <w:pPr>
        <w:jc w:val="center"/>
      </w:pPr>
    </w:p>
    <w:p w14:paraId="6CCA7CAD" w14:textId="77777777" w:rsidR="005444EA" w:rsidRDefault="005444EA">
      <w:pPr>
        <w:rPr>
          <w:sz w:val="22"/>
          <w:szCs w:val="22"/>
        </w:rPr>
      </w:pPr>
    </w:p>
    <w:p w14:paraId="2F1DE2F3" w14:textId="77777777" w:rsidR="005444EA" w:rsidRDefault="005444EA">
      <w:pPr>
        <w:rPr>
          <w:sz w:val="22"/>
          <w:szCs w:val="22"/>
        </w:rPr>
      </w:pPr>
    </w:p>
    <w:p w14:paraId="28983F8C" w14:textId="77777777" w:rsidR="005444EA" w:rsidRDefault="00000000">
      <w:pPr>
        <w:tabs>
          <w:tab w:val="left" w:pos="8300"/>
        </w:tabs>
        <w:rPr>
          <w:sz w:val="22"/>
          <w:szCs w:val="22"/>
        </w:rPr>
        <w:sectPr w:rsidR="005444EA">
          <w:headerReference w:type="even" r:id="rId6"/>
          <w:headerReference w:type="first" r:id="rId7"/>
          <w:pgSz w:w="11906" w:h="16838"/>
          <w:pgMar w:top="1418" w:right="1701" w:bottom="1418" w:left="1701" w:header="0" w:footer="1134" w:gutter="0"/>
          <w:pgNumType w:start="1"/>
          <w:cols w:space="720"/>
          <w:titlePg/>
        </w:sectPr>
      </w:pPr>
      <w:r>
        <w:rPr>
          <w:b/>
          <w:bCs/>
          <w:smallCaps/>
          <w:sz w:val="22"/>
          <w:szCs w:val="22"/>
        </w:rPr>
        <w:t>KEYWORDS</w:t>
      </w:r>
      <w:r>
        <w:rPr>
          <w:sz w:val="22"/>
          <w:szCs w:val="22"/>
        </w:rPr>
        <w:t>: Bioinputs, metagenomics, nutrient, microorganisms, IA</w:t>
      </w:r>
    </w:p>
    <w:p w14:paraId="73CAAB55" w14:textId="77777777" w:rsidR="005444EA" w:rsidRDefault="005444EA">
      <w:pPr>
        <w:jc w:val="center"/>
      </w:pPr>
    </w:p>
    <w:p w14:paraId="411BD50A" w14:textId="77777777" w:rsidR="005444EA" w:rsidRDefault="005444EA">
      <w:pPr>
        <w:rPr>
          <w:sz w:val="16"/>
          <w:szCs w:val="16"/>
        </w:rPr>
      </w:pPr>
    </w:p>
    <w:sectPr w:rsidR="005444EA">
      <w:headerReference w:type="even" r:id="rId8"/>
      <w:headerReference w:type="first" r:id="rId9"/>
      <w:type w:val="continuous"/>
      <w:pgSz w:w="11906" w:h="16838"/>
      <w:pgMar w:top="1418" w:right="1701" w:bottom="1418" w:left="1701" w:header="284"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A303B" w14:textId="77777777" w:rsidR="003940DC" w:rsidRDefault="003940DC">
      <w:r>
        <w:separator/>
      </w:r>
    </w:p>
  </w:endnote>
  <w:endnote w:type="continuationSeparator" w:id="0">
    <w:p w14:paraId="51CA47F6" w14:textId="77777777" w:rsidR="003940DC" w:rsidRDefault="00394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1FFBAFD-BA70-419D-9ED1-C8B0D5042E5C}"/>
  </w:font>
  <w:font w:name="Calibri">
    <w:panose1 w:val="020F0502020204030204"/>
    <w:charset w:val="00"/>
    <w:family w:val="swiss"/>
    <w:pitch w:val="variable"/>
    <w:sig w:usb0="E4002EFF" w:usb1="C200247B" w:usb2="00000009" w:usb3="00000000" w:csb0="000001FF" w:csb1="00000000"/>
    <w:embedRegular r:id="rId2" w:fontKey="{B87A478C-4711-42D9-A720-620BFE9C4562}"/>
  </w:font>
  <w:font w:name="Cambria">
    <w:panose1 w:val="02040503050406030204"/>
    <w:charset w:val="00"/>
    <w:family w:val="roman"/>
    <w:pitch w:val="variable"/>
    <w:sig w:usb0="E00006FF" w:usb1="420024FF" w:usb2="02000000" w:usb3="00000000" w:csb0="0000019F" w:csb1="00000000"/>
    <w:embedRegular r:id="rId3" w:fontKey="{522DE2C4-9737-47EC-A5AE-CC43EBC57D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19948" w14:textId="77777777" w:rsidR="003940DC" w:rsidRDefault="003940DC">
      <w:r>
        <w:separator/>
      </w:r>
    </w:p>
  </w:footnote>
  <w:footnote w:type="continuationSeparator" w:id="0">
    <w:p w14:paraId="5044E1EB" w14:textId="77777777" w:rsidR="003940DC" w:rsidRDefault="003940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8250" w14:textId="77777777" w:rsidR="005444EA" w:rsidRDefault="00000000">
    <w:pPr>
      <w:pBdr>
        <w:top w:val="nil"/>
        <w:left w:val="nil"/>
        <w:bottom w:val="nil"/>
        <w:right w:val="nil"/>
        <w:between w:val="nil"/>
      </w:pBdr>
      <w:tabs>
        <w:tab w:val="center" w:pos="4680"/>
        <w:tab w:val="right" w:pos="9360"/>
      </w:tabs>
      <w:rPr>
        <w:color w:val="000000"/>
      </w:rPr>
    </w:pPr>
    <w:r>
      <w:rPr>
        <w:color w:val="000000"/>
      </w:rPr>
      <w:pict w14:anchorId="5BC58C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left:0;text-align:left;margin-left:0;margin-top:0;width:424.7pt;height:424.7pt;z-index:-251657216;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44BB65E4">
        <v:shape id="WordPictureWatermark1" o:spid="_x0000_s1025" type="#_x0000_t75" alt="" style="position:absolute;left:0;text-align:left;margin-left:0;margin-top:0;width:481.75pt;height:503.6pt;z-index:-251656192;mso-position-horizontal:center;mso-position-horizontal-relative:margin;mso-position-vertical:center;mso-position-vertical-relative:margin">
          <v:imagedata r:id="rId2"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6D195" w14:textId="77777777" w:rsidR="005444EA"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5168" behindDoc="0" locked="0" layoutInCell="1" hidden="0" allowOverlap="1" wp14:anchorId="6440ABDA" wp14:editId="200DA3BD">
          <wp:simplePos x="0" y="0"/>
          <wp:positionH relativeFrom="column">
            <wp:posOffset>-720088</wp:posOffset>
          </wp:positionH>
          <wp:positionV relativeFrom="paragraph">
            <wp:posOffset>-3173</wp:posOffset>
          </wp:positionV>
          <wp:extent cx="7562850" cy="176149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62850" cy="1761490"/>
                  </a:xfrm>
                  <a:prstGeom prst="rect">
                    <a:avLst/>
                  </a:prstGeom>
                  <a:ln/>
                </pic:spPr>
              </pic:pic>
            </a:graphicData>
          </a:graphic>
        </wp:anchor>
      </w:drawing>
    </w:r>
  </w:p>
  <w:p w14:paraId="49D31E90" w14:textId="77777777" w:rsidR="005444EA" w:rsidRDefault="005444EA">
    <w:pPr>
      <w:pBdr>
        <w:top w:val="nil"/>
        <w:left w:val="nil"/>
        <w:bottom w:val="nil"/>
        <w:right w:val="nil"/>
        <w:between w:val="nil"/>
      </w:pBdr>
      <w:tabs>
        <w:tab w:val="center" w:pos="4680"/>
        <w:tab w:val="right" w:pos="9360"/>
      </w:tabs>
      <w:rPr>
        <w:color w:val="000000"/>
      </w:rPr>
    </w:pPr>
  </w:p>
  <w:p w14:paraId="4348678F" w14:textId="77777777" w:rsidR="005444EA" w:rsidRDefault="005444EA">
    <w:pPr>
      <w:pBdr>
        <w:top w:val="nil"/>
        <w:left w:val="nil"/>
        <w:bottom w:val="nil"/>
        <w:right w:val="nil"/>
        <w:between w:val="nil"/>
      </w:pBdr>
      <w:tabs>
        <w:tab w:val="center" w:pos="4680"/>
        <w:tab w:val="right" w:pos="9360"/>
      </w:tabs>
      <w:rPr>
        <w:color w:val="000000"/>
      </w:rPr>
    </w:pPr>
  </w:p>
  <w:p w14:paraId="4BB9AC58" w14:textId="77777777" w:rsidR="005444EA" w:rsidRDefault="005444EA">
    <w:pPr>
      <w:pBdr>
        <w:top w:val="nil"/>
        <w:left w:val="nil"/>
        <w:bottom w:val="nil"/>
        <w:right w:val="nil"/>
        <w:between w:val="nil"/>
      </w:pBdr>
      <w:tabs>
        <w:tab w:val="center" w:pos="4680"/>
        <w:tab w:val="right" w:pos="9360"/>
      </w:tabs>
      <w:rPr>
        <w:color w:val="000000"/>
      </w:rPr>
    </w:pPr>
  </w:p>
  <w:p w14:paraId="2D158C2E" w14:textId="77777777" w:rsidR="005444EA" w:rsidRDefault="005444EA">
    <w:pPr>
      <w:pBdr>
        <w:top w:val="nil"/>
        <w:left w:val="nil"/>
        <w:bottom w:val="nil"/>
        <w:right w:val="nil"/>
        <w:between w:val="nil"/>
      </w:pBdr>
      <w:tabs>
        <w:tab w:val="center" w:pos="4680"/>
        <w:tab w:val="right" w:pos="9360"/>
      </w:tabs>
      <w:rPr>
        <w:color w:val="000000"/>
      </w:rPr>
    </w:pPr>
  </w:p>
  <w:p w14:paraId="2EAF7CE1" w14:textId="77777777" w:rsidR="005444EA" w:rsidRDefault="005444EA">
    <w:pPr>
      <w:pBdr>
        <w:top w:val="nil"/>
        <w:left w:val="nil"/>
        <w:bottom w:val="nil"/>
        <w:right w:val="nil"/>
        <w:between w:val="nil"/>
      </w:pBdr>
      <w:tabs>
        <w:tab w:val="center" w:pos="4680"/>
        <w:tab w:val="right" w:pos="9360"/>
      </w:tabs>
      <w:rPr>
        <w:color w:val="000000"/>
      </w:rPr>
    </w:pPr>
  </w:p>
  <w:p w14:paraId="1D56981C" w14:textId="77777777" w:rsidR="005444EA" w:rsidRDefault="005444EA">
    <w:pPr>
      <w:pBdr>
        <w:top w:val="nil"/>
        <w:left w:val="nil"/>
        <w:bottom w:val="nil"/>
        <w:right w:val="nil"/>
        <w:between w:val="nil"/>
      </w:pBdr>
      <w:tabs>
        <w:tab w:val="center" w:pos="4680"/>
        <w:tab w:val="right" w:pos="9360"/>
      </w:tabs>
      <w:rPr>
        <w:color w:val="000000"/>
      </w:rPr>
    </w:pPr>
  </w:p>
  <w:p w14:paraId="1E1631E1" w14:textId="77777777" w:rsidR="005444EA" w:rsidRDefault="005444EA">
    <w:pPr>
      <w:pBdr>
        <w:top w:val="nil"/>
        <w:left w:val="nil"/>
        <w:bottom w:val="nil"/>
        <w:right w:val="nil"/>
        <w:between w:val="nil"/>
      </w:pBdr>
      <w:tabs>
        <w:tab w:val="center" w:pos="4680"/>
        <w:tab w:val="right" w:pos="9360"/>
      </w:tabs>
      <w:rPr>
        <w:color w:val="000000"/>
      </w:rPr>
    </w:pPr>
  </w:p>
  <w:p w14:paraId="5484580F" w14:textId="77777777" w:rsidR="005444EA" w:rsidRDefault="005444EA">
    <w:pPr>
      <w:pBdr>
        <w:top w:val="nil"/>
        <w:left w:val="nil"/>
        <w:bottom w:val="nil"/>
        <w:right w:val="nil"/>
        <w:between w:val="nil"/>
      </w:pBdr>
      <w:tabs>
        <w:tab w:val="center" w:pos="4680"/>
        <w:tab w:val="right" w:pos="9360"/>
      </w:tabs>
      <w:rPr>
        <w:color w:val="000000"/>
      </w:rPr>
    </w:pPr>
  </w:p>
  <w:p w14:paraId="743310B0" w14:textId="77777777" w:rsidR="005444EA" w:rsidRDefault="005444E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37300" w14:textId="77777777" w:rsidR="005444EA" w:rsidRDefault="00000000">
    <w:pPr>
      <w:pBdr>
        <w:top w:val="nil"/>
        <w:left w:val="nil"/>
        <w:bottom w:val="nil"/>
        <w:right w:val="nil"/>
        <w:between w:val="nil"/>
      </w:pBdr>
      <w:tabs>
        <w:tab w:val="center" w:pos="4680"/>
        <w:tab w:val="right" w:pos="9360"/>
      </w:tabs>
      <w:rPr>
        <w:color w:val="000000"/>
      </w:rPr>
    </w:pPr>
    <w:r>
      <w:rPr>
        <w:noProof/>
        <w:color w:val="000000"/>
      </w:rPr>
      <w:drawing>
        <wp:anchor distT="0" distB="0" distL="114300" distR="114300" simplePos="0" relativeHeight="251657216" behindDoc="1" locked="0" layoutInCell="1" hidden="0" allowOverlap="1" wp14:anchorId="464F3F75" wp14:editId="69425560">
          <wp:simplePos x="0" y="0"/>
          <wp:positionH relativeFrom="margin">
            <wp:align>center</wp:align>
          </wp:positionH>
          <wp:positionV relativeFrom="margin">
            <wp:align>center</wp:align>
          </wp:positionV>
          <wp:extent cx="5393690" cy="5393690"/>
          <wp:effectExtent l="0" t="0" r="0" b="0"/>
          <wp:wrapNone/>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5393690" cy="5393690"/>
                  </a:xfrm>
                  <a:prstGeom prst="rect">
                    <a:avLst/>
                  </a:prstGeom>
                  <a:ln/>
                </pic:spPr>
              </pic:pic>
            </a:graphicData>
          </a:graphic>
        </wp:anchor>
      </w:drawing>
    </w:r>
    <w:r>
      <w:rPr>
        <w:noProof/>
        <w:color w:val="000000"/>
      </w:rPr>
      <w:drawing>
        <wp:anchor distT="0" distB="0" distL="114300" distR="114300" simplePos="0" relativeHeight="251658240" behindDoc="1" locked="0" layoutInCell="1" hidden="0" allowOverlap="1" wp14:anchorId="30D236F7" wp14:editId="0B937B93">
          <wp:simplePos x="0" y="0"/>
          <wp:positionH relativeFrom="margin">
            <wp:align>center</wp:align>
          </wp:positionH>
          <wp:positionV relativeFrom="margin">
            <wp:align>center</wp:align>
          </wp:positionV>
          <wp:extent cx="6118225" cy="639572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118225" cy="639572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04AF0" w14:textId="77777777" w:rsidR="005444EA"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6192" behindDoc="0" locked="0" layoutInCell="1" hidden="0" allowOverlap="1" wp14:anchorId="33F861B6" wp14:editId="5AC95C81">
          <wp:simplePos x="0" y="0"/>
          <wp:positionH relativeFrom="column">
            <wp:posOffset>-1097912</wp:posOffset>
          </wp:positionH>
          <wp:positionV relativeFrom="paragraph">
            <wp:posOffset>-198116</wp:posOffset>
          </wp:positionV>
          <wp:extent cx="7598410" cy="2517775"/>
          <wp:effectExtent l="0" t="0" r="0" b="0"/>
          <wp:wrapSquare wrapText="bothSides" distT="0" distB="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4EA"/>
    <w:rsid w:val="00183F47"/>
    <w:rsid w:val="00383AD7"/>
    <w:rsid w:val="003940DC"/>
    <w:rsid w:val="005444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3EEE4"/>
  <w15:docId w15:val="{C7CC4771-4E87-42CD-9EBA-086A3DFDA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120" w:after="120"/>
      <w:jc w:val="center"/>
      <w:outlineLvl w:val="0"/>
    </w:pPr>
    <w:rPr>
      <w:b/>
      <w:bCs/>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338</Words>
  <Characters>1828</Characters>
  <Application>Microsoft Office Word</Application>
  <DocSecurity>0</DocSecurity>
  <Lines>15</Lines>
  <Paragraphs>4</Paragraphs>
  <ScaleCrop>false</ScaleCrop>
  <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Breno</dc:creator>
  <cp:lastModifiedBy>Breno Gonçalves</cp:lastModifiedBy>
  <cp:revision>2</cp:revision>
  <dcterms:created xsi:type="dcterms:W3CDTF">2026-04-15T00:20:00Z</dcterms:created>
  <dcterms:modified xsi:type="dcterms:W3CDTF">2026-04-15T00:20:00Z</dcterms:modified>
</cp:coreProperties>
</file>