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CD" w:rsidRDefault="00E05EA2" w:rsidP="00E05EA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05EA2">
        <w:rPr>
          <w:rFonts w:ascii="Arial" w:hAnsi="Arial" w:cs="Arial"/>
          <w:b/>
          <w:sz w:val="24"/>
          <w:szCs w:val="24"/>
        </w:rPr>
        <w:t>ACÚMULO E SAZONALIDADE DA PRODUÇÃO DE FORRRAGEM PELO CAPIM MARANDU, SUBMETIDO A GESSAGEM E OUTRAS ESTRATÉGIAS DE MANEJO DA FERTILIDADE DO SOLO</w:t>
      </w:r>
    </w:p>
    <w:p w:rsidR="00E05EA2" w:rsidRDefault="00E05EA2" w:rsidP="00E05EA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57ECD" w:rsidRDefault="00FD4D29" w:rsidP="0084612C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SILVA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E05EA2">
        <w:rPr>
          <w:rFonts w:ascii="Arial" w:eastAsia="Arial" w:hAnsi="Arial" w:cs="Arial"/>
          <w:sz w:val="24"/>
          <w:szCs w:val="24"/>
        </w:rPr>
        <w:t>João Vinicius Bispo</w:t>
      </w:r>
      <w:r>
        <w:rPr>
          <w:rStyle w:val="ncoradanotaderodap"/>
          <w:rFonts w:ascii="Arial" w:eastAsia="Arial" w:hAnsi="Arial" w:cs="Arial"/>
          <w:sz w:val="24"/>
          <w:szCs w:val="24"/>
        </w:rPr>
        <w:footnoteReference w:id="1"/>
      </w:r>
      <w:r>
        <w:rPr>
          <w:rFonts w:ascii="Arial" w:eastAsia="Arial" w:hAnsi="Arial" w:cs="Arial"/>
          <w:sz w:val="24"/>
          <w:szCs w:val="24"/>
        </w:rPr>
        <w:t xml:space="preserve">; </w:t>
      </w:r>
      <w:r w:rsidR="00E05EA2">
        <w:rPr>
          <w:rFonts w:ascii="Arial" w:eastAsia="Arial" w:hAnsi="Arial" w:cs="Arial"/>
          <w:b/>
          <w:sz w:val="24"/>
          <w:szCs w:val="24"/>
        </w:rPr>
        <w:t>SANTOS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E05EA2">
        <w:rPr>
          <w:rFonts w:ascii="Arial" w:eastAsia="Arial" w:hAnsi="Arial" w:cs="Arial"/>
          <w:sz w:val="24"/>
          <w:szCs w:val="24"/>
        </w:rPr>
        <w:t xml:space="preserve">José Geraldo </w:t>
      </w:r>
      <w:proofErr w:type="spellStart"/>
      <w:r w:rsidR="00E05EA2">
        <w:rPr>
          <w:rFonts w:ascii="Arial" w:eastAsia="Arial" w:hAnsi="Arial" w:cs="Arial"/>
          <w:sz w:val="24"/>
          <w:szCs w:val="24"/>
        </w:rPr>
        <w:t>Donizetti</w:t>
      </w:r>
      <w:proofErr w:type="spellEnd"/>
      <w:r>
        <w:rPr>
          <w:rStyle w:val="ncoradanotaderodap"/>
          <w:rFonts w:ascii="Arial" w:eastAsia="Arial" w:hAnsi="Arial" w:cs="Arial"/>
          <w:sz w:val="24"/>
          <w:szCs w:val="24"/>
        </w:rPr>
        <w:footnoteReference w:id="2"/>
      </w:r>
      <w:r>
        <w:rPr>
          <w:rFonts w:ascii="Arial" w:eastAsia="Arial" w:hAnsi="Arial" w:cs="Arial"/>
          <w:sz w:val="24"/>
          <w:szCs w:val="24"/>
        </w:rPr>
        <w:t xml:space="preserve">; </w:t>
      </w:r>
      <w:r w:rsidR="00E05EA2">
        <w:rPr>
          <w:rFonts w:ascii="Arial" w:eastAsia="Arial" w:hAnsi="Arial" w:cs="Arial"/>
          <w:b/>
          <w:sz w:val="24"/>
          <w:szCs w:val="24"/>
        </w:rPr>
        <w:t>NÓBREGA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E05EA2">
        <w:rPr>
          <w:rFonts w:ascii="Arial" w:eastAsia="Arial" w:hAnsi="Arial" w:cs="Arial"/>
          <w:sz w:val="24"/>
          <w:szCs w:val="24"/>
        </w:rPr>
        <w:t>Elcivan</w:t>
      </w:r>
      <w:proofErr w:type="spellEnd"/>
      <w:r w:rsidR="00E05EA2">
        <w:rPr>
          <w:rFonts w:ascii="Arial" w:eastAsia="Arial" w:hAnsi="Arial" w:cs="Arial"/>
          <w:sz w:val="24"/>
          <w:szCs w:val="24"/>
        </w:rPr>
        <w:t xml:space="preserve"> Bento</w:t>
      </w:r>
      <w:r>
        <w:rPr>
          <w:rStyle w:val="ncoradanotaderodap"/>
          <w:rFonts w:ascii="Arial" w:eastAsia="Arial" w:hAnsi="Arial" w:cs="Arial"/>
          <w:sz w:val="24"/>
          <w:szCs w:val="24"/>
        </w:rPr>
        <w:footnoteReference w:id="3"/>
      </w:r>
      <w:r w:rsidR="00E05EA2">
        <w:rPr>
          <w:rFonts w:ascii="Arial" w:eastAsia="Arial" w:hAnsi="Arial" w:cs="Arial"/>
          <w:sz w:val="24"/>
          <w:szCs w:val="24"/>
        </w:rPr>
        <w:t>.</w:t>
      </w:r>
    </w:p>
    <w:p w:rsidR="0084612C" w:rsidRDefault="0084612C" w:rsidP="0084612C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57ECD" w:rsidRDefault="00FD4D29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:rsidR="00257ECD" w:rsidRPr="00653105" w:rsidRDefault="006D7BD5">
      <w:pPr>
        <w:widowControl w:val="0"/>
        <w:spacing w:after="0" w:line="360" w:lineRule="auto"/>
        <w:jc w:val="both"/>
        <w:rPr>
          <w:rFonts w:ascii="Arial" w:eastAsia="Arial" w:hAnsi="Arial" w:cs="Arial"/>
          <w:sz w:val="28"/>
          <w:szCs w:val="24"/>
        </w:rPr>
      </w:pPr>
      <w:r w:rsidRPr="006D7BD5">
        <w:rPr>
          <w:rFonts w:ascii="Arial" w:hAnsi="Arial" w:cs="Arial"/>
          <w:sz w:val="24"/>
        </w:rPr>
        <w:t>A baixa fertilidade do solo é um fator determinante na produção forrageira</w:t>
      </w:r>
      <w:r w:rsidR="0084612C">
        <w:rPr>
          <w:rFonts w:ascii="Arial" w:hAnsi="Arial" w:cs="Arial"/>
          <w:sz w:val="24"/>
        </w:rPr>
        <w:t>, intensificando</w:t>
      </w:r>
      <w:r w:rsidRPr="006D7BD5">
        <w:rPr>
          <w:rFonts w:ascii="Arial" w:hAnsi="Arial" w:cs="Arial"/>
          <w:sz w:val="24"/>
        </w:rPr>
        <w:t xml:space="preserve"> o</w:t>
      </w:r>
      <w:r>
        <w:rPr>
          <w:rFonts w:ascii="Arial" w:hAnsi="Arial" w:cs="Arial"/>
          <w:sz w:val="24"/>
        </w:rPr>
        <w:t>s efeitos da sazonalidade</w:t>
      </w:r>
      <w:r w:rsidR="0084612C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84612C">
        <w:rPr>
          <w:rFonts w:ascii="Arial" w:hAnsi="Arial" w:cs="Arial"/>
          <w:sz w:val="24"/>
        </w:rPr>
        <w:t xml:space="preserve">sobretudo </w:t>
      </w:r>
      <w:r w:rsidRPr="006D7BD5">
        <w:rPr>
          <w:rFonts w:ascii="Arial" w:hAnsi="Arial" w:cs="Arial"/>
          <w:sz w:val="24"/>
        </w:rPr>
        <w:t xml:space="preserve">em áreas </w:t>
      </w:r>
      <w:r w:rsidR="0084612C">
        <w:rPr>
          <w:rFonts w:ascii="Arial" w:hAnsi="Arial" w:cs="Arial"/>
          <w:sz w:val="24"/>
        </w:rPr>
        <w:t xml:space="preserve">de </w:t>
      </w:r>
      <w:r w:rsidR="0084612C" w:rsidRPr="006D7BD5">
        <w:rPr>
          <w:rFonts w:ascii="Arial" w:hAnsi="Arial" w:cs="Arial"/>
          <w:sz w:val="24"/>
        </w:rPr>
        <w:t xml:space="preserve">solos arenosos </w:t>
      </w:r>
      <w:r w:rsidR="0084612C">
        <w:rPr>
          <w:rFonts w:ascii="Arial" w:hAnsi="Arial" w:cs="Arial"/>
          <w:sz w:val="24"/>
        </w:rPr>
        <w:t>e com longos períodos de</w:t>
      </w:r>
      <w:r w:rsidRPr="006D7BD5">
        <w:rPr>
          <w:rFonts w:ascii="Arial" w:hAnsi="Arial" w:cs="Arial"/>
          <w:sz w:val="24"/>
        </w:rPr>
        <w:t xml:space="preserve"> </w:t>
      </w:r>
      <w:r w:rsidR="0084612C">
        <w:rPr>
          <w:rFonts w:ascii="Arial" w:hAnsi="Arial" w:cs="Arial"/>
          <w:sz w:val="24"/>
        </w:rPr>
        <w:t>seca</w:t>
      </w:r>
      <w:r w:rsidRPr="006D7BD5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="00A92107">
        <w:rPr>
          <w:rFonts w:ascii="Arial" w:eastAsia="Arial" w:hAnsi="Arial" w:cs="Arial"/>
          <w:sz w:val="24"/>
          <w:szCs w:val="24"/>
        </w:rPr>
        <w:t>O objetivo desse trabalho foi avaliar a produç</w:t>
      </w:r>
      <w:r w:rsidR="009C50AA">
        <w:rPr>
          <w:rFonts w:ascii="Arial" w:eastAsia="Arial" w:hAnsi="Arial" w:cs="Arial"/>
          <w:sz w:val="24"/>
          <w:szCs w:val="24"/>
        </w:rPr>
        <w:t>ão</w:t>
      </w:r>
      <w:r w:rsidR="00A92107">
        <w:rPr>
          <w:rFonts w:ascii="Arial" w:eastAsia="Arial" w:hAnsi="Arial" w:cs="Arial"/>
          <w:sz w:val="24"/>
          <w:szCs w:val="24"/>
        </w:rPr>
        <w:t xml:space="preserve"> </w:t>
      </w:r>
      <w:r w:rsidR="009C50AA">
        <w:rPr>
          <w:rFonts w:ascii="Arial" w:eastAsia="Arial" w:hAnsi="Arial" w:cs="Arial"/>
          <w:sz w:val="24"/>
          <w:szCs w:val="24"/>
        </w:rPr>
        <w:t xml:space="preserve">e sazonalidade da forragem do capim Marandu sob diferentes estratégias de manejo da fertilidade do solo. </w:t>
      </w:r>
      <w:r w:rsidR="00465486" w:rsidRPr="00465486">
        <w:rPr>
          <w:rFonts w:ascii="Arial" w:hAnsi="Arial" w:cs="Arial"/>
          <w:sz w:val="24"/>
        </w:rPr>
        <w:t>O delineamento adotado foi em blocos casualizados, sendo sete tratamentos: testemunha, adubação com NPK (100 kg ha</w:t>
      </w:r>
      <w:r w:rsidR="00465486" w:rsidRPr="00465486">
        <w:rPr>
          <w:rFonts w:ascii="Arial" w:hAnsi="Arial" w:cs="Arial"/>
          <w:sz w:val="24"/>
          <w:vertAlign w:val="superscript"/>
        </w:rPr>
        <w:t>-1</w:t>
      </w:r>
      <w:r w:rsidR="00465486" w:rsidRPr="00465486">
        <w:rPr>
          <w:rFonts w:ascii="Arial" w:hAnsi="Arial" w:cs="Arial"/>
          <w:sz w:val="24"/>
        </w:rPr>
        <w:t xml:space="preserve"> de nitrogênio (ureia), 50 kg ha</w:t>
      </w:r>
      <w:r w:rsidR="00465486" w:rsidRPr="00465486">
        <w:rPr>
          <w:rFonts w:ascii="Arial" w:hAnsi="Arial" w:cs="Arial"/>
          <w:sz w:val="24"/>
          <w:vertAlign w:val="superscript"/>
        </w:rPr>
        <w:t>-1</w:t>
      </w:r>
      <w:r w:rsidR="00465486" w:rsidRPr="00465486">
        <w:rPr>
          <w:rFonts w:ascii="Arial" w:hAnsi="Arial" w:cs="Arial"/>
          <w:sz w:val="24"/>
        </w:rPr>
        <w:t xml:space="preserve"> de P</w:t>
      </w:r>
      <w:r w:rsidR="00465486" w:rsidRPr="00465486">
        <w:rPr>
          <w:rFonts w:ascii="Arial" w:hAnsi="Arial" w:cs="Arial"/>
          <w:sz w:val="24"/>
          <w:vertAlign w:val="subscript"/>
        </w:rPr>
        <w:t>2</w:t>
      </w:r>
      <w:r w:rsidR="00465486" w:rsidRPr="00465486">
        <w:rPr>
          <w:rFonts w:ascii="Arial" w:hAnsi="Arial" w:cs="Arial"/>
          <w:sz w:val="24"/>
        </w:rPr>
        <w:t>O</w:t>
      </w:r>
      <w:r w:rsidR="00465486" w:rsidRPr="00465486">
        <w:rPr>
          <w:rFonts w:ascii="Arial" w:hAnsi="Arial" w:cs="Arial"/>
          <w:sz w:val="24"/>
          <w:vertAlign w:val="subscript"/>
        </w:rPr>
        <w:t>5</w:t>
      </w:r>
      <w:r w:rsidR="00465486" w:rsidRPr="00465486">
        <w:rPr>
          <w:rFonts w:ascii="Arial" w:hAnsi="Arial" w:cs="Arial"/>
          <w:sz w:val="24"/>
        </w:rPr>
        <w:t xml:space="preserve"> (superfosfato triplo) e 100 kg ha</w:t>
      </w:r>
      <w:r w:rsidR="00465486" w:rsidRPr="00465486">
        <w:rPr>
          <w:rFonts w:ascii="Arial" w:hAnsi="Arial" w:cs="Arial"/>
          <w:sz w:val="24"/>
          <w:vertAlign w:val="superscript"/>
        </w:rPr>
        <w:t>-1</w:t>
      </w:r>
      <w:r w:rsidR="00465486" w:rsidRPr="00465486">
        <w:rPr>
          <w:rFonts w:ascii="Arial" w:hAnsi="Arial" w:cs="Arial"/>
          <w:sz w:val="24"/>
        </w:rPr>
        <w:t xml:space="preserve"> de K</w:t>
      </w:r>
      <w:r w:rsidR="00465486" w:rsidRPr="00465486">
        <w:rPr>
          <w:rFonts w:ascii="Arial" w:hAnsi="Arial" w:cs="Arial"/>
          <w:sz w:val="24"/>
          <w:vertAlign w:val="subscript"/>
        </w:rPr>
        <w:t>2</w:t>
      </w:r>
      <w:r w:rsidR="00465486" w:rsidRPr="00465486">
        <w:rPr>
          <w:rFonts w:ascii="Arial" w:hAnsi="Arial" w:cs="Arial"/>
          <w:sz w:val="24"/>
        </w:rPr>
        <w:t>O (cloreto de potássio), adubação com NPK mais calagem (3000 kg ha</w:t>
      </w:r>
      <w:r w:rsidR="00465486" w:rsidRPr="00465486">
        <w:rPr>
          <w:rFonts w:ascii="Arial" w:hAnsi="Arial" w:cs="Arial"/>
          <w:sz w:val="24"/>
          <w:vertAlign w:val="superscript"/>
        </w:rPr>
        <w:t>-1</w:t>
      </w:r>
      <w:r w:rsidR="00465486" w:rsidRPr="00465486">
        <w:rPr>
          <w:rFonts w:ascii="Arial" w:hAnsi="Arial" w:cs="Arial"/>
          <w:sz w:val="24"/>
        </w:rPr>
        <w:t>) e mais a combinação do NPK + calagem com quatro doses de gesso (200 kg ha</w:t>
      </w:r>
      <w:r w:rsidR="00465486" w:rsidRPr="00465486">
        <w:rPr>
          <w:rFonts w:ascii="Arial" w:hAnsi="Arial" w:cs="Arial"/>
          <w:sz w:val="24"/>
          <w:vertAlign w:val="superscript"/>
        </w:rPr>
        <w:t>-1</w:t>
      </w:r>
      <w:r w:rsidR="00465486" w:rsidRPr="00465486">
        <w:rPr>
          <w:rFonts w:ascii="Arial" w:hAnsi="Arial" w:cs="Arial"/>
          <w:sz w:val="24"/>
        </w:rPr>
        <w:t>, 750 kg ha</w:t>
      </w:r>
      <w:r w:rsidR="00465486" w:rsidRPr="00465486">
        <w:rPr>
          <w:rFonts w:ascii="Arial" w:hAnsi="Arial" w:cs="Arial"/>
          <w:sz w:val="24"/>
          <w:vertAlign w:val="superscript"/>
        </w:rPr>
        <w:t>-1</w:t>
      </w:r>
      <w:r w:rsidR="00465486" w:rsidRPr="00465486">
        <w:rPr>
          <w:rFonts w:ascii="Arial" w:hAnsi="Arial" w:cs="Arial"/>
          <w:sz w:val="24"/>
        </w:rPr>
        <w:t>, 1.500 kg ha</w:t>
      </w:r>
      <w:r w:rsidR="00465486" w:rsidRPr="00465486">
        <w:rPr>
          <w:rFonts w:ascii="Arial" w:hAnsi="Arial" w:cs="Arial"/>
          <w:sz w:val="24"/>
          <w:vertAlign w:val="superscript"/>
        </w:rPr>
        <w:t>-1</w:t>
      </w:r>
      <w:r w:rsidR="00465486" w:rsidRPr="00465486">
        <w:rPr>
          <w:rFonts w:ascii="Arial" w:hAnsi="Arial" w:cs="Arial"/>
          <w:sz w:val="24"/>
        </w:rPr>
        <w:t xml:space="preserve"> e 2.250 kg ha</w:t>
      </w:r>
      <w:r w:rsidR="00465486" w:rsidRPr="00465486">
        <w:rPr>
          <w:rFonts w:ascii="Arial" w:hAnsi="Arial" w:cs="Arial"/>
          <w:sz w:val="24"/>
          <w:vertAlign w:val="superscript"/>
        </w:rPr>
        <w:t>-1</w:t>
      </w:r>
      <w:r w:rsidR="00465486" w:rsidRPr="00465486">
        <w:rPr>
          <w:rFonts w:ascii="Arial" w:hAnsi="Arial" w:cs="Arial"/>
          <w:sz w:val="24"/>
        </w:rPr>
        <w:t xml:space="preserve"> de gesso), com 4 repetições.</w:t>
      </w:r>
      <w:r w:rsidR="00465486">
        <w:rPr>
          <w:rFonts w:ascii="Arial" w:hAnsi="Arial" w:cs="Arial"/>
          <w:sz w:val="24"/>
        </w:rPr>
        <w:t xml:space="preserve"> </w:t>
      </w:r>
      <w:r w:rsidR="00465486" w:rsidRPr="006D7BD5">
        <w:rPr>
          <w:rFonts w:ascii="Arial" w:hAnsi="Arial" w:cs="Arial"/>
          <w:sz w:val="24"/>
        </w:rPr>
        <w:t>Foi avaliado altura do dossel</w:t>
      </w:r>
      <w:r w:rsidRPr="006D7BD5">
        <w:rPr>
          <w:rFonts w:ascii="Arial" w:hAnsi="Arial" w:cs="Arial"/>
          <w:sz w:val="24"/>
        </w:rPr>
        <w:t xml:space="preserve"> (AD)</w:t>
      </w:r>
      <w:r w:rsidR="00465486" w:rsidRPr="006D7BD5">
        <w:rPr>
          <w:rFonts w:ascii="Arial" w:hAnsi="Arial" w:cs="Arial"/>
          <w:sz w:val="24"/>
        </w:rPr>
        <w:t>, densidade populacional de perfilhos</w:t>
      </w:r>
      <w:r w:rsidRPr="006D7BD5">
        <w:rPr>
          <w:rFonts w:ascii="Arial" w:hAnsi="Arial" w:cs="Arial"/>
          <w:sz w:val="24"/>
        </w:rPr>
        <w:t xml:space="preserve"> (DPP)</w:t>
      </w:r>
      <w:r>
        <w:rPr>
          <w:rFonts w:ascii="Arial" w:hAnsi="Arial" w:cs="Arial"/>
          <w:sz w:val="24"/>
        </w:rPr>
        <w:t xml:space="preserve"> e</w:t>
      </w:r>
      <w:r w:rsidR="00465486" w:rsidRPr="006D7BD5">
        <w:rPr>
          <w:rFonts w:ascii="Arial" w:hAnsi="Arial" w:cs="Arial"/>
          <w:sz w:val="24"/>
        </w:rPr>
        <w:t xml:space="preserve"> massa seca de forragem </w:t>
      </w:r>
      <w:r w:rsidRPr="006D7BD5">
        <w:rPr>
          <w:rFonts w:ascii="Arial" w:hAnsi="Arial" w:cs="Arial"/>
          <w:sz w:val="24"/>
        </w:rPr>
        <w:t>(MSF)</w:t>
      </w:r>
      <w:r w:rsidR="00465486" w:rsidRPr="006D7BD5">
        <w:rPr>
          <w:rFonts w:ascii="Arial" w:hAnsi="Arial" w:cs="Arial"/>
          <w:sz w:val="24"/>
        </w:rPr>
        <w:t>.</w:t>
      </w:r>
      <w:r w:rsidR="00465486" w:rsidRPr="006D7BD5">
        <w:rPr>
          <w:sz w:val="28"/>
        </w:rPr>
        <w:t xml:space="preserve"> </w:t>
      </w:r>
      <w:r w:rsidR="007533DA" w:rsidRPr="007533DA">
        <w:rPr>
          <w:rFonts w:ascii="Arial" w:hAnsi="Arial" w:cs="Arial"/>
          <w:sz w:val="24"/>
        </w:rPr>
        <w:t>Todas as estratégias de melhoria da fertilidade</w:t>
      </w:r>
      <w:r w:rsidR="007533DA">
        <w:rPr>
          <w:rFonts w:ascii="Arial" w:hAnsi="Arial" w:cs="Arial"/>
          <w:sz w:val="24"/>
        </w:rPr>
        <w:t xml:space="preserve"> do solo resultaram nos melhores resultados </w:t>
      </w:r>
      <w:r w:rsidR="007533DA" w:rsidRPr="007533DA">
        <w:rPr>
          <w:rFonts w:ascii="Arial" w:hAnsi="Arial" w:cs="Arial"/>
          <w:sz w:val="24"/>
        </w:rPr>
        <w:t>para a altura do dossel ao longo do ciclo completo.</w:t>
      </w:r>
      <w:r w:rsidR="001F2D8F">
        <w:rPr>
          <w:rFonts w:ascii="Arial" w:hAnsi="Arial" w:cs="Arial"/>
          <w:sz w:val="24"/>
        </w:rPr>
        <w:t xml:space="preserve"> </w:t>
      </w:r>
      <w:r w:rsidR="004348C4">
        <w:rPr>
          <w:rFonts w:ascii="Arial" w:hAnsi="Arial" w:cs="Arial"/>
          <w:sz w:val="24"/>
        </w:rPr>
        <w:t xml:space="preserve">Em relação ao perfilhamento, </w:t>
      </w:r>
      <w:r w:rsidR="001F2D8F" w:rsidRPr="00653105">
        <w:rPr>
          <w:rFonts w:ascii="Arial" w:hAnsi="Arial" w:cs="Arial"/>
          <w:sz w:val="24"/>
        </w:rPr>
        <w:t xml:space="preserve">todas as estratégias com aplicação de insumos apresentaram resultados superiores à </w:t>
      </w:r>
      <w:r w:rsidR="001F2D8F" w:rsidRPr="00653105">
        <w:rPr>
          <w:rFonts w:ascii="Arial" w:hAnsi="Arial" w:cs="Arial"/>
          <w:sz w:val="24"/>
        </w:rPr>
        <w:lastRenderedPageBreak/>
        <w:t>testemunha. A produção de massa seca de forragem</w:t>
      </w:r>
      <w:r w:rsidR="002244AA">
        <w:rPr>
          <w:rFonts w:ascii="Arial" w:hAnsi="Arial" w:cs="Arial"/>
          <w:sz w:val="24"/>
        </w:rPr>
        <w:t xml:space="preserve"> foi maior para</w:t>
      </w:r>
      <w:r w:rsidR="001F2D8F" w:rsidRPr="00653105">
        <w:rPr>
          <w:rFonts w:ascii="Arial" w:hAnsi="Arial" w:cs="Arial"/>
          <w:sz w:val="24"/>
        </w:rPr>
        <w:t xml:space="preserve"> </w:t>
      </w:r>
      <w:r w:rsidR="002244AA" w:rsidRPr="00653105">
        <w:rPr>
          <w:rFonts w:ascii="Arial" w:hAnsi="Arial" w:cs="Arial"/>
          <w:sz w:val="24"/>
        </w:rPr>
        <w:t xml:space="preserve">todas as estratégias </w:t>
      </w:r>
      <w:r w:rsidR="002244AA">
        <w:rPr>
          <w:rFonts w:ascii="Arial" w:hAnsi="Arial" w:cs="Arial"/>
          <w:sz w:val="24"/>
        </w:rPr>
        <w:t>com melhoria da fertilidade,</w:t>
      </w:r>
      <w:r w:rsidR="002244AA" w:rsidRPr="00653105">
        <w:rPr>
          <w:rFonts w:ascii="Arial" w:hAnsi="Arial" w:cs="Arial"/>
          <w:sz w:val="24"/>
        </w:rPr>
        <w:t xml:space="preserve"> apresentaram resultados superiores à testemunha.</w:t>
      </w:r>
    </w:p>
    <w:p w:rsidR="00257ECD" w:rsidRDefault="00FD4D29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Palavras-chave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E427A6">
        <w:rPr>
          <w:rFonts w:ascii="Arial" w:eastAsia="Arial" w:hAnsi="Arial" w:cs="Arial"/>
          <w:sz w:val="24"/>
          <w:szCs w:val="24"/>
        </w:rPr>
        <w:t>Adubação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1F2D8F">
        <w:rPr>
          <w:rFonts w:ascii="Arial" w:eastAsia="Arial" w:hAnsi="Arial" w:cs="Arial"/>
          <w:sz w:val="24"/>
          <w:szCs w:val="24"/>
        </w:rPr>
        <w:t>Calagem</w:t>
      </w:r>
      <w:r>
        <w:rPr>
          <w:rFonts w:ascii="Arial" w:eastAsia="Arial" w:hAnsi="Arial" w:cs="Arial"/>
          <w:sz w:val="24"/>
          <w:szCs w:val="24"/>
        </w:rPr>
        <w:t>.</w:t>
      </w:r>
      <w:r w:rsidR="00E427A6" w:rsidRPr="00E427A6">
        <w:rPr>
          <w:rFonts w:ascii="Arial" w:eastAsia="Arial" w:hAnsi="Arial" w:cs="Arial"/>
          <w:sz w:val="24"/>
          <w:szCs w:val="24"/>
        </w:rPr>
        <w:t xml:space="preserve"> </w:t>
      </w:r>
      <w:r w:rsidR="00E427A6">
        <w:rPr>
          <w:rFonts w:ascii="Arial" w:eastAsia="Arial" w:hAnsi="Arial" w:cs="Arial"/>
          <w:sz w:val="24"/>
          <w:szCs w:val="24"/>
        </w:rPr>
        <w:t>Gesso.</w:t>
      </w:r>
    </w:p>
    <w:p w:rsidR="00257ECD" w:rsidRDefault="00257ECD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257ECD" w:rsidRDefault="00FD4D29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INTRODUÇÃO/JUSTIFICATIVA</w:t>
      </w:r>
    </w:p>
    <w:p w:rsidR="00322107" w:rsidRDefault="00F149E6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F149E6">
        <w:rPr>
          <w:rFonts w:ascii="Arial" w:hAnsi="Arial" w:cs="Arial"/>
          <w:sz w:val="24"/>
        </w:rPr>
        <w:t xml:space="preserve">A pecuária brasileira é majoritariamente conduzida em pastagens sobre solos de baixa fertilidade e sem correção química (DIAS-FILHO, 2014). Como a acidez costuma ocorrer também na </w:t>
      </w:r>
      <w:proofErr w:type="spellStart"/>
      <w:r w:rsidRPr="00F149E6">
        <w:rPr>
          <w:rFonts w:ascii="Arial" w:hAnsi="Arial" w:cs="Arial"/>
          <w:sz w:val="24"/>
        </w:rPr>
        <w:t>subsuperfície</w:t>
      </w:r>
      <w:proofErr w:type="spellEnd"/>
      <w:r w:rsidRPr="00F149E6">
        <w:rPr>
          <w:rFonts w:ascii="Arial" w:hAnsi="Arial" w:cs="Arial"/>
          <w:sz w:val="24"/>
        </w:rPr>
        <w:t>, é essencial melhorar as condições químicas do solo em todas as camadas para favorecer o desenvolvimento radicular e aumentar a produtividade das forrageiras.</w:t>
      </w:r>
    </w:p>
    <w:p w:rsidR="00F149E6" w:rsidRDefault="00F149E6" w:rsidP="00F149E6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F149E6">
        <w:rPr>
          <w:rFonts w:ascii="Arial" w:hAnsi="Arial" w:cs="Arial"/>
          <w:sz w:val="24"/>
        </w:rPr>
        <w:t xml:space="preserve">A correção das camadas superficial e </w:t>
      </w:r>
      <w:proofErr w:type="spellStart"/>
      <w:r w:rsidRPr="00F149E6">
        <w:rPr>
          <w:rFonts w:ascii="Arial" w:hAnsi="Arial" w:cs="Arial"/>
          <w:sz w:val="24"/>
        </w:rPr>
        <w:t>subsuperficial</w:t>
      </w:r>
      <w:proofErr w:type="spellEnd"/>
      <w:r w:rsidRPr="00F149E6">
        <w:rPr>
          <w:rFonts w:ascii="Arial" w:hAnsi="Arial" w:cs="Arial"/>
          <w:sz w:val="24"/>
        </w:rPr>
        <w:t xml:space="preserve"> do solo favorece o crescimento radicular, o perfilhamento e a produtividade de matéria seca das forrageiras (BACKES et al., 2017; SOUSA et al., 2001), contribuindo também para reduzir a sazonalidade da produção de forragem.</w:t>
      </w:r>
    </w:p>
    <w:p w:rsidR="003868A7" w:rsidRPr="00F149E6" w:rsidRDefault="003868A7" w:rsidP="00F149E6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:rsidR="00257ECD" w:rsidRDefault="00FD4D29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BASE TEÓRICA</w:t>
      </w:r>
    </w:p>
    <w:p w:rsidR="00C73898" w:rsidRDefault="00C73898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C73898">
        <w:rPr>
          <w:rFonts w:ascii="Arial" w:eastAsia="Arial" w:hAnsi="Arial" w:cs="Arial"/>
          <w:sz w:val="24"/>
          <w:szCs w:val="24"/>
        </w:rPr>
        <w:t>No Brasil, predomina o sistema extensivo de produção, caracterizado por baixo uso de tecnologia e ausência de reposição de nutrientes. Esse modelo contribui para a baixa fertilidade dos solos tropicais, reduzindo a produção de forragem, os índices zootécnicos e a rentabilidade. Além disso, limita o desenvolvimento radicular, aumenta a sazonalidade da produção e torna as plantas mais vulneráveis a pragas, doenças, plantas invasoras e períodos de seca (BACKES et al., 2017; SAINJU et al., 2017).</w:t>
      </w:r>
    </w:p>
    <w:p w:rsidR="00C73898" w:rsidRDefault="00C73898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C73898">
        <w:rPr>
          <w:rFonts w:ascii="Arial" w:eastAsia="Arial" w:hAnsi="Arial" w:cs="Arial"/>
          <w:sz w:val="24"/>
          <w:szCs w:val="24"/>
        </w:rPr>
        <w:t xml:space="preserve">A calagem corrige a acidez do solo, neutraliza o alumínio e fornece cálcio e magnésio, mas seu efeito se limita à superfície. Já a </w:t>
      </w:r>
      <w:proofErr w:type="spellStart"/>
      <w:r w:rsidRPr="00C73898">
        <w:rPr>
          <w:rFonts w:ascii="Arial" w:eastAsia="Arial" w:hAnsi="Arial" w:cs="Arial"/>
          <w:sz w:val="24"/>
          <w:szCs w:val="24"/>
        </w:rPr>
        <w:t>gessagem</w:t>
      </w:r>
      <w:proofErr w:type="spellEnd"/>
      <w:r w:rsidRPr="00C73898">
        <w:rPr>
          <w:rFonts w:ascii="Arial" w:eastAsia="Arial" w:hAnsi="Arial" w:cs="Arial"/>
          <w:sz w:val="24"/>
          <w:szCs w:val="24"/>
        </w:rPr>
        <w:t xml:space="preserve"> complementa essa prática, atuando em camadas mais profundas ao fornecer cálcio e enxofre e reduzir a saturação por alumínio (SOUSA et al., 2001; VICENSI et al., 2020).</w:t>
      </w:r>
    </w:p>
    <w:p w:rsidR="00257ECD" w:rsidRPr="00F149E6" w:rsidRDefault="00C73898" w:rsidP="00F149E6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C73898">
        <w:rPr>
          <w:rFonts w:ascii="Arial" w:eastAsia="Arial" w:hAnsi="Arial" w:cs="Arial"/>
          <w:sz w:val="24"/>
          <w:szCs w:val="24"/>
        </w:rPr>
        <w:lastRenderedPageBreak/>
        <w:t xml:space="preserve">A maioria dos estudos sobre calagem e </w:t>
      </w:r>
      <w:proofErr w:type="spellStart"/>
      <w:r w:rsidRPr="00C73898">
        <w:rPr>
          <w:rFonts w:ascii="Arial" w:eastAsia="Arial" w:hAnsi="Arial" w:cs="Arial"/>
          <w:sz w:val="24"/>
          <w:szCs w:val="24"/>
        </w:rPr>
        <w:t>gessagem</w:t>
      </w:r>
      <w:proofErr w:type="spellEnd"/>
      <w:r w:rsidRPr="00C73898">
        <w:rPr>
          <w:rFonts w:ascii="Arial" w:eastAsia="Arial" w:hAnsi="Arial" w:cs="Arial"/>
          <w:sz w:val="24"/>
          <w:szCs w:val="24"/>
        </w:rPr>
        <w:t xml:space="preserve"> foca apenas nas camadas superficiais e em solos rasos, havendo pouca informação sobre pastagens estabelecidas sem incorporação de corretivos e sobre seus efeitos na sazonalidade da forragem. Além disso, os impactos do calcário e do gesso em camadas mais profundas requerem avaliações de longo prazo, superiores a três anos (RAIJ, 2011).</w:t>
      </w:r>
    </w:p>
    <w:p w:rsidR="00257ECD" w:rsidRDefault="00FD4D29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OBJETIVOS</w:t>
      </w:r>
    </w:p>
    <w:p w:rsidR="00257ECD" w:rsidRDefault="00F149E6" w:rsidP="001A71BC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</w:t>
      </w:r>
      <w:r w:rsidR="001A71BC" w:rsidRPr="001A71BC">
        <w:rPr>
          <w:rFonts w:ascii="Arial" w:hAnsi="Arial" w:cs="Arial"/>
          <w:sz w:val="24"/>
        </w:rPr>
        <w:t>Estudar o acúmulo de forragem e perfilhamento do capim Marandu após a correção da fertilidade do solo com gesso, calcário e adubação em cobertura com NPK</w:t>
      </w:r>
      <w:r w:rsidR="001A71BC">
        <w:rPr>
          <w:rFonts w:ascii="Arial" w:hAnsi="Arial" w:cs="Arial"/>
          <w:sz w:val="24"/>
        </w:rPr>
        <w:t>.</w:t>
      </w:r>
    </w:p>
    <w:p w:rsidR="00416B50" w:rsidRDefault="001A71BC" w:rsidP="00F149E6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Estudar o potencial da gessagem e outras estratégias da correção da fertilidade do solo sobre a sazonalidade de produção de forragem pelo capim </w:t>
      </w:r>
      <w:proofErr w:type="spellStart"/>
      <w:r>
        <w:rPr>
          <w:rFonts w:ascii="Arial" w:eastAsia="Arial" w:hAnsi="Arial" w:cs="Arial"/>
          <w:sz w:val="24"/>
          <w:szCs w:val="24"/>
        </w:rPr>
        <w:t>Marandu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257ECD" w:rsidRDefault="00FD4D29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METODOLOGIA</w:t>
      </w:r>
    </w:p>
    <w:p w:rsidR="00B761FD" w:rsidRDefault="00B761FD">
      <w:pPr>
        <w:spacing w:after="0" w:line="360" w:lineRule="auto"/>
        <w:ind w:firstLine="709"/>
        <w:jc w:val="both"/>
        <w:rPr>
          <w:rFonts w:ascii="Arial" w:eastAsia="Arial" w:hAnsi="Arial" w:cs="Arial"/>
          <w:sz w:val="28"/>
          <w:szCs w:val="24"/>
        </w:rPr>
      </w:pPr>
      <w:r w:rsidRPr="00B761FD">
        <w:rPr>
          <w:rFonts w:ascii="Arial" w:hAnsi="Arial" w:cs="Arial"/>
          <w:sz w:val="24"/>
        </w:rPr>
        <w:t>Este estudo faz parte de um projeto de longa duração, iniciado</w:t>
      </w:r>
      <w:r w:rsidR="001C4571">
        <w:rPr>
          <w:rFonts w:ascii="Arial" w:hAnsi="Arial" w:cs="Arial"/>
          <w:sz w:val="24"/>
        </w:rPr>
        <w:t xml:space="preserve"> em outubro</w:t>
      </w:r>
      <w:r w:rsidR="00A45F13">
        <w:rPr>
          <w:rFonts w:ascii="Arial" w:hAnsi="Arial" w:cs="Arial"/>
          <w:sz w:val="24"/>
        </w:rPr>
        <w:t xml:space="preserve"> de 2021 e compreendeu</w:t>
      </w:r>
      <w:r w:rsidRPr="00B761FD">
        <w:rPr>
          <w:rFonts w:ascii="Arial" w:hAnsi="Arial" w:cs="Arial"/>
          <w:sz w:val="24"/>
        </w:rPr>
        <w:t xml:space="preserve"> o ano agrícola 2024/2025. O experimento foi </w:t>
      </w:r>
      <w:r w:rsidR="004348C4">
        <w:rPr>
          <w:rFonts w:ascii="Arial" w:hAnsi="Arial" w:cs="Arial"/>
          <w:sz w:val="24"/>
        </w:rPr>
        <w:t>realizado</w:t>
      </w:r>
      <w:r w:rsidRPr="00B761FD">
        <w:rPr>
          <w:rFonts w:ascii="Arial" w:hAnsi="Arial" w:cs="Arial"/>
          <w:sz w:val="24"/>
        </w:rPr>
        <w:t xml:space="preserve"> na fazenda Agropastoril Frutins, TO-222, Km 12, município de Araguaína – TO, com as seguintes coordenadas geográficas: latitude 7° 17’32.23” S, longitude 48° 7’21.35” O e altitude de 259 m. O clima da região, segundo a classificação de </w:t>
      </w:r>
      <w:proofErr w:type="spellStart"/>
      <w:r w:rsidRPr="00B761FD">
        <w:rPr>
          <w:rFonts w:ascii="Arial" w:hAnsi="Arial" w:cs="Arial"/>
          <w:sz w:val="24"/>
        </w:rPr>
        <w:t>Köppen</w:t>
      </w:r>
      <w:proofErr w:type="spellEnd"/>
      <w:r w:rsidRPr="00B761FD">
        <w:rPr>
          <w:rFonts w:ascii="Arial" w:hAnsi="Arial" w:cs="Arial"/>
          <w:sz w:val="24"/>
        </w:rPr>
        <w:t>, é AW – Tropical de verão úmido</w:t>
      </w:r>
      <w:r w:rsidR="00355F32">
        <w:rPr>
          <w:rFonts w:ascii="Arial" w:hAnsi="Arial" w:cs="Arial"/>
          <w:sz w:val="24"/>
        </w:rPr>
        <w:t>, e</w:t>
      </w:r>
      <w:r w:rsidR="004348C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com </w:t>
      </w:r>
      <w:r w:rsidRPr="00B761FD">
        <w:rPr>
          <w:rFonts w:ascii="Arial" w:hAnsi="Arial" w:cs="Arial"/>
          <w:sz w:val="24"/>
        </w:rPr>
        <w:t xml:space="preserve">precipitação anual de 1.828 mm. O solo da área é um Latossolo Vermelho Amarelo, de textura média e profundidade média de 2,3 m (EMBRAPA, 2013). A forrageira estabelecida na área foi o capim </w:t>
      </w:r>
      <w:proofErr w:type="spellStart"/>
      <w:r w:rsidRPr="00B761FD">
        <w:rPr>
          <w:rFonts w:ascii="Arial" w:hAnsi="Arial" w:cs="Arial"/>
          <w:sz w:val="24"/>
        </w:rPr>
        <w:t>Marandu</w:t>
      </w:r>
      <w:proofErr w:type="spellEnd"/>
      <w:r w:rsidRPr="00B761FD">
        <w:rPr>
          <w:rFonts w:ascii="Arial" w:hAnsi="Arial" w:cs="Arial"/>
          <w:sz w:val="24"/>
        </w:rPr>
        <w:t xml:space="preserve"> (</w:t>
      </w:r>
      <w:proofErr w:type="spellStart"/>
      <w:r w:rsidRPr="00B761FD">
        <w:rPr>
          <w:rFonts w:ascii="Arial" w:hAnsi="Arial" w:cs="Arial"/>
          <w:i/>
          <w:sz w:val="24"/>
        </w:rPr>
        <w:t>Urochloa</w:t>
      </w:r>
      <w:proofErr w:type="spellEnd"/>
      <w:r w:rsidRPr="00B761FD">
        <w:rPr>
          <w:rFonts w:ascii="Arial" w:hAnsi="Arial" w:cs="Arial"/>
          <w:i/>
          <w:sz w:val="24"/>
        </w:rPr>
        <w:t xml:space="preserve"> </w:t>
      </w:r>
      <w:proofErr w:type="spellStart"/>
      <w:r w:rsidRPr="00B761FD">
        <w:rPr>
          <w:rFonts w:ascii="Arial" w:hAnsi="Arial" w:cs="Arial"/>
          <w:i/>
          <w:sz w:val="24"/>
        </w:rPr>
        <w:t>brizantha</w:t>
      </w:r>
      <w:proofErr w:type="spellEnd"/>
      <w:r w:rsidRPr="00B761FD">
        <w:rPr>
          <w:rFonts w:ascii="Arial" w:hAnsi="Arial" w:cs="Arial"/>
          <w:sz w:val="24"/>
        </w:rPr>
        <w:t xml:space="preserve"> cv. Marandu), implantada no ano de 2016</w:t>
      </w:r>
      <w:r>
        <w:rPr>
          <w:rFonts w:ascii="Arial" w:eastAsia="Arial" w:hAnsi="Arial" w:cs="Arial"/>
          <w:sz w:val="28"/>
          <w:szCs w:val="24"/>
        </w:rPr>
        <w:t>.</w:t>
      </w:r>
    </w:p>
    <w:p w:rsidR="00055212" w:rsidRDefault="00B761FD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B761FD">
        <w:rPr>
          <w:rFonts w:ascii="Arial" w:hAnsi="Arial" w:cs="Arial"/>
          <w:sz w:val="24"/>
        </w:rPr>
        <w:t xml:space="preserve">O experimento </w:t>
      </w:r>
      <w:r w:rsidR="004348C4">
        <w:rPr>
          <w:rFonts w:ascii="Arial" w:hAnsi="Arial" w:cs="Arial"/>
          <w:sz w:val="24"/>
        </w:rPr>
        <w:t xml:space="preserve">foi </w:t>
      </w:r>
      <w:r w:rsidRPr="00B761FD">
        <w:rPr>
          <w:rFonts w:ascii="Arial" w:hAnsi="Arial" w:cs="Arial"/>
          <w:sz w:val="24"/>
        </w:rPr>
        <w:t>conduzido em parcelas de 30 m</w:t>
      </w:r>
      <w:r w:rsidRPr="00B761FD">
        <w:rPr>
          <w:rFonts w:ascii="Arial" w:hAnsi="Arial" w:cs="Arial"/>
          <w:sz w:val="24"/>
          <w:vertAlign w:val="superscript"/>
        </w:rPr>
        <w:t>2</w:t>
      </w:r>
      <w:r w:rsidRPr="00B761FD">
        <w:rPr>
          <w:rFonts w:ascii="Arial" w:hAnsi="Arial" w:cs="Arial"/>
          <w:sz w:val="24"/>
        </w:rPr>
        <w:t xml:space="preserve"> (5 </w:t>
      </w:r>
      <w:r>
        <w:rPr>
          <w:rFonts w:ascii="Arial" w:hAnsi="Arial" w:cs="Arial"/>
          <w:sz w:val="24"/>
        </w:rPr>
        <w:t xml:space="preserve">m </w:t>
      </w:r>
      <w:r w:rsidRPr="00B761FD">
        <w:rPr>
          <w:rFonts w:ascii="Arial" w:hAnsi="Arial" w:cs="Arial"/>
          <w:sz w:val="24"/>
        </w:rPr>
        <w:t>x 6 m), em um delineamento em blocos casualizados – DBC, com quatro repetições. S</w:t>
      </w:r>
      <w:r>
        <w:rPr>
          <w:rFonts w:ascii="Arial" w:hAnsi="Arial" w:cs="Arial"/>
          <w:sz w:val="24"/>
        </w:rPr>
        <w:t xml:space="preserve">ão sete tratamentos, </w:t>
      </w:r>
      <w:r w:rsidRPr="00B761FD">
        <w:rPr>
          <w:rFonts w:ascii="Arial" w:hAnsi="Arial" w:cs="Arial"/>
          <w:sz w:val="24"/>
        </w:rPr>
        <w:t>totaliza</w:t>
      </w:r>
      <w:r>
        <w:rPr>
          <w:rFonts w:ascii="Arial" w:hAnsi="Arial" w:cs="Arial"/>
          <w:sz w:val="24"/>
        </w:rPr>
        <w:t>n</w:t>
      </w:r>
      <w:r w:rsidRPr="00B761FD">
        <w:rPr>
          <w:rFonts w:ascii="Arial" w:hAnsi="Arial" w:cs="Arial"/>
          <w:sz w:val="24"/>
        </w:rPr>
        <w:t>do 28 parcelas.</w:t>
      </w:r>
      <w:r w:rsidR="00055212">
        <w:rPr>
          <w:rFonts w:ascii="Arial" w:hAnsi="Arial" w:cs="Arial"/>
          <w:sz w:val="24"/>
        </w:rPr>
        <w:t xml:space="preserve"> </w:t>
      </w:r>
      <w:r w:rsidR="00055212" w:rsidRPr="00055212">
        <w:rPr>
          <w:rFonts w:ascii="Arial" w:hAnsi="Arial" w:cs="Arial"/>
          <w:sz w:val="24"/>
        </w:rPr>
        <w:t>Os tratamentos foram constituídos de uma testemunha, sem correção do solo ou adubação (tratamento 1), adubação com NPK (tra</w:t>
      </w:r>
      <w:r w:rsidR="00055212">
        <w:rPr>
          <w:rFonts w:ascii="Arial" w:hAnsi="Arial" w:cs="Arial"/>
          <w:sz w:val="24"/>
        </w:rPr>
        <w:t xml:space="preserve">tamento </w:t>
      </w:r>
      <w:r w:rsidR="00055212" w:rsidRPr="00055212">
        <w:rPr>
          <w:rFonts w:ascii="Arial" w:hAnsi="Arial" w:cs="Arial"/>
          <w:sz w:val="24"/>
        </w:rPr>
        <w:t xml:space="preserve">2), adubação com NPK mais calagem (tratamento 3) e </w:t>
      </w:r>
      <w:r w:rsidR="000062C9" w:rsidRPr="000062C9">
        <w:rPr>
          <w:rFonts w:ascii="Arial" w:hAnsi="Arial" w:cs="Arial"/>
          <w:sz w:val="24"/>
        </w:rPr>
        <w:t xml:space="preserve">NPK com calagem </w:t>
      </w:r>
      <w:r w:rsidR="000062C9" w:rsidRPr="000062C9">
        <w:rPr>
          <w:rFonts w:ascii="Arial" w:hAnsi="Arial" w:cs="Arial"/>
          <w:sz w:val="24"/>
        </w:rPr>
        <w:lastRenderedPageBreak/>
        <w:t>associada a quatro doses de gesso (200, 750, 1500 e 2250 kg ha</w:t>
      </w:r>
      <w:r w:rsidR="000062C9" w:rsidRPr="000062C9">
        <w:rPr>
          <w:rFonts w:ascii="Cambria Math" w:hAnsi="Cambria Math" w:cs="Cambria Math"/>
          <w:sz w:val="24"/>
        </w:rPr>
        <w:t>⁻</w:t>
      </w:r>
      <w:r w:rsidR="000062C9" w:rsidRPr="000062C9">
        <w:rPr>
          <w:rFonts w:ascii="Arial" w:hAnsi="Arial" w:cs="Arial"/>
          <w:sz w:val="24"/>
        </w:rPr>
        <w:t>¹), correspondendo respectivamente a 30 kg ha</w:t>
      </w:r>
      <w:r w:rsidR="000062C9" w:rsidRPr="000062C9">
        <w:rPr>
          <w:rFonts w:ascii="Cambria Math" w:hAnsi="Cambria Math" w:cs="Cambria Math"/>
          <w:sz w:val="24"/>
        </w:rPr>
        <w:t>⁻</w:t>
      </w:r>
      <w:r w:rsidR="000062C9" w:rsidRPr="000062C9">
        <w:rPr>
          <w:rFonts w:ascii="Arial" w:hAnsi="Arial" w:cs="Arial"/>
          <w:sz w:val="24"/>
        </w:rPr>
        <w:t>¹ de enxofre e a 25%, 50% e 75% da dose de calcário.</w:t>
      </w:r>
      <w:r w:rsidR="000062C9" w:rsidRPr="00055212">
        <w:rPr>
          <w:rFonts w:ascii="Arial" w:hAnsi="Arial" w:cs="Arial"/>
          <w:sz w:val="24"/>
        </w:rPr>
        <w:t xml:space="preserve"> </w:t>
      </w:r>
      <w:r w:rsidR="00055212" w:rsidRPr="00055212">
        <w:rPr>
          <w:rFonts w:ascii="Arial" w:hAnsi="Arial" w:cs="Arial"/>
          <w:sz w:val="24"/>
        </w:rPr>
        <w:t xml:space="preserve">O calcário </w:t>
      </w:r>
      <w:r w:rsidR="00355F32">
        <w:rPr>
          <w:rFonts w:ascii="Arial" w:hAnsi="Arial" w:cs="Arial"/>
          <w:sz w:val="24"/>
        </w:rPr>
        <w:t>(</w:t>
      </w:r>
      <w:proofErr w:type="spellStart"/>
      <w:r w:rsidR="00355F32">
        <w:rPr>
          <w:rFonts w:ascii="Arial" w:hAnsi="Arial" w:cs="Arial"/>
          <w:sz w:val="24"/>
        </w:rPr>
        <w:t>dolomítico</w:t>
      </w:r>
      <w:proofErr w:type="spellEnd"/>
      <w:r w:rsidR="00355F32">
        <w:rPr>
          <w:rFonts w:ascii="Arial" w:hAnsi="Arial" w:cs="Arial"/>
          <w:sz w:val="24"/>
        </w:rPr>
        <w:t xml:space="preserve">, PRNT de 85%) </w:t>
      </w:r>
      <w:r w:rsidR="00055212" w:rsidRPr="00055212">
        <w:rPr>
          <w:rFonts w:ascii="Arial" w:hAnsi="Arial" w:cs="Arial"/>
          <w:sz w:val="24"/>
        </w:rPr>
        <w:t xml:space="preserve">e o gesso </w:t>
      </w:r>
      <w:r w:rsidR="00355F32">
        <w:rPr>
          <w:rFonts w:ascii="Arial" w:hAnsi="Arial" w:cs="Arial"/>
          <w:sz w:val="24"/>
        </w:rPr>
        <w:t xml:space="preserve">(gipsita) </w:t>
      </w:r>
      <w:r w:rsidR="00055212" w:rsidRPr="00055212">
        <w:rPr>
          <w:rFonts w:ascii="Arial" w:hAnsi="Arial" w:cs="Arial"/>
          <w:sz w:val="24"/>
        </w:rPr>
        <w:t xml:space="preserve">foram aplicados uma única vez, </w:t>
      </w:r>
      <w:r w:rsidR="00055212">
        <w:rPr>
          <w:rFonts w:ascii="Arial" w:hAnsi="Arial" w:cs="Arial"/>
          <w:sz w:val="24"/>
        </w:rPr>
        <w:t xml:space="preserve">em </w:t>
      </w:r>
      <w:r w:rsidR="00055212" w:rsidRPr="00055212">
        <w:rPr>
          <w:rFonts w:ascii="Arial" w:hAnsi="Arial" w:cs="Arial"/>
          <w:sz w:val="24"/>
        </w:rPr>
        <w:t xml:space="preserve">outubro </w:t>
      </w:r>
      <w:r w:rsidR="00055212">
        <w:rPr>
          <w:rFonts w:ascii="Arial" w:hAnsi="Arial" w:cs="Arial"/>
          <w:sz w:val="24"/>
        </w:rPr>
        <w:t>de 2021</w:t>
      </w:r>
      <w:r w:rsidR="00055212" w:rsidRPr="00055212">
        <w:rPr>
          <w:rFonts w:ascii="Arial" w:hAnsi="Arial" w:cs="Arial"/>
          <w:sz w:val="24"/>
        </w:rPr>
        <w:t>, a lanço e individualmente em cada parcela experimental.</w:t>
      </w:r>
      <w:r w:rsidR="000062C9">
        <w:rPr>
          <w:rFonts w:ascii="Arial" w:hAnsi="Arial" w:cs="Arial"/>
          <w:sz w:val="24"/>
        </w:rPr>
        <w:t xml:space="preserve">    </w:t>
      </w:r>
    </w:p>
    <w:p w:rsidR="00055212" w:rsidRDefault="00055212" w:rsidP="000675B3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055212">
        <w:rPr>
          <w:rFonts w:ascii="Arial" w:hAnsi="Arial" w:cs="Arial"/>
          <w:sz w:val="24"/>
        </w:rPr>
        <w:t xml:space="preserve">A adubação em cobertura NPK </w:t>
      </w:r>
      <w:r w:rsidR="007D03C0">
        <w:rPr>
          <w:rFonts w:ascii="Arial" w:hAnsi="Arial" w:cs="Arial"/>
          <w:sz w:val="24"/>
        </w:rPr>
        <w:t>utilizada foi</w:t>
      </w:r>
      <w:r w:rsidR="004348C4">
        <w:rPr>
          <w:rFonts w:ascii="Arial" w:hAnsi="Arial" w:cs="Arial"/>
          <w:sz w:val="24"/>
        </w:rPr>
        <w:t xml:space="preserve"> de</w:t>
      </w:r>
      <w:r w:rsidRPr="00055212">
        <w:rPr>
          <w:rFonts w:ascii="Arial" w:hAnsi="Arial" w:cs="Arial"/>
          <w:sz w:val="24"/>
        </w:rPr>
        <w:t xml:space="preserve"> 100 kg ha</w:t>
      </w:r>
      <w:r w:rsidRPr="00055212">
        <w:rPr>
          <w:rFonts w:ascii="Arial" w:hAnsi="Arial" w:cs="Arial"/>
          <w:sz w:val="24"/>
          <w:vertAlign w:val="superscript"/>
        </w:rPr>
        <w:t>-1</w:t>
      </w:r>
      <w:r w:rsidRPr="00055212">
        <w:rPr>
          <w:rFonts w:ascii="Arial" w:hAnsi="Arial" w:cs="Arial"/>
          <w:sz w:val="24"/>
        </w:rPr>
        <w:t xml:space="preserve"> de N, 50 kg ha</w:t>
      </w:r>
      <w:r w:rsidRPr="00055212">
        <w:rPr>
          <w:rFonts w:ascii="Arial" w:hAnsi="Arial" w:cs="Arial"/>
          <w:sz w:val="24"/>
          <w:vertAlign w:val="superscript"/>
        </w:rPr>
        <w:t>-1</w:t>
      </w:r>
      <w:r w:rsidRPr="00055212">
        <w:rPr>
          <w:rFonts w:ascii="Arial" w:hAnsi="Arial" w:cs="Arial"/>
          <w:sz w:val="24"/>
        </w:rPr>
        <w:t xml:space="preserve"> de P</w:t>
      </w:r>
      <w:r w:rsidRPr="00055212">
        <w:rPr>
          <w:rFonts w:ascii="Arial" w:hAnsi="Arial" w:cs="Arial"/>
          <w:sz w:val="24"/>
          <w:vertAlign w:val="subscript"/>
        </w:rPr>
        <w:t>2</w:t>
      </w:r>
      <w:r w:rsidRPr="00055212">
        <w:rPr>
          <w:rFonts w:ascii="Arial" w:hAnsi="Arial" w:cs="Arial"/>
          <w:sz w:val="24"/>
        </w:rPr>
        <w:t>O</w:t>
      </w:r>
      <w:r w:rsidRPr="00055212">
        <w:rPr>
          <w:rFonts w:ascii="Arial" w:hAnsi="Arial" w:cs="Arial"/>
          <w:sz w:val="24"/>
          <w:vertAlign w:val="subscript"/>
        </w:rPr>
        <w:t>5</w:t>
      </w:r>
      <w:r w:rsidRPr="00055212">
        <w:rPr>
          <w:rFonts w:ascii="Arial" w:hAnsi="Arial" w:cs="Arial"/>
          <w:sz w:val="24"/>
        </w:rPr>
        <w:t xml:space="preserve"> e 100 kg ha</w:t>
      </w:r>
      <w:r w:rsidRPr="00055212">
        <w:rPr>
          <w:rFonts w:ascii="Arial" w:hAnsi="Arial" w:cs="Arial"/>
          <w:sz w:val="24"/>
          <w:vertAlign w:val="superscript"/>
        </w:rPr>
        <w:t>-1</w:t>
      </w:r>
      <w:r w:rsidRPr="00055212">
        <w:rPr>
          <w:rFonts w:ascii="Arial" w:hAnsi="Arial" w:cs="Arial"/>
          <w:sz w:val="24"/>
        </w:rPr>
        <w:t xml:space="preserve"> de K</w:t>
      </w:r>
      <w:r w:rsidRPr="00055212">
        <w:rPr>
          <w:rFonts w:ascii="Arial" w:hAnsi="Arial" w:cs="Arial"/>
          <w:sz w:val="24"/>
          <w:vertAlign w:val="subscript"/>
        </w:rPr>
        <w:t>2</w:t>
      </w:r>
      <w:r w:rsidRPr="00055212">
        <w:rPr>
          <w:rFonts w:ascii="Arial" w:hAnsi="Arial" w:cs="Arial"/>
          <w:sz w:val="24"/>
        </w:rPr>
        <w:t>O.</w:t>
      </w:r>
      <w:r w:rsidR="000675B3">
        <w:rPr>
          <w:rFonts w:ascii="Arial" w:hAnsi="Arial" w:cs="Arial"/>
          <w:sz w:val="24"/>
        </w:rPr>
        <w:t xml:space="preserve"> </w:t>
      </w:r>
      <w:r w:rsidR="000675B3" w:rsidRPr="000675B3">
        <w:rPr>
          <w:rFonts w:ascii="Arial" w:hAnsi="Arial" w:cs="Arial"/>
          <w:sz w:val="24"/>
        </w:rPr>
        <w:t>As fontes utilizadas foram a ureia (45% de N), superfosfato triplo (45% de P</w:t>
      </w:r>
      <w:r w:rsidR="000675B3" w:rsidRPr="000675B3">
        <w:rPr>
          <w:rFonts w:ascii="Arial" w:hAnsi="Arial" w:cs="Arial"/>
          <w:sz w:val="24"/>
          <w:vertAlign w:val="subscript"/>
        </w:rPr>
        <w:t>2</w:t>
      </w:r>
      <w:r w:rsidR="000675B3" w:rsidRPr="000675B3">
        <w:rPr>
          <w:rFonts w:ascii="Arial" w:hAnsi="Arial" w:cs="Arial"/>
          <w:sz w:val="24"/>
        </w:rPr>
        <w:t>O</w:t>
      </w:r>
      <w:r w:rsidR="000675B3" w:rsidRPr="000675B3">
        <w:rPr>
          <w:rFonts w:ascii="Arial" w:hAnsi="Arial" w:cs="Arial"/>
          <w:sz w:val="24"/>
          <w:vertAlign w:val="subscript"/>
        </w:rPr>
        <w:t>5</w:t>
      </w:r>
      <w:r w:rsidR="000675B3" w:rsidRPr="000675B3">
        <w:rPr>
          <w:rFonts w:ascii="Arial" w:hAnsi="Arial" w:cs="Arial"/>
          <w:sz w:val="24"/>
        </w:rPr>
        <w:t>) e cloreto de potássio (60% de K</w:t>
      </w:r>
      <w:r w:rsidR="000675B3" w:rsidRPr="000675B3">
        <w:rPr>
          <w:rFonts w:ascii="Arial" w:hAnsi="Arial" w:cs="Arial"/>
          <w:sz w:val="24"/>
          <w:vertAlign w:val="subscript"/>
        </w:rPr>
        <w:t>2</w:t>
      </w:r>
      <w:r w:rsidR="000675B3" w:rsidRPr="000675B3">
        <w:rPr>
          <w:rFonts w:ascii="Arial" w:hAnsi="Arial" w:cs="Arial"/>
          <w:sz w:val="24"/>
        </w:rPr>
        <w:t xml:space="preserve">O). </w:t>
      </w:r>
      <w:r w:rsidR="000F6123">
        <w:rPr>
          <w:rFonts w:ascii="Arial" w:hAnsi="Arial" w:cs="Arial"/>
          <w:sz w:val="24"/>
        </w:rPr>
        <w:t xml:space="preserve">A adubação com </w:t>
      </w:r>
      <w:r w:rsidR="000062C9">
        <w:rPr>
          <w:rFonts w:ascii="Arial" w:hAnsi="Arial" w:cs="Arial"/>
          <w:sz w:val="24"/>
        </w:rPr>
        <w:t>fósforo foi aplicada</w:t>
      </w:r>
      <w:r w:rsidR="000F6123" w:rsidRPr="000F6123">
        <w:rPr>
          <w:rFonts w:ascii="Arial" w:hAnsi="Arial" w:cs="Arial"/>
          <w:sz w:val="24"/>
        </w:rPr>
        <w:t xml:space="preserve"> uma única vez no início da estaçã</w:t>
      </w:r>
      <w:r w:rsidR="000F6123">
        <w:rPr>
          <w:rFonts w:ascii="Arial" w:hAnsi="Arial" w:cs="Arial"/>
          <w:sz w:val="24"/>
        </w:rPr>
        <w:t>o chuvosa (novembro), enquanto a adubação com</w:t>
      </w:r>
      <w:r w:rsidR="000F6123" w:rsidRPr="000F6123">
        <w:rPr>
          <w:rFonts w:ascii="Arial" w:hAnsi="Arial" w:cs="Arial"/>
          <w:sz w:val="24"/>
        </w:rPr>
        <w:t xml:space="preserve"> nitrogênio e o potássio foram aplicados em duas parcelas: uma junto com o fósforo e outra em meados do período chuvoso (fevereiro).</w:t>
      </w:r>
    </w:p>
    <w:p w:rsidR="000675B3" w:rsidRDefault="000062C9" w:rsidP="000675B3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0062C9">
        <w:rPr>
          <w:rFonts w:ascii="Arial" w:hAnsi="Arial" w:cs="Arial"/>
          <w:sz w:val="24"/>
        </w:rPr>
        <w:t>O corte foi realizado quando a méd</w:t>
      </w:r>
      <w:r>
        <w:rPr>
          <w:rFonts w:ascii="Arial" w:hAnsi="Arial" w:cs="Arial"/>
          <w:sz w:val="24"/>
        </w:rPr>
        <w:t>ia de um dos tratamentos atingisse</w:t>
      </w:r>
      <w:r w:rsidRPr="000062C9">
        <w:rPr>
          <w:rFonts w:ascii="Arial" w:hAnsi="Arial" w:cs="Arial"/>
          <w:sz w:val="24"/>
        </w:rPr>
        <w:t xml:space="preserve"> 0,40 m de altura, momento em que todos os tratamentos foram medidos e coletados.</w:t>
      </w:r>
      <w:r>
        <w:rPr>
          <w:rFonts w:ascii="Arial" w:hAnsi="Arial" w:cs="Arial"/>
          <w:sz w:val="24"/>
        </w:rPr>
        <w:t xml:space="preserve"> </w:t>
      </w:r>
      <w:r w:rsidR="00F149E6" w:rsidRPr="00F149E6">
        <w:rPr>
          <w:rFonts w:ascii="Arial" w:hAnsi="Arial" w:cs="Arial"/>
          <w:sz w:val="24"/>
        </w:rPr>
        <w:t xml:space="preserve">A altura da forragem foi medida em cinco pontos por parcela com bastão graduado. A coleta foi feita </w:t>
      </w:r>
      <w:r w:rsidR="00F149E6">
        <w:rPr>
          <w:rFonts w:ascii="Arial" w:hAnsi="Arial" w:cs="Arial"/>
          <w:sz w:val="24"/>
        </w:rPr>
        <w:t>utilizando uma moldura com</w:t>
      </w:r>
      <w:r w:rsidR="00F149E6" w:rsidRPr="00F149E6">
        <w:rPr>
          <w:rFonts w:ascii="Arial" w:hAnsi="Arial" w:cs="Arial"/>
          <w:sz w:val="24"/>
        </w:rPr>
        <w:t xml:space="preserve"> área de 0,5 m², cortando a </w:t>
      </w:r>
      <w:r w:rsidR="00F149E6">
        <w:rPr>
          <w:rFonts w:ascii="Arial" w:hAnsi="Arial" w:cs="Arial"/>
          <w:sz w:val="24"/>
        </w:rPr>
        <w:t>0,20 m do solo</w:t>
      </w:r>
      <w:r w:rsidR="00EC5E3C">
        <w:rPr>
          <w:rFonts w:ascii="Arial" w:hAnsi="Arial" w:cs="Arial"/>
          <w:sz w:val="24"/>
        </w:rPr>
        <w:t xml:space="preserve">. </w:t>
      </w:r>
      <w:r w:rsidR="000675B3" w:rsidRPr="000675B3">
        <w:rPr>
          <w:rFonts w:ascii="Arial" w:hAnsi="Arial" w:cs="Arial"/>
          <w:sz w:val="24"/>
        </w:rPr>
        <w:t xml:space="preserve">Em seguida, essa forragem foi pesada e retirada uma </w:t>
      </w:r>
      <w:proofErr w:type="spellStart"/>
      <w:r w:rsidR="000675B3" w:rsidRPr="000675B3">
        <w:rPr>
          <w:rFonts w:ascii="Arial" w:hAnsi="Arial" w:cs="Arial"/>
          <w:sz w:val="24"/>
        </w:rPr>
        <w:t>subamostra</w:t>
      </w:r>
      <w:proofErr w:type="spellEnd"/>
      <w:r w:rsidR="000675B3" w:rsidRPr="000675B3">
        <w:rPr>
          <w:rFonts w:ascii="Arial" w:hAnsi="Arial" w:cs="Arial"/>
          <w:sz w:val="24"/>
        </w:rPr>
        <w:t xml:space="preserve"> (</w:t>
      </w:r>
      <w:r w:rsidR="007D03C0">
        <w:rPr>
          <w:rFonts w:ascii="Arial" w:hAnsi="Arial" w:cs="Arial"/>
          <w:sz w:val="24"/>
        </w:rPr>
        <w:t>30</w:t>
      </w:r>
      <w:r w:rsidR="000675B3" w:rsidRPr="000675B3">
        <w:rPr>
          <w:rFonts w:ascii="Arial" w:hAnsi="Arial" w:cs="Arial"/>
          <w:sz w:val="24"/>
        </w:rPr>
        <w:t xml:space="preserve">0 g), acondicionada em estufa de ventilação forçada a 55 </w:t>
      </w:r>
      <w:proofErr w:type="spellStart"/>
      <w:r w:rsidR="000675B3" w:rsidRPr="000675B3">
        <w:rPr>
          <w:rFonts w:ascii="Arial" w:hAnsi="Arial" w:cs="Arial"/>
          <w:sz w:val="24"/>
        </w:rPr>
        <w:t>ºC</w:t>
      </w:r>
      <w:proofErr w:type="spellEnd"/>
      <w:r w:rsidR="000675B3" w:rsidRPr="000675B3">
        <w:rPr>
          <w:rFonts w:ascii="Arial" w:hAnsi="Arial" w:cs="Arial"/>
          <w:sz w:val="24"/>
        </w:rPr>
        <w:t>, por 72 horas, para determinação de massa seca. A densidade populacional de perfilhos foi avaliada com auxílio de u</w:t>
      </w:r>
      <w:r w:rsidR="007D03C0">
        <w:rPr>
          <w:rFonts w:ascii="Arial" w:hAnsi="Arial" w:cs="Arial"/>
          <w:sz w:val="24"/>
        </w:rPr>
        <w:t xml:space="preserve">ma moldura retangular de 0,15 x </w:t>
      </w:r>
      <w:r w:rsidR="000675B3" w:rsidRPr="000675B3">
        <w:rPr>
          <w:rFonts w:ascii="Arial" w:hAnsi="Arial" w:cs="Arial"/>
          <w:sz w:val="24"/>
        </w:rPr>
        <w:t>1,5 m (0,225 m</w:t>
      </w:r>
      <w:r w:rsidR="000675B3" w:rsidRPr="000675B3">
        <w:rPr>
          <w:rFonts w:ascii="Arial" w:hAnsi="Arial" w:cs="Arial"/>
          <w:sz w:val="24"/>
          <w:vertAlign w:val="superscript"/>
        </w:rPr>
        <w:t>2</w:t>
      </w:r>
      <w:r w:rsidR="000675B3" w:rsidRPr="000675B3">
        <w:rPr>
          <w:rFonts w:ascii="Arial" w:hAnsi="Arial" w:cs="Arial"/>
          <w:sz w:val="24"/>
        </w:rPr>
        <w:t>) na área representativa da parcela.</w:t>
      </w:r>
    </w:p>
    <w:p w:rsidR="00257ECD" w:rsidRPr="009145DB" w:rsidRDefault="000675B3" w:rsidP="00F149E6">
      <w:pPr>
        <w:pStyle w:val="Corpodetexto"/>
        <w:spacing w:line="300" w:lineRule="auto"/>
        <w:ind w:right="-2" w:firstLine="709"/>
        <w:jc w:val="both"/>
        <w:rPr>
          <w:rFonts w:ascii="Arial" w:hAnsi="Arial" w:cs="Arial"/>
          <w:sz w:val="24"/>
        </w:rPr>
      </w:pPr>
      <w:r w:rsidRPr="000675B3">
        <w:rPr>
          <w:rFonts w:ascii="Arial" w:hAnsi="Arial" w:cs="Arial"/>
          <w:sz w:val="24"/>
        </w:rPr>
        <w:t xml:space="preserve">Os dados </w:t>
      </w:r>
      <w:r w:rsidR="00CA3FF5">
        <w:rPr>
          <w:rFonts w:ascii="Arial" w:hAnsi="Arial" w:cs="Arial"/>
          <w:sz w:val="24"/>
        </w:rPr>
        <w:t>foram</w:t>
      </w:r>
      <w:r w:rsidRPr="000675B3">
        <w:rPr>
          <w:rFonts w:ascii="Arial" w:hAnsi="Arial" w:cs="Arial"/>
          <w:sz w:val="24"/>
        </w:rPr>
        <w:t xml:space="preserve"> submetidos ao teste de normalidade dos resíduos e homogeneidade das variâncias, </w:t>
      </w:r>
      <w:r w:rsidR="00CA3FF5">
        <w:rPr>
          <w:rFonts w:ascii="Arial" w:hAnsi="Arial" w:cs="Arial"/>
          <w:sz w:val="24"/>
        </w:rPr>
        <w:t xml:space="preserve">feito </w:t>
      </w:r>
      <w:r w:rsidRPr="000675B3">
        <w:rPr>
          <w:rFonts w:ascii="Arial" w:hAnsi="Arial" w:cs="Arial"/>
          <w:sz w:val="24"/>
        </w:rPr>
        <w:t xml:space="preserve">análise de variância, teste de média (t de </w:t>
      </w:r>
      <w:proofErr w:type="spellStart"/>
      <w:r w:rsidRPr="000675B3">
        <w:rPr>
          <w:rFonts w:ascii="Arial" w:hAnsi="Arial" w:cs="Arial"/>
          <w:sz w:val="24"/>
        </w:rPr>
        <w:t>Student</w:t>
      </w:r>
      <w:proofErr w:type="spellEnd"/>
      <w:r w:rsidRPr="000675B3">
        <w:rPr>
          <w:rFonts w:ascii="Arial" w:hAnsi="Arial" w:cs="Arial"/>
          <w:sz w:val="24"/>
        </w:rPr>
        <w:t>) e regressão, sendo que o teste de regressão será aplicado apenas para os tratamentos que receberam calcário e gesso.</w:t>
      </w:r>
      <w:r w:rsidR="00FD4D29">
        <w:rPr>
          <w:rFonts w:ascii="Arial" w:eastAsia="Arial" w:hAnsi="Arial" w:cs="Arial"/>
          <w:sz w:val="20"/>
          <w:szCs w:val="20"/>
        </w:rPr>
        <w:t xml:space="preserve">         </w:t>
      </w:r>
      <w:r w:rsidR="00416B50">
        <w:rPr>
          <w:rFonts w:ascii="Arial" w:eastAsia="Arial" w:hAnsi="Arial" w:cs="Arial"/>
          <w:sz w:val="20"/>
          <w:szCs w:val="20"/>
        </w:rPr>
        <w:t xml:space="preserve">                               </w:t>
      </w:r>
    </w:p>
    <w:p w:rsidR="00257ECD" w:rsidRDefault="00FD4D29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RESULTADOS E DISCUSSÃO</w:t>
      </w:r>
    </w:p>
    <w:p w:rsidR="00257ECD" w:rsidRDefault="00C504A2" w:rsidP="00C504A2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variável altura</w:t>
      </w:r>
      <w:r w:rsidRPr="00C504A2">
        <w:rPr>
          <w:rFonts w:ascii="Arial" w:eastAsia="Arial" w:hAnsi="Arial" w:cs="Arial"/>
          <w:sz w:val="24"/>
          <w:szCs w:val="24"/>
        </w:rPr>
        <w:t xml:space="preserve"> do dossel apresentou diferença entre a testemunha e </w:t>
      </w:r>
      <w:r w:rsidR="00353D02">
        <w:rPr>
          <w:rFonts w:ascii="Arial" w:eastAsia="Arial" w:hAnsi="Arial" w:cs="Arial"/>
          <w:sz w:val="24"/>
          <w:szCs w:val="24"/>
        </w:rPr>
        <w:t>os demais tratamentos</w:t>
      </w:r>
      <w:r w:rsidRPr="00C504A2">
        <w:rPr>
          <w:rFonts w:ascii="Arial" w:eastAsia="Arial" w:hAnsi="Arial" w:cs="Arial"/>
          <w:sz w:val="24"/>
          <w:szCs w:val="24"/>
        </w:rPr>
        <w:t xml:space="preserve">. </w:t>
      </w:r>
      <w:r w:rsidR="001C4571">
        <w:rPr>
          <w:rFonts w:ascii="Arial" w:eastAsia="Arial" w:hAnsi="Arial" w:cs="Arial"/>
          <w:sz w:val="24"/>
          <w:szCs w:val="24"/>
        </w:rPr>
        <w:t>A testemunha</w:t>
      </w:r>
      <w:r w:rsidRPr="00C504A2">
        <w:rPr>
          <w:rFonts w:ascii="Arial" w:eastAsia="Arial" w:hAnsi="Arial" w:cs="Arial"/>
          <w:sz w:val="24"/>
          <w:szCs w:val="24"/>
        </w:rPr>
        <w:t xml:space="preserve"> apresentou menor altura, sendo inferior aos demais tratamentos. Já para os tratamentos </w:t>
      </w:r>
      <w:r w:rsidR="001C4571">
        <w:rPr>
          <w:rFonts w:ascii="Arial" w:eastAsia="Arial" w:hAnsi="Arial" w:cs="Arial"/>
          <w:sz w:val="24"/>
          <w:szCs w:val="24"/>
        </w:rPr>
        <w:t xml:space="preserve">com melhoria da fertilidade do solo, </w:t>
      </w:r>
      <w:r w:rsidRPr="00C504A2">
        <w:rPr>
          <w:rFonts w:ascii="Arial" w:eastAsia="Arial" w:hAnsi="Arial" w:cs="Arial"/>
          <w:sz w:val="24"/>
          <w:szCs w:val="24"/>
        </w:rPr>
        <w:t>alcançaram valores superiores, porém não havendo diferença significativa entre elas.</w:t>
      </w:r>
    </w:p>
    <w:p w:rsidR="00467128" w:rsidRDefault="00467128" w:rsidP="003868A7">
      <w:pPr>
        <w:spacing w:after="0" w:line="360" w:lineRule="auto"/>
        <w:ind w:firstLine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589951C8" wp14:editId="0CE34472">
            <wp:simplePos x="0" y="0"/>
            <wp:positionH relativeFrom="column">
              <wp:posOffset>3145155</wp:posOffset>
            </wp:positionH>
            <wp:positionV relativeFrom="paragraph">
              <wp:posOffset>8890</wp:posOffset>
            </wp:positionV>
            <wp:extent cx="2767330" cy="2492375"/>
            <wp:effectExtent l="0" t="0" r="0" b="3175"/>
            <wp:wrapTight wrapText="bothSides">
              <wp:wrapPolygon edited="0">
                <wp:start x="0" y="0"/>
                <wp:lineTo x="0" y="21462"/>
                <wp:lineTo x="21412" y="21462"/>
                <wp:lineTo x="21412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5-10-10 at 17.20.41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330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45C31A72" wp14:editId="68DA57F6">
            <wp:extent cx="2814427" cy="2553419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10-10 at 17.20.4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359" cy="259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8A7" w:rsidRDefault="003868A7" w:rsidP="003868A7">
      <w:pPr>
        <w:spacing w:after="0" w:line="360" w:lineRule="auto"/>
        <w:ind w:firstLine="1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837600" cy="2907102"/>
            <wp:effectExtent l="0" t="0" r="1270" b="762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5-10-10 at 17.20.42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667" cy="2939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4A2" w:rsidRDefault="00C504A2" w:rsidP="00C504A2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Já para a</w:t>
      </w:r>
      <w:r w:rsidRPr="00C504A2">
        <w:rPr>
          <w:rFonts w:ascii="Arial" w:eastAsia="Arial" w:hAnsi="Arial" w:cs="Arial"/>
          <w:sz w:val="24"/>
          <w:szCs w:val="24"/>
        </w:rPr>
        <w:t xml:space="preserve"> dens</w:t>
      </w:r>
      <w:r>
        <w:rPr>
          <w:rFonts w:ascii="Arial" w:eastAsia="Arial" w:hAnsi="Arial" w:cs="Arial"/>
          <w:sz w:val="24"/>
          <w:szCs w:val="24"/>
        </w:rPr>
        <w:t xml:space="preserve">idade populacional de perfilhos, </w:t>
      </w:r>
      <w:r w:rsidRPr="00C504A2">
        <w:rPr>
          <w:rFonts w:ascii="Arial" w:eastAsia="Arial" w:hAnsi="Arial" w:cs="Arial"/>
          <w:sz w:val="24"/>
          <w:szCs w:val="24"/>
        </w:rPr>
        <w:t>houve diferença entre a testemunha e os tratamentos com melhoria da fertilidade do solo.  A testemunha apresentou a menor densidade populacional de perfilhos, sendo inferior</w:t>
      </w:r>
      <w:r w:rsidR="000B7D3D">
        <w:rPr>
          <w:rFonts w:ascii="Arial" w:eastAsia="Arial" w:hAnsi="Arial" w:cs="Arial"/>
          <w:sz w:val="24"/>
          <w:szCs w:val="24"/>
        </w:rPr>
        <w:t xml:space="preserve"> aos demais tratamentos</w:t>
      </w:r>
      <w:r w:rsidRPr="00C504A2">
        <w:rPr>
          <w:rFonts w:ascii="Arial" w:eastAsia="Arial" w:hAnsi="Arial" w:cs="Arial"/>
          <w:sz w:val="24"/>
          <w:szCs w:val="24"/>
        </w:rPr>
        <w:t>. Já o tratamento com dose 2.250 kg ha</w:t>
      </w:r>
      <w:r w:rsidRPr="000B7D3D">
        <w:rPr>
          <w:rFonts w:ascii="Arial" w:eastAsia="Arial" w:hAnsi="Arial" w:cs="Arial"/>
          <w:sz w:val="24"/>
          <w:szCs w:val="24"/>
          <w:vertAlign w:val="superscript"/>
        </w:rPr>
        <w:t>-1</w:t>
      </w:r>
      <w:r w:rsidRPr="00C504A2">
        <w:rPr>
          <w:rFonts w:ascii="Arial" w:eastAsia="Arial" w:hAnsi="Arial" w:cs="Arial"/>
          <w:sz w:val="24"/>
          <w:szCs w:val="24"/>
        </w:rPr>
        <w:t xml:space="preserve"> de gesso apresentou resultados maiores que a testemunha e menor que o tratamento com NPK + calagem.</w:t>
      </w:r>
    </w:p>
    <w:p w:rsidR="008A316C" w:rsidRDefault="00C504A2" w:rsidP="008A316C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Quanto à</w:t>
      </w:r>
      <w:r w:rsidRPr="00C504A2">
        <w:rPr>
          <w:rFonts w:ascii="Arial" w:eastAsia="Arial" w:hAnsi="Arial" w:cs="Arial"/>
          <w:sz w:val="24"/>
          <w:szCs w:val="24"/>
        </w:rPr>
        <w:t xml:space="preserve"> massa seca de forragem </w:t>
      </w:r>
      <w:r w:rsidR="000B7D3D">
        <w:rPr>
          <w:rFonts w:ascii="Arial" w:eastAsia="Arial" w:hAnsi="Arial" w:cs="Arial"/>
          <w:sz w:val="24"/>
          <w:szCs w:val="24"/>
        </w:rPr>
        <w:t>a</w:t>
      </w:r>
      <w:r w:rsidRPr="00C504A2">
        <w:rPr>
          <w:rFonts w:ascii="Arial" w:eastAsia="Arial" w:hAnsi="Arial" w:cs="Arial"/>
          <w:sz w:val="24"/>
          <w:szCs w:val="24"/>
        </w:rPr>
        <w:t xml:space="preserve"> testemunha apresentou a menor produtividade dentre os tratamentos, sendo inferior a todos os outros. Por outro lado, todas as estratégias com </w:t>
      </w:r>
      <w:r w:rsidR="001C4571">
        <w:rPr>
          <w:rFonts w:ascii="Arial" w:eastAsia="Arial" w:hAnsi="Arial" w:cs="Arial"/>
          <w:sz w:val="24"/>
          <w:szCs w:val="24"/>
        </w:rPr>
        <w:t>melhoria</w:t>
      </w:r>
      <w:r w:rsidRPr="00C504A2">
        <w:rPr>
          <w:rFonts w:ascii="Arial" w:eastAsia="Arial" w:hAnsi="Arial" w:cs="Arial"/>
          <w:sz w:val="24"/>
          <w:szCs w:val="24"/>
        </w:rPr>
        <w:t xml:space="preserve"> da fertilidade do solo promoveram aumento expressivo na produção, apresentaram maiores valores de produção, porém sem diferença entre si.</w:t>
      </w:r>
    </w:p>
    <w:p w:rsidR="008A316C" w:rsidRPr="008A316C" w:rsidRDefault="008A316C" w:rsidP="008A316C">
      <w:pPr>
        <w:spacing w:after="0" w:line="360" w:lineRule="auto"/>
        <w:ind w:left="709" w:right="11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008755" cy="21336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5-10-10 at 17.20.42 (1)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579" cy="213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D02" w:rsidRPr="00C504A2" w:rsidRDefault="0084612C" w:rsidP="00F149E6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Já o </w:t>
      </w:r>
      <w:r w:rsidR="00C504A2" w:rsidRPr="00C504A2">
        <w:rPr>
          <w:rFonts w:ascii="Arial" w:eastAsia="Arial" w:hAnsi="Arial" w:cs="Arial"/>
          <w:sz w:val="24"/>
          <w:szCs w:val="24"/>
        </w:rPr>
        <w:t xml:space="preserve">desempenho da forrageira, ao longo de todos os ciclos </w:t>
      </w:r>
      <w:r w:rsidR="00C504A2">
        <w:rPr>
          <w:rFonts w:ascii="Arial" w:eastAsia="Arial" w:hAnsi="Arial" w:cs="Arial"/>
          <w:sz w:val="24"/>
          <w:szCs w:val="24"/>
        </w:rPr>
        <w:t>avaliados</w:t>
      </w:r>
      <w:r w:rsidR="00C504A2" w:rsidRPr="00C504A2">
        <w:rPr>
          <w:rFonts w:ascii="Arial" w:eastAsia="Arial" w:hAnsi="Arial" w:cs="Arial"/>
          <w:sz w:val="24"/>
          <w:szCs w:val="24"/>
        </w:rPr>
        <w:t xml:space="preserve">, todos </w:t>
      </w:r>
      <w:proofErr w:type="gramStart"/>
      <w:r w:rsidR="00C504A2" w:rsidRPr="00C504A2">
        <w:rPr>
          <w:rFonts w:ascii="Arial" w:eastAsia="Arial" w:hAnsi="Arial" w:cs="Arial"/>
          <w:sz w:val="24"/>
          <w:szCs w:val="24"/>
        </w:rPr>
        <w:t>os</w:t>
      </w:r>
      <w:proofErr w:type="gramEnd"/>
      <w:r w:rsidR="00C504A2" w:rsidRPr="00C504A2">
        <w:rPr>
          <w:rFonts w:ascii="Arial" w:eastAsia="Arial" w:hAnsi="Arial" w:cs="Arial"/>
          <w:sz w:val="24"/>
          <w:szCs w:val="24"/>
        </w:rPr>
        <w:t xml:space="preserve"> tratamentos com correção da fertilidade do solo foram superiores à testemunha para </w:t>
      </w:r>
      <w:r w:rsidR="00C504A2">
        <w:rPr>
          <w:rFonts w:ascii="Arial" w:eastAsia="Arial" w:hAnsi="Arial" w:cs="Arial"/>
          <w:sz w:val="24"/>
          <w:szCs w:val="24"/>
        </w:rPr>
        <w:t>a produção de forragem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Pr="0084612C">
        <w:rPr>
          <w:rFonts w:ascii="Arial" w:eastAsia="Arial" w:hAnsi="Arial" w:cs="Arial"/>
          <w:sz w:val="24"/>
          <w:szCs w:val="24"/>
        </w:rPr>
        <w:t>No primeiro e segundo ciclo as estratégias não apresentaram diferença de produção de massa seca de forragem. No terceiro ciclo, as maiores produções foram com doses de 750 kg ha</w:t>
      </w:r>
      <w:r w:rsidRPr="0084612C">
        <w:rPr>
          <w:rFonts w:ascii="Arial" w:eastAsia="Arial" w:hAnsi="Arial" w:cs="Arial"/>
          <w:sz w:val="24"/>
          <w:szCs w:val="24"/>
          <w:vertAlign w:val="superscript"/>
        </w:rPr>
        <w:t>-1</w:t>
      </w:r>
      <w:r w:rsidRPr="0084612C">
        <w:rPr>
          <w:rFonts w:ascii="Arial" w:eastAsia="Arial" w:hAnsi="Arial" w:cs="Arial"/>
          <w:sz w:val="24"/>
          <w:szCs w:val="24"/>
        </w:rPr>
        <w:t xml:space="preserve"> e 2.250 kg ha</w:t>
      </w:r>
      <w:r w:rsidRPr="0084612C">
        <w:rPr>
          <w:rFonts w:ascii="Arial" w:eastAsia="Arial" w:hAnsi="Arial" w:cs="Arial"/>
          <w:sz w:val="24"/>
          <w:szCs w:val="24"/>
          <w:vertAlign w:val="superscript"/>
        </w:rPr>
        <w:t>-1</w:t>
      </w:r>
      <w:r w:rsidRPr="0084612C">
        <w:rPr>
          <w:rFonts w:ascii="Arial" w:eastAsia="Arial" w:hAnsi="Arial" w:cs="Arial"/>
          <w:sz w:val="24"/>
          <w:szCs w:val="24"/>
        </w:rPr>
        <w:t xml:space="preserve"> de gesso, adubação mais calagem e só adubação NPK. </w:t>
      </w:r>
      <w:r w:rsidR="00F149E6" w:rsidRPr="00F149E6">
        <w:rPr>
          <w:rFonts w:ascii="Arial" w:eastAsia="Arial" w:hAnsi="Arial" w:cs="Arial"/>
          <w:sz w:val="24"/>
          <w:szCs w:val="24"/>
        </w:rPr>
        <w:t>No quarto ciclo, os tratamentos com maiores doses de gesso (750, 1.500 e 2.250 kg ha</w:t>
      </w:r>
      <w:r w:rsidR="00F149E6" w:rsidRPr="00F149E6">
        <w:rPr>
          <w:rFonts w:ascii="Cambria Math" w:eastAsia="Arial" w:hAnsi="Cambria Math" w:cs="Cambria Math"/>
          <w:sz w:val="24"/>
          <w:szCs w:val="24"/>
        </w:rPr>
        <w:t>⁻</w:t>
      </w:r>
      <w:r w:rsidR="00F149E6" w:rsidRPr="00F149E6">
        <w:rPr>
          <w:rFonts w:ascii="Arial" w:eastAsia="Arial" w:hAnsi="Arial" w:cs="Arial"/>
          <w:sz w:val="24"/>
          <w:szCs w:val="24"/>
        </w:rPr>
        <w:t>¹) produziram mais massa seca de forragem que os tratamentos com apenas NPK e a testemunha.</w:t>
      </w:r>
      <w:r w:rsidR="00F149E6">
        <w:rPr>
          <w:rFonts w:ascii="Arial" w:eastAsia="Arial" w:hAnsi="Arial" w:cs="Arial"/>
          <w:sz w:val="24"/>
          <w:szCs w:val="24"/>
        </w:rPr>
        <w:t xml:space="preserve"> </w:t>
      </w:r>
      <w:r w:rsidRPr="0084612C">
        <w:rPr>
          <w:rFonts w:ascii="Arial" w:eastAsia="Arial" w:hAnsi="Arial" w:cs="Arial"/>
          <w:sz w:val="24"/>
          <w:szCs w:val="24"/>
        </w:rPr>
        <w:t>No quinto ciclo não teve diferença entre as estratégias. No sexto ciclo, o tratamento com a dose de gesso de 1.500 kg ha</w:t>
      </w:r>
      <w:r w:rsidRPr="0084612C">
        <w:rPr>
          <w:rFonts w:ascii="Arial" w:eastAsia="Arial" w:hAnsi="Arial" w:cs="Arial"/>
          <w:sz w:val="24"/>
          <w:szCs w:val="24"/>
          <w:vertAlign w:val="superscript"/>
        </w:rPr>
        <w:t>-1</w:t>
      </w:r>
      <w:r w:rsidRPr="0084612C">
        <w:rPr>
          <w:rFonts w:ascii="Arial" w:eastAsia="Arial" w:hAnsi="Arial" w:cs="Arial"/>
          <w:sz w:val="24"/>
          <w:szCs w:val="24"/>
        </w:rPr>
        <w:t xml:space="preserve"> apresentou a maior produção de forragem, equiparando-se os demais tratamentos com doses de gesso e ao só com adubação NPK.</w:t>
      </w:r>
      <w:bookmarkStart w:id="0" w:name="_GoBack"/>
      <w:bookmarkEnd w:id="0"/>
    </w:p>
    <w:p w:rsidR="00257ECD" w:rsidRDefault="00FD4D29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CONCLUSÃO/CONSIDERAÇÕES FINAIS</w:t>
      </w:r>
    </w:p>
    <w:p w:rsidR="00D36C79" w:rsidRDefault="00D36C7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36C79">
        <w:rPr>
          <w:rFonts w:ascii="Arial" w:hAnsi="Arial" w:cs="Arial"/>
          <w:sz w:val="24"/>
        </w:rPr>
        <w:lastRenderedPageBreak/>
        <w:t xml:space="preserve">A adubação com NPK, calagem e </w:t>
      </w:r>
      <w:proofErr w:type="spellStart"/>
      <w:r w:rsidRPr="00D36C79">
        <w:rPr>
          <w:rFonts w:ascii="Arial" w:hAnsi="Arial" w:cs="Arial"/>
          <w:sz w:val="24"/>
        </w:rPr>
        <w:t>gessagem</w:t>
      </w:r>
      <w:proofErr w:type="spellEnd"/>
      <w:r w:rsidRPr="00D36C79">
        <w:rPr>
          <w:rFonts w:ascii="Arial" w:hAnsi="Arial" w:cs="Arial"/>
          <w:sz w:val="24"/>
        </w:rPr>
        <w:t xml:space="preserve"> em solos de textura média aumentou significativamente a produção do capim </w:t>
      </w:r>
      <w:proofErr w:type="spellStart"/>
      <w:r w:rsidRPr="00D36C79">
        <w:rPr>
          <w:rFonts w:ascii="Arial" w:hAnsi="Arial" w:cs="Arial"/>
          <w:sz w:val="24"/>
        </w:rPr>
        <w:t>Marandu</w:t>
      </w:r>
      <w:proofErr w:type="spellEnd"/>
      <w:r w:rsidRPr="00D36C79">
        <w:rPr>
          <w:rFonts w:ascii="Arial" w:hAnsi="Arial" w:cs="Arial"/>
          <w:sz w:val="24"/>
        </w:rPr>
        <w:t xml:space="preserve">, melhorando altura do dossel, densidade de </w:t>
      </w:r>
      <w:proofErr w:type="spellStart"/>
      <w:r w:rsidRPr="00D36C79">
        <w:rPr>
          <w:rFonts w:ascii="Arial" w:hAnsi="Arial" w:cs="Arial"/>
          <w:sz w:val="24"/>
        </w:rPr>
        <w:t>perfilhos</w:t>
      </w:r>
      <w:proofErr w:type="spellEnd"/>
      <w:r w:rsidRPr="00D36C79">
        <w:rPr>
          <w:rFonts w:ascii="Arial" w:hAnsi="Arial" w:cs="Arial"/>
          <w:sz w:val="24"/>
        </w:rPr>
        <w:t xml:space="preserve"> e produção de forragem no ano avaliado.</w:t>
      </w:r>
    </w:p>
    <w:p w:rsidR="00416B50" w:rsidRDefault="00416B50" w:rsidP="00416B50">
      <w:pPr>
        <w:spacing w:after="0" w:line="360" w:lineRule="auto"/>
        <w:ind w:right="-2" w:firstLine="709"/>
        <w:jc w:val="both"/>
        <w:rPr>
          <w:rFonts w:ascii="Arial" w:hAnsi="Arial" w:cs="Arial"/>
          <w:sz w:val="24"/>
        </w:rPr>
      </w:pPr>
      <w:r w:rsidRPr="00416B50">
        <w:rPr>
          <w:rFonts w:ascii="Arial" w:hAnsi="Arial" w:cs="Arial"/>
          <w:sz w:val="24"/>
        </w:rPr>
        <w:t>Verifica-se efeito positivo das práticas de manejo da fertilidade em contribuir para atenuar os efeitos da sazonalidade, uma vez que as estratégias utilizadas permitem maior esta</w:t>
      </w:r>
      <w:r w:rsidR="007E4EC2">
        <w:rPr>
          <w:rFonts w:ascii="Arial" w:hAnsi="Arial" w:cs="Arial"/>
          <w:sz w:val="24"/>
        </w:rPr>
        <w:t>bili</w:t>
      </w:r>
      <w:r w:rsidRPr="00416B50">
        <w:rPr>
          <w:rFonts w:ascii="Arial" w:hAnsi="Arial" w:cs="Arial"/>
          <w:sz w:val="24"/>
        </w:rPr>
        <w:t>dade da produção de forragem ao longo dos ciclos avaliados.</w:t>
      </w:r>
    </w:p>
    <w:p w:rsidR="003868A7" w:rsidRPr="003868A7" w:rsidRDefault="00A45F13" w:rsidP="003868A7">
      <w:pPr>
        <w:spacing w:after="0" w:line="360" w:lineRule="auto"/>
        <w:ind w:right="-2"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Embora as</w:t>
      </w:r>
      <w:r w:rsidR="007E4EC2" w:rsidRPr="007E4EC2">
        <w:rPr>
          <w:rFonts w:ascii="Arial" w:hAnsi="Arial" w:cs="Arial"/>
          <w:sz w:val="24"/>
        </w:rPr>
        <w:t xml:space="preserve"> estratégias de manejo da fertilidade não tenham apresentado diferenças significativas entre si, destaca-se a relevância da integração entre adubação, calagem e gessagem,</w:t>
      </w:r>
      <w:r w:rsidR="007E4EC2">
        <w:rPr>
          <w:rFonts w:ascii="Arial" w:hAnsi="Arial" w:cs="Arial"/>
          <w:sz w:val="24"/>
        </w:rPr>
        <w:t xml:space="preserve"> </w:t>
      </w:r>
      <w:r w:rsidR="007E4EC2" w:rsidRPr="007E4EC2">
        <w:rPr>
          <w:rFonts w:ascii="Arial" w:hAnsi="Arial" w:cs="Arial"/>
          <w:sz w:val="24"/>
        </w:rPr>
        <w:t>uma vez que, em conjunto, essas práticas promovem a melhoria das condições químicas do solo, ampliam a disponibilidade de nutrientes e favorecem o crescimento e a produtividade da planta forrageira.</w:t>
      </w:r>
    </w:p>
    <w:p w:rsidR="00257ECD" w:rsidRDefault="00FD4D29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:rsidR="000B7D3D" w:rsidRDefault="000B7D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B7D3D">
        <w:rPr>
          <w:rFonts w:ascii="Arial" w:eastAsia="Arial" w:hAnsi="Arial" w:cs="Arial"/>
          <w:sz w:val="24"/>
          <w:szCs w:val="24"/>
        </w:rPr>
        <w:t xml:space="preserve">BACKES, C; SANTOS, A. J. M., RODRIGUES, L. M., TEODORO, A. G., RIBON, A. A., VILLAS BÔAS, R. L., PEREIRA, L. M.; FRANCO, Y. M. Recovery </w:t>
      </w:r>
      <w:proofErr w:type="spellStart"/>
      <w:r w:rsidRPr="000B7D3D">
        <w:rPr>
          <w:rFonts w:ascii="Arial" w:eastAsia="Arial" w:hAnsi="Arial" w:cs="Arial"/>
          <w:sz w:val="24"/>
          <w:szCs w:val="24"/>
        </w:rPr>
        <w:t>of</w:t>
      </w:r>
      <w:proofErr w:type="spellEnd"/>
      <w:r w:rsidRPr="000B7D3D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0B7D3D">
        <w:rPr>
          <w:rFonts w:ascii="Arial" w:eastAsia="Arial" w:hAnsi="Arial" w:cs="Arial"/>
          <w:sz w:val="24"/>
          <w:szCs w:val="24"/>
        </w:rPr>
        <w:t>dystrophic</w:t>
      </w:r>
      <w:proofErr w:type="spellEnd"/>
      <w:r w:rsidRPr="000B7D3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B7D3D">
        <w:rPr>
          <w:rFonts w:ascii="Arial" w:eastAsia="Arial" w:hAnsi="Arial" w:cs="Arial"/>
          <w:sz w:val="24"/>
          <w:szCs w:val="24"/>
        </w:rPr>
        <w:t>Red</w:t>
      </w:r>
      <w:proofErr w:type="spellEnd"/>
      <w:r w:rsidRPr="000B7D3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B7D3D">
        <w:rPr>
          <w:rFonts w:ascii="Arial" w:eastAsia="Arial" w:hAnsi="Arial" w:cs="Arial"/>
          <w:sz w:val="24"/>
          <w:szCs w:val="24"/>
        </w:rPr>
        <w:t>Latosol</w:t>
      </w:r>
      <w:proofErr w:type="spellEnd"/>
      <w:r w:rsidRPr="000B7D3D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0B7D3D">
        <w:rPr>
          <w:rFonts w:ascii="Arial" w:eastAsia="Arial" w:hAnsi="Arial" w:cs="Arial"/>
          <w:sz w:val="24"/>
          <w:szCs w:val="24"/>
        </w:rPr>
        <w:t>Oxisol</w:t>
      </w:r>
      <w:proofErr w:type="spellEnd"/>
      <w:r w:rsidRPr="000B7D3D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000B7D3D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0B7D3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B7D3D">
        <w:rPr>
          <w:rFonts w:ascii="Arial" w:eastAsia="Arial" w:hAnsi="Arial" w:cs="Arial"/>
          <w:sz w:val="24"/>
          <w:szCs w:val="24"/>
        </w:rPr>
        <w:t>pasture</w:t>
      </w:r>
      <w:proofErr w:type="spellEnd"/>
      <w:r w:rsidRPr="000B7D3D">
        <w:rPr>
          <w:rFonts w:ascii="Arial" w:eastAsia="Arial" w:hAnsi="Arial" w:cs="Arial"/>
          <w:sz w:val="24"/>
          <w:szCs w:val="24"/>
        </w:rPr>
        <w:t xml:space="preserve"> as a </w:t>
      </w:r>
      <w:proofErr w:type="spellStart"/>
      <w:r w:rsidRPr="000B7D3D">
        <w:rPr>
          <w:rFonts w:ascii="Arial" w:eastAsia="Arial" w:hAnsi="Arial" w:cs="Arial"/>
          <w:sz w:val="24"/>
          <w:szCs w:val="24"/>
        </w:rPr>
        <w:t>function</w:t>
      </w:r>
      <w:proofErr w:type="spellEnd"/>
      <w:r w:rsidRPr="000B7D3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B7D3D">
        <w:rPr>
          <w:rFonts w:ascii="Arial" w:eastAsia="Arial" w:hAnsi="Arial" w:cs="Arial"/>
          <w:sz w:val="24"/>
          <w:szCs w:val="24"/>
        </w:rPr>
        <w:t>of</w:t>
      </w:r>
      <w:proofErr w:type="spellEnd"/>
      <w:r w:rsidRPr="000B7D3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B7D3D">
        <w:rPr>
          <w:rFonts w:ascii="Arial" w:eastAsia="Arial" w:hAnsi="Arial" w:cs="Arial"/>
          <w:sz w:val="24"/>
          <w:szCs w:val="24"/>
        </w:rPr>
        <w:t>gypsum</w:t>
      </w:r>
      <w:proofErr w:type="spellEnd"/>
      <w:r w:rsidRPr="000B7D3D"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 w:rsidRPr="000B7D3D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0B7D3D">
        <w:rPr>
          <w:rFonts w:ascii="Arial" w:eastAsia="Arial" w:hAnsi="Arial" w:cs="Arial"/>
          <w:sz w:val="24"/>
          <w:szCs w:val="24"/>
        </w:rPr>
        <w:t xml:space="preserve"> Cerrado </w:t>
      </w:r>
      <w:proofErr w:type="spellStart"/>
      <w:r w:rsidRPr="000B7D3D">
        <w:rPr>
          <w:rFonts w:ascii="Arial" w:eastAsia="Arial" w:hAnsi="Arial" w:cs="Arial"/>
          <w:sz w:val="24"/>
          <w:szCs w:val="24"/>
        </w:rPr>
        <w:t>biome</w:t>
      </w:r>
      <w:proofErr w:type="spellEnd"/>
      <w:r w:rsidRPr="000B7D3D">
        <w:rPr>
          <w:rFonts w:ascii="Arial" w:eastAsia="Arial" w:hAnsi="Arial" w:cs="Arial"/>
          <w:sz w:val="24"/>
          <w:szCs w:val="24"/>
        </w:rPr>
        <w:t xml:space="preserve">. </w:t>
      </w:r>
      <w:r w:rsidRPr="000B7D3D">
        <w:rPr>
          <w:rFonts w:ascii="Arial" w:eastAsia="Arial" w:hAnsi="Arial" w:cs="Arial"/>
          <w:b/>
          <w:sz w:val="24"/>
          <w:szCs w:val="24"/>
        </w:rPr>
        <w:t>Revista brasileira de zootecnia</w:t>
      </w:r>
      <w:r w:rsidRPr="000B7D3D">
        <w:rPr>
          <w:rFonts w:ascii="Arial" w:eastAsia="Arial" w:hAnsi="Arial" w:cs="Arial"/>
          <w:sz w:val="24"/>
          <w:szCs w:val="24"/>
        </w:rPr>
        <w:t>, v. 46, p. 286-295, 2017.</w:t>
      </w:r>
    </w:p>
    <w:p w:rsidR="000B7D3D" w:rsidRDefault="000B7D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B7D3D">
        <w:rPr>
          <w:rFonts w:ascii="Arial" w:eastAsia="Arial" w:hAnsi="Arial" w:cs="Arial"/>
          <w:sz w:val="24"/>
          <w:szCs w:val="24"/>
        </w:rPr>
        <w:t xml:space="preserve">DIAS-FILHO, M.B. </w:t>
      </w:r>
      <w:r w:rsidRPr="000B7D3D">
        <w:rPr>
          <w:rFonts w:ascii="Arial" w:eastAsia="Arial" w:hAnsi="Arial" w:cs="Arial"/>
          <w:b/>
          <w:sz w:val="24"/>
          <w:szCs w:val="24"/>
        </w:rPr>
        <w:t>Diagnóstico das pastagens no Brasil</w:t>
      </w:r>
      <w:r w:rsidRPr="000B7D3D">
        <w:rPr>
          <w:rFonts w:ascii="Arial" w:eastAsia="Arial" w:hAnsi="Arial" w:cs="Arial"/>
          <w:sz w:val="24"/>
          <w:szCs w:val="24"/>
        </w:rPr>
        <w:t>. Belém: Embrapa Amazônia Oriental, Doc.402. 2014. 38p.</w:t>
      </w:r>
    </w:p>
    <w:p w:rsidR="008C0C5A" w:rsidRDefault="008C0C5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C0C5A">
        <w:rPr>
          <w:rFonts w:ascii="Arial" w:eastAsia="Arial" w:hAnsi="Arial" w:cs="Arial"/>
          <w:sz w:val="24"/>
          <w:szCs w:val="24"/>
        </w:rPr>
        <w:t xml:space="preserve">EMPRESA BRASILEIRA DE PESQUISA AGROPECUÁRIA - EMBRAPA. </w:t>
      </w:r>
      <w:r w:rsidRPr="008C0C5A">
        <w:rPr>
          <w:rFonts w:ascii="Arial" w:eastAsia="Arial" w:hAnsi="Arial" w:cs="Arial"/>
          <w:b/>
          <w:sz w:val="24"/>
          <w:szCs w:val="24"/>
        </w:rPr>
        <w:t>Sistema brasileiro de classificação de solos</w:t>
      </w:r>
      <w:r w:rsidRPr="008C0C5A">
        <w:rPr>
          <w:rFonts w:ascii="Arial" w:eastAsia="Arial" w:hAnsi="Arial" w:cs="Arial"/>
          <w:sz w:val="24"/>
          <w:szCs w:val="24"/>
        </w:rPr>
        <w:t>. 3 ed. ver.</w:t>
      </w:r>
      <w:r w:rsidR="007E2D3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E2D3A">
        <w:rPr>
          <w:rFonts w:ascii="Arial" w:eastAsia="Arial" w:hAnsi="Arial" w:cs="Arial"/>
          <w:sz w:val="24"/>
          <w:szCs w:val="24"/>
        </w:rPr>
        <w:t>ampl.Brasília:Embrapa</w:t>
      </w:r>
      <w:proofErr w:type="spellEnd"/>
      <w:r w:rsidR="007E2D3A">
        <w:rPr>
          <w:rFonts w:ascii="Arial" w:eastAsia="Arial" w:hAnsi="Arial" w:cs="Arial"/>
          <w:sz w:val="24"/>
          <w:szCs w:val="24"/>
        </w:rPr>
        <w:t xml:space="preserve">, 2013.353 </w:t>
      </w:r>
      <w:r w:rsidRPr="008C0C5A">
        <w:rPr>
          <w:rFonts w:ascii="Arial" w:eastAsia="Arial" w:hAnsi="Arial" w:cs="Arial"/>
          <w:sz w:val="24"/>
          <w:szCs w:val="24"/>
        </w:rPr>
        <w:t>p.</w:t>
      </w:r>
    </w:p>
    <w:p w:rsidR="008C0C5A" w:rsidRPr="00A45F13" w:rsidRDefault="00E427A6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E427A6">
        <w:rPr>
          <w:rFonts w:ascii="Arial" w:eastAsia="Arial" w:hAnsi="Arial" w:cs="Arial"/>
          <w:sz w:val="24"/>
          <w:szCs w:val="24"/>
        </w:rPr>
        <w:t xml:space="preserve">RAIJ, BERNARDO VAM. </w:t>
      </w:r>
      <w:r w:rsidRPr="00E427A6">
        <w:rPr>
          <w:rFonts w:ascii="Arial" w:eastAsia="Arial" w:hAnsi="Arial" w:cs="Arial"/>
          <w:b/>
          <w:sz w:val="24"/>
          <w:szCs w:val="24"/>
        </w:rPr>
        <w:t>Melhorando o ambiente radicular em subsuperfície</w:t>
      </w:r>
      <w:r w:rsidRPr="00E427A6">
        <w:rPr>
          <w:rFonts w:ascii="Arial" w:eastAsia="Arial" w:hAnsi="Arial" w:cs="Arial"/>
          <w:sz w:val="24"/>
          <w:szCs w:val="24"/>
        </w:rPr>
        <w:t xml:space="preserve">. </w:t>
      </w:r>
      <w:r w:rsidRPr="00A45F13">
        <w:rPr>
          <w:rFonts w:ascii="Arial" w:eastAsia="Arial" w:hAnsi="Arial" w:cs="Arial"/>
          <w:sz w:val="24"/>
          <w:szCs w:val="24"/>
          <w:lang w:val="en-US"/>
        </w:rPr>
        <w:t xml:space="preserve">Piracicaba: International Plant Nutrition Institute – </w:t>
      </w:r>
      <w:proofErr w:type="spellStart"/>
      <w:r w:rsidRPr="00A45F13">
        <w:rPr>
          <w:rFonts w:ascii="Arial" w:eastAsia="Arial" w:hAnsi="Arial" w:cs="Arial"/>
          <w:sz w:val="24"/>
          <w:szCs w:val="24"/>
          <w:lang w:val="en-US"/>
        </w:rPr>
        <w:t>Informações</w:t>
      </w:r>
      <w:proofErr w:type="spellEnd"/>
      <w:r w:rsidRPr="00A45F13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A45F13">
        <w:rPr>
          <w:rFonts w:ascii="Arial" w:eastAsia="Arial" w:hAnsi="Arial" w:cs="Arial"/>
          <w:sz w:val="24"/>
          <w:szCs w:val="24"/>
          <w:lang w:val="en-US"/>
        </w:rPr>
        <w:t>agronômicas</w:t>
      </w:r>
      <w:proofErr w:type="spellEnd"/>
      <w:r w:rsidRPr="00A45F13">
        <w:rPr>
          <w:rFonts w:ascii="Arial" w:eastAsia="Arial" w:hAnsi="Arial" w:cs="Arial"/>
          <w:sz w:val="24"/>
          <w:szCs w:val="24"/>
          <w:lang w:val="en-US"/>
        </w:rPr>
        <w:t>, n. 135, 2011.</w:t>
      </w:r>
    </w:p>
    <w:p w:rsidR="007E2D3A" w:rsidRDefault="007E2D3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45F13">
        <w:rPr>
          <w:rFonts w:ascii="Arial" w:eastAsia="Arial" w:hAnsi="Arial" w:cs="Arial"/>
          <w:sz w:val="24"/>
          <w:szCs w:val="24"/>
          <w:lang w:val="en-US"/>
        </w:rPr>
        <w:t xml:space="preserve">SAINJU, U. M.; ALLEN, B. L.; LENSSEN, A. W.; GHIMIRE, R. P. Root biomass, root/shoot ratio, and soil water content under perennial grasses with different nitrogen rates. </w:t>
      </w:r>
      <w:r w:rsidRPr="007E2D3A">
        <w:rPr>
          <w:rFonts w:ascii="Arial" w:eastAsia="Arial" w:hAnsi="Arial" w:cs="Arial"/>
          <w:b/>
          <w:sz w:val="24"/>
          <w:szCs w:val="24"/>
        </w:rPr>
        <w:t xml:space="preserve">Field </w:t>
      </w:r>
      <w:proofErr w:type="spellStart"/>
      <w:r w:rsidRPr="007E2D3A">
        <w:rPr>
          <w:rFonts w:ascii="Arial" w:eastAsia="Arial" w:hAnsi="Arial" w:cs="Arial"/>
          <w:b/>
          <w:sz w:val="24"/>
          <w:szCs w:val="24"/>
        </w:rPr>
        <w:t>Crops</w:t>
      </w:r>
      <w:proofErr w:type="spellEnd"/>
      <w:r w:rsidRPr="007E2D3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7E2D3A">
        <w:rPr>
          <w:rFonts w:ascii="Arial" w:eastAsia="Arial" w:hAnsi="Arial" w:cs="Arial"/>
          <w:b/>
          <w:sz w:val="24"/>
          <w:szCs w:val="24"/>
        </w:rPr>
        <w:t>Research</w:t>
      </w:r>
      <w:proofErr w:type="spellEnd"/>
      <w:r w:rsidRPr="007E2D3A">
        <w:rPr>
          <w:rFonts w:ascii="Arial" w:eastAsia="Arial" w:hAnsi="Arial" w:cs="Arial"/>
          <w:sz w:val="24"/>
          <w:szCs w:val="24"/>
        </w:rPr>
        <w:t>, v. 210, p. 183-191, 2017.</w:t>
      </w:r>
    </w:p>
    <w:p w:rsidR="00E427A6" w:rsidRPr="00A45F13" w:rsidRDefault="00E427A6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E427A6">
        <w:rPr>
          <w:rFonts w:ascii="Arial" w:eastAsia="Arial" w:hAnsi="Arial" w:cs="Arial"/>
          <w:sz w:val="24"/>
          <w:szCs w:val="24"/>
        </w:rPr>
        <w:t xml:space="preserve">SOUSA, D. M. G.; VILELA, L.; LOBATO, E.; SOARES, W. V. </w:t>
      </w:r>
      <w:r w:rsidRPr="00E427A6">
        <w:rPr>
          <w:rFonts w:ascii="Arial" w:eastAsia="Arial" w:hAnsi="Arial" w:cs="Arial"/>
          <w:b/>
          <w:sz w:val="24"/>
          <w:szCs w:val="24"/>
        </w:rPr>
        <w:t>Uso de gesso, calcário e adubos para pastagem no Cerrado.</w:t>
      </w:r>
      <w:r w:rsidRPr="00E427A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45F13">
        <w:rPr>
          <w:rFonts w:ascii="Arial" w:eastAsia="Arial" w:hAnsi="Arial" w:cs="Arial"/>
          <w:sz w:val="24"/>
          <w:szCs w:val="24"/>
          <w:lang w:val="en-US"/>
        </w:rPr>
        <w:t>Planaltina</w:t>
      </w:r>
      <w:proofErr w:type="spellEnd"/>
      <w:r w:rsidRPr="00A45F13">
        <w:rPr>
          <w:rFonts w:ascii="Arial" w:eastAsia="Arial" w:hAnsi="Arial" w:cs="Arial"/>
          <w:sz w:val="24"/>
          <w:szCs w:val="24"/>
          <w:lang w:val="en-US"/>
        </w:rPr>
        <w:t xml:space="preserve">: </w:t>
      </w:r>
      <w:proofErr w:type="spellStart"/>
      <w:r w:rsidRPr="00A45F13">
        <w:rPr>
          <w:rFonts w:ascii="Arial" w:eastAsia="Arial" w:hAnsi="Arial" w:cs="Arial"/>
          <w:sz w:val="24"/>
          <w:szCs w:val="24"/>
          <w:lang w:val="en-US"/>
        </w:rPr>
        <w:t>Embrapa</w:t>
      </w:r>
      <w:proofErr w:type="spellEnd"/>
      <w:r w:rsidRPr="00A45F13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A45F13">
        <w:rPr>
          <w:rFonts w:ascii="Arial" w:eastAsia="Arial" w:hAnsi="Arial" w:cs="Arial"/>
          <w:sz w:val="24"/>
          <w:szCs w:val="24"/>
          <w:lang w:val="en-US"/>
        </w:rPr>
        <w:t>Cerrados</w:t>
      </w:r>
      <w:proofErr w:type="spellEnd"/>
      <w:r w:rsidRPr="00A45F13">
        <w:rPr>
          <w:rFonts w:ascii="Arial" w:eastAsia="Arial" w:hAnsi="Arial" w:cs="Arial"/>
          <w:sz w:val="24"/>
          <w:szCs w:val="24"/>
          <w:lang w:val="en-US"/>
        </w:rPr>
        <w:t xml:space="preserve"> - Circular </w:t>
      </w:r>
      <w:proofErr w:type="spellStart"/>
      <w:r w:rsidRPr="00A45F13">
        <w:rPr>
          <w:rFonts w:ascii="Arial" w:eastAsia="Arial" w:hAnsi="Arial" w:cs="Arial"/>
          <w:sz w:val="24"/>
          <w:szCs w:val="24"/>
          <w:lang w:val="en-US"/>
        </w:rPr>
        <w:t>técnica</w:t>
      </w:r>
      <w:proofErr w:type="spellEnd"/>
      <w:r w:rsidRPr="00A45F13">
        <w:rPr>
          <w:rFonts w:ascii="Arial" w:eastAsia="Arial" w:hAnsi="Arial" w:cs="Arial"/>
          <w:sz w:val="24"/>
          <w:szCs w:val="24"/>
          <w:lang w:val="en-US"/>
        </w:rPr>
        <w:t xml:space="preserve"> n. 12, p. 1-22, 2001.</w:t>
      </w:r>
    </w:p>
    <w:p w:rsidR="003868A7" w:rsidRPr="00A45F13" w:rsidRDefault="00E427A6" w:rsidP="007E2D3A">
      <w:pPr>
        <w:rPr>
          <w:rFonts w:ascii="Arial" w:eastAsia="Arial" w:hAnsi="Arial" w:cs="Arial"/>
          <w:sz w:val="24"/>
          <w:szCs w:val="24"/>
          <w:lang w:val="en-US"/>
        </w:rPr>
      </w:pPr>
      <w:r w:rsidRPr="00A45F13">
        <w:rPr>
          <w:rFonts w:ascii="Arial" w:eastAsia="Arial" w:hAnsi="Arial" w:cs="Arial"/>
          <w:sz w:val="24"/>
          <w:szCs w:val="24"/>
          <w:lang w:val="en-US"/>
        </w:rPr>
        <w:t xml:space="preserve">VICENSI, M.; LOPES, C.; KOSZALKA, V.; UMBURANAS, R. C.; VIDIGAL, J. C. B.; DE ÁVILA, F. W.; MÜLLER, M. M. L. Soil fertility, root and aboveground growth of black oat under gypsum and urea rates in no till. </w:t>
      </w:r>
      <w:r w:rsidRPr="00A45F13">
        <w:rPr>
          <w:rFonts w:ascii="Arial" w:eastAsia="Arial" w:hAnsi="Arial" w:cs="Arial"/>
          <w:b/>
          <w:sz w:val="24"/>
          <w:szCs w:val="24"/>
          <w:lang w:val="en-US"/>
        </w:rPr>
        <w:t>Journal of Soil Science and Plant Nutrition,</w:t>
      </w:r>
      <w:r w:rsidRPr="00A45F13">
        <w:rPr>
          <w:rFonts w:ascii="Arial" w:eastAsia="Arial" w:hAnsi="Arial" w:cs="Arial"/>
          <w:sz w:val="24"/>
          <w:szCs w:val="24"/>
          <w:lang w:val="en-US"/>
        </w:rPr>
        <w:t xml:space="preserve"> v. 20, n. 3, p. 1271- 1286, 2020.</w:t>
      </w:r>
    </w:p>
    <w:sectPr w:rsidR="003868A7" w:rsidRPr="00A45F1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709" w:footer="709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FF8" w:rsidRDefault="009A0FF8">
      <w:pPr>
        <w:spacing w:after="0" w:line="240" w:lineRule="auto"/>
      </w:pPr>
      <w:r>
        <w:separator/>
      </w:r>
    </w:p>
  </w:endnote>
  <w:endnote w:type="continuationSeparator" w:id="0">
    <w:p w:rsidR="009A0FF8" w:rsidRDefault="009A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ECD" w:rsidRDefault="00FD4D29">
    <w:pPr>
      <w:jc w:val="right"/>
    </w:pPr>
    <w:r>
      <w:fldChar w:fldCharType="begin"/>
    </w:r>
    <w:r>
      <w:instrText>PAGE</w:instrText>
    </w:r>
    <w:r>
      <w:fldChar w:fldCharType="separate"/>
    </w:r>
    <w:r w:rsidR="006A270E">
      <w:rPr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ECD" w:rsidRDefault="00FD4D29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FF8" w:rsidRDefault="009A0FF8">
      <w:pPr>
        <w:rPr>
          <w:sz w:val="12"/>
        </w:rPr>
      </w:pPr>
      <w:r>
        <w:separator/>
      </w:r>
    </w:p>
  </w:footnote>
  <w:footnote w:type="continuationSeparator" w:id="0">
    <w:p w:rsidR="009A0FF8" w:rsidRDefault="009A0FF8">
      <w:pPr>
        <w:rPr>
          <w:sz w:val="12"/>
        </w:rPr>
      </w:pPr>
      <w:r>
        <w:continuationSeparator/>
      </w:r>
    </w:p>
  </w:footnote>
  <w:footnote w:id="1">
    <w:p w:rsidR="00257ECD" w:rsidRDefault="00FD4D29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Bolsista do Programa de Iniciação Científica (PIBIC/PIBITI). Universidade Federal do Norte do Tocantins (UFNT), Centro de XXXX.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e-mail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</w:footnote>
  <w:footnote w:id="2">
    <w:p w:rsidR="00257ECD" w:rsidRDefault="00FD4D29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Voluntário do Programa de Iniciação Científica (PIVIC). Universidade Federal do Norte do Tocantins (UFNT), Centro de XXXX.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e-mail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</w:footnote>
  <w:footnote w:id="3">
    <w:p w:rsidR="00257ECD" w:rsidRDefault="00FD4D29">
      <w:pPr>
        <w:spacing w:after="0" w:line="240" w:lineRule="auto"/>
        <w:ind w:left="142" w:hanging="142"/>
        <w:jc w:val="both"/>
        <w:rPr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Professora Doutora da Faculdade de Nutrição, Universidade Federal de Goiás (UFG), coordenadora do projeto de extensão. sousa@hotmail.com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D25" w:rsidRDefault="00FD4D29">
    <w:pPr>
      <w:pStyle w:val="Cabealho"/>
    </w:pPr>
    <w:r>
      <w:rPr>
        <w:noProof/>
      </w:rPr>
      <w:drawing>
        <wp:anchor distT="0" distB="0" distL="0" distR="0" simplePos="0" relativeHeight="251657216" behindDoc="0" locked="0" layoutInCell="0" allowOverlap="1" wp14:anchorId="7C2039A3" wp14:editId="7B5019DF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1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ECD" w:rsidRDefault="00FD4D29">
    <w:r>
      <w:rPr>
        <w:noProof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2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7ECD" w:rsidRDefault="00257EC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570C4"/>
    <w:multiLevelType w:val="multilevel"/>
    <w:tmpl w:val="9CC231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F54A98"/>
    <w:multiLevelType w:val="multilevel"/>
    <w:tmpl w:val="009A7E0A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63283E16"/>
    <w:multiLevelType w:val="multilevel"/>
    <w:tmpl w:val="0B9A8C8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CD"/>
    <w:rsid w:val="000062C9"/>
    <w:rsid w:val="00055212"/>
    <w:rsid w:val="000675B3"/>
    <w:rsid w:val="000B7D3D"/>
    <w:rsid w:val="000F6123"/>
    <w:rsid w:val="001A71BC"/>
    <w:rsid w:val="001C4571"/>
    <w:rsid w:val="001F2D8F"/>
    <w:rsid w:val="002244AA"/>
    <w:rsid w:val="00255083"/>
    <w:rsid w:val="00257ECD"/>
    <w:rsid w:val="00322107"/>
    <w:rsid w:val="00353D02"/>
    <w:rsid w:val="00355F32"/>
    <w:rsid w:val="003868A7"/>
    <w:rsid w:val="00416B50"/>
    <w:rsid w:val="004348C4"/>
    <w:rsid w:val="00465486"/>
    <w:rsid w:val="00467128"/>
    <w:rsid w:val="00653105"/>
    <w:rsid w:val="006A270E"/>
    <w:rsid w:val="006D7BD5"/>
    <w:rsid w:val="007533DA"/>
    <w:rsid w:val="007D03C0"/>
    <w:rsid w:val="007E2D3A"/>
    <w:rsid w:val="007E4EC2"/>
    <w:rsid w:val="0084612C"/>
    <w:rsid w:val="00853DCF"/>
    <w:rsid w:val="008A316C"/>
    <w:rsid w:val="008C0C5A"/>
    <w:rsid w:val="009145DB"/>
    <w:rsid w:val="009A0FF8"/>
    <w:rsid w:val="009C50AA"/>
    <w:rsid w:val="00A45F13"/>
    <w:rsid w:val="00A92107"/>
    <w:rsid w:val="00AB4D25"/>
    <w:rsid w:val="00B761FD"/>
    <w:rsid w:val="00C504A2"/>
    <w:rsid w:val="00C73898"/>
    <w:rsid w:val="00CA3FF5"/>
    <w:rsid w:val="00D24E81"/>
    <w:rsid w:val="00D36C79"/>
    <w:rsid w:val="00E05EA2"/>
    <w:rsid w:val="00E427A6"/>
    <w:rsid w:val="00E86616"/>
    <w:rsid w:val="00EC5E3C"/>
    <w:rsid w:val="00F149E6"/>
    <w:rsid w:val="00FD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5397"/>
  <w15:docId w15:val="{304671F4-0766-428C-9F3F-5248DBD9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AF7"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C3814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FC3814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C3814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017C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DAcAD4NZUUv3YLesX1x1TMsyrw==">CgMxLjA4AHIhMVZvRkhmQW51QUg2OHhQeHo5UF91ZWZ3VVh0V3htREJj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7</Pages>
  <Words>1681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dc:description/>
  <cp:lastModifiedBy>João Vinicius</cp:lastModifiedBy>
  <cp:revision>10</cp:revision>
  <dcterms:created xsi:type="dcterms:W3CDTF">2024-09-26T19:43:00Z</dcterms:created>
  <dcterms:modified xsi:type="dcterms:W3CDTF">2025-10-10T21:08:00Z</dcterms:modified>
  <dc:language>pt-BR</dc:language>
</cp:coreProperties>
</file>