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rFonts w:ascii="Arial" w:cs="Arial" w:eastAsia="Arial" w:hAnsi="Arial"/>
          <w:b w:val="1"/>
        </w:rPr>
      </w:pPr>
      <w:r w:rsidDel="00000000" w:rsidR="00000000" w:rsidRPr="00000000">
        <w:rPr>
          <w:rtl w:val="0"/>
        </w:rPr>
      </w:r>
    </w:p>
    <w:p w:rsidR="00000000" w:rsidDel="00000000" w:rsidP="00000000" w:rsidRDefault="00000000" w:rsidRPr="00000000" w14:paraId="00000002">
      <w:pPr>
        <w:shd w:fill="ffffff" w:val="clear"/>
        <w:rPr>
          <w:rFonts w:ascii="Arial" w:cs="Arial" w:eastAsia="Arial" w:hAnsi="Arial"/>
          <w:i w:val="1"/>
          <w:color w:val="ff0000"/>
        </w:rPr>
      </w:pPr>
      <w:r w:rsidDel="00000000" w:rsidR="00000000" w:rsidRPr="00000000">
        <w:rPr>
          <w:rFonts w:ascii="Arial" w:cs="Arial" w:eastAsia="Arial" w:hAnsi="Arial"/>
          <w:b w:val="1"/>
          <w:rtl w:val="0"/>
        </w:rPr>
        <w:t xml:space="preserve">EIXO TEMÁTICO 3: </w:t>
      </w:r>
      <w:r w:rsidDel="00000000" w:rsidR="00000000" w:rsidRPr="00000000">
        <w:rPr>
          <w:rFonts w:ascii="Arial" w:cs="Arial" w:eastAsia="Arial" w:hAnsi="Arial"/>
          <w:i w:val="1"/>
          <w:rtl w:val="0"/>
        </w:rPr>
        <w:t xml:space="preserve">Biotecnologia, Inovação e Saúde. </w:t>
      </w:r>
      <w:r w:rsidDel="00000000" w:rsidR="00000000" w:rsidRPr="00000000">
        <w:rPr>
          <w:rtl w:val="0"/>
        </w:rPr>
      </w:r>
    </w:p>
    <w:p w:rsidR="00000000" w:rsidDel="00000000" w:rsidP="00000000" w:rsidRDefault="00000000" w:rsidRPr="00000000" w14:paraId="00000003">
      <w:pPr>
        <w:rPr>
          <w:rFonts w:ascii="Arial" w:cs="Arial" w:eastAsia="Arial" w:hAnsi="Arial"/>
          <w:i w:val="1"/>
          <w:color w:val="ff0000"/>
        </w:rPr>
      </w:pPr>
      <w:r w:rsidDel="00000000" w:rsidR="00000000" w:rsidRPr="00000000">
        <w:rPr>
          <w:rtl w:val="0"/>
        </w:rPr>
      </w:r>
    </w:p>
    <w:p w:rsidR="00000000" w:rsidDel="00000000" w:rsidP="00000000" w:rsidRDefault="00000000" w:rsidRPr="00000000" w14:paraId="00000004">
      <w:pPr>
        <w:pStyle w:val="Heading2"/>
        <w:shd w:fill="ffffff" w:val="clear"/>
        <w:spacing w:after="0" w:before="0" w:lineRule="auto"/>
        <w:ind w:right="240"/>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AVALIAÇÃO DOS RESULTADOS DE LAPAROTOMIA INTENCIONADAS À APENDICECTOMIA: COMPARAÇÃO ENTRE INCISÃO MEDIANA INFRA-UMBILICAL OU DE DAVIS </w:t>
      </w:r>
      <w:r w:rsidDel="00000000" w:rsidR="00000000" w:rsidRPr="00000000">
        <w:rPr>
          <w:rtl w:val="0"/>
        </w:rPr>
      </w:r>
    </w:p>
    <w:p w:rsidR="00000000" w:rsidDel="00000000" w:rsidP="00000000" w:rsidRDefault="00000000" w:rsidRPr="00000000" w14:paraId="00000005">
      <w:pPr>
        <w:widowControl w:val="0"/>
        <w:tabs>
          <w:tab w:val="left" w:pos="8505"/>
        </w:tabs>
        <w:ind w:right="49"/>
        <w:jc w:val="right"/>
        <w:rPr>
          <w:rFonts w:ascii="Arial" w:cs="Arial" w:eastAsia="Arial" w:hAnsi="Arial"/>
          <w:i w:val="1"/>
          <w:color w:val="ff0000"/>
        </w:rPr>
      </w:pPr>
      <w:r w:rsidDel="00000000" w:rsidR="00000000" w:rsidRPr="00000000">
        <w:rPr>
          <w:rtl w:val="0"/>
        </w:rPr>
      </w:r>
    </w:p>
    <w:p w:rsidR="00000000" w:rsidDel="00000000" w:rsidP="00000000" w:rsidRDefault="00000000" w:rsidRPr="00000000" w14:paraId="00000006">
      <w:pPr>
        <w:widowControl w:val="0"/>
        <w:tabs>
          <w:tab w:val="left" w:pos="8505"/>
        </w:tabs>
        <w:ind w:right="49"/>
        <w:jc w:val="right"/>
        <w:rPr>
          <w:rFonts w:ascii="Arial" w:cs="Arial" w:eastAsia="Arial" w:hAnsi="Arial"/>
        </w:rPr>
      </w:pPr>
      <w:r w:rsidDel="00000000" w:rsidR="00000000" w:rsidRPr="00000000">
        <w:rPr>
          <w:rFonts w:ascii="Arial" w:cs="Arial" w:eastAsia="Arial" w:hAnsi="Arial"/>
          <w:rtl w:val="0"/>
        </w:rPr>
        <w:t xml:space="preserve">ROMEIRO, B.S. </w:t>
      </w: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rtl w:val="0"/>
        </w:rPr>
        <w:t xml:space="preserve">, FERREIRA, T.M.  </w:t>
      </w:r>
      <w:r w:rsidDel="00000000" w:rsidR="00000000" w:rsidRPr="00000000">
        <w:rPr>
          <w:rFonts w:ascii="Arial" w:cs="Arial" w:eastAsia="Arial" w:hAnsi="Arial"/>
          <w:vertAlign w:val="superscript"/>
          <w:rtl w:val="0"/>
        </w:rPr>
        <w:t xml:space="preserve">2</w:t>
      </w:r>
      <w:r w:rsidDel="00000000" w:rsidR="00000000" w:rsidRPr="00000000">
        <w:rPr>
          <w:rFonts w:ascii="Arial" w:cs="Arial" w:eastAsia="Arial" w:hAnsi="Arial"/>
          <w:rtl w:val="0"/>
        </w:rPr>
        <w:t xml:space="preserve"> , RESENDE, A. L. M. </w:t>
      </w:r>
      <w:r w:rsidDel="00000000" w:rsidR="00000000" w:rsidRPr="00000000">
        <w:rPr>
          <w:rFonts w:ascii="Arial" w:cs="Arial" w:eastAsia="Arial" w:hAnsi="Arial"/>
          <w:vertAlign w:val="superscript"/>
          <w:rtl w:val="0"/>
        </w:rPr>
        <w:t xml:space="preserve">3</w:t>
      </w:r>
      <w:r w:rsidDel="00000000" w:rsidR="00000000" w:rsidRPr="00000000">
        <w:rPr>
          <w:rFonts w:ascii="Arial" w:cs="Arial" w:eastAsia="Arial" w:hAnsi="Arial"/>
          <w:rtl w:val="0"/>
        </w:rPr>
        <w:t xml:space="preserve">, GOMES, G. M. A </w:t>
      </w:r>
      <w:r w:rsidDel="00000000" w:rsidR="00000000" w:rsidRPr="00000000">
        <w:rPr>
          <w:rFonts w:ascii="Arial" w:cs="Arial" w:eastAsia="Arial" w:hAnsi="Arial"/>
          <w:vertAlign w:val="superscript"/>
          <w:rtl w:val="0"/>
        </w:rPr>
        <w:t xml:space="preserve">4</w:t>
      </w:r>
      <w:r w:rsidDel="00000000" w:rsidR="00000000" w:rsidRPr="00000000">
        <w:rPr>
          <w:rFonts w:ascii="Arial" w:cs="Arial" w:eastAsia="Arial" w:hAnsi="Arial"/>
          <w:rtl w:val="0"/>
        </w:rPr>
        <w:t xml:space="preserve">, CRUZ, S. A. </w:t>
      </w:r>
      <w:r w:rsidDel="00000000" w:rsidR="00000000" w:rsidRPr="00000000">
        <w:rPr>
          <w:rFonts w:ascii="Arial" w:cs="Arial" w:eastAsia="Arial" w:hAnsi="Arial"/>
          <w:vertAlign w:val="superscript"/>
          <w:rtl w:val="0"/>
        </w:rPr>
        <w:t xml:space="preserve">5 </w:t>
      </w:r>
      <w:r w:rsidDel="00000000" w:rsidR="00000000" w:rsidRPr="00000000">
        <w:rPr>
          <w:rFonts w:ascii="Arial" w:cs="Arial" w:eastAsia="Arial" w:hAnsi="Arial"/>
          <w:rtl w:val="0"/>
        </w:rPr>
        <w:t xml:space="preserve">, NUNES, B. L. B. B. P. ⁶ e FACHIN, L. P. ⁷</w:t>
      </w:r>
    </w:p>
    <w:p w:rsidR="00000000" w:rsidDel="00000000" w:rsidP="00000000" w:rsidRDefault="00000000" w:rsidRPr="00000000" w14:paraId="00000007">
      <w:pPr>
        <w:widowControl w:val="0"/>
        <w:ind w:right="49"/>
        <w:jc w:val="right"/>
        <w:rPr>
          <w:rFonts w:ascii="Arial" w:cs="Arial" w:eastAsia="Arial" w:hAnsi="Arial"/>
          <w:i w:val="1"/>
          <w:color w:val="ff0000"/>
        </w:rPr>
      </w:pPr>
      <w:r w:rsidDel="00000000" w:rsidR="00000000" w:rsidRPr="00000000">
        <w:rPr>
          <w:rtl w:val="0"/>
        </w:rPr>
      </w:r>
    </w:p>
    <w:p w:rsidR="00000000" w:rsidDel="00000000" w:rsidP="00000000" w:rsidRDefault="00000000" w:rsidRPr="00000000" w14:paraId="00000008">
      <w:pPr>
        <w:widowControl w:val="0"/>
        <w:ind w:right="49"/>
        <w:jc w:val="right"/>
        <w:rPr>
          <w:rFonts w:ascii="Arial" w:cs="Arial" w:eastAsia="Arial" w:hAnsi="Arial"/>
        </w:rPr>
      </w:pP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rtl w:val="0"/>
        </w:rPr>
        <w:t xml:space="preserve"> Centro Universitário Cesmac, Discente do Curso de Medicina </w:t>
      </w:r>
    </w:p>
    <w:p w:rsidR="00000000" w:rsidDel="00000000" w:rsidP="00000000" w:rsidRDefault="00000000" w:rsidRPr="00000000" w14:paraId="00000009">
      <w:pPr>
        <w:widowControl w:val="0"/>
        <w:ind w:right="49"/>
        <w:jc w:val="right"/>
        <w:rPr>
          <w:rFonts w:ascii="Arial" w:cs="Arial" w:eastAsia="Arial" w:hAnsi="Arial"/>
        </w:rPr>
      </w:pPr>
      <w:r w:rsidDel="00000000" w:rsidR="00000000" w:rsidRPr="00000000">
        <w:rPr>
          <w:rFonts w:ascii="Arial" w:cs="Arial" w:eastAsia="Arial" w:hAnsi="Arial"/>
          <w:vertAlign w:val="superscript"/>
          <w:rtl w:val="0"/>
        </w:rPr>
        <w:t xml:space="preserve">2</w:t>
      </w:r>
      <w:r w:rsidDel="00000000" w:rsidR="00000000" w:rsidRPr="00000000">
        <w:rPr>
          <w:rFonts w:ascii="Arial" w:cs="Arial" w:eastAsia="Arial" w:hAnsi="Arial"/>
          <w:rtl w:val="0"/>
        </w:rPr>
        <w:t xml:space="preserve"> Centro Universitário Cesmac, Discente do Curso de Medicina </w:t>
      </w:r>
    </w:p>
    <w:p w:rsidR="00000000" w:rsidDel="00000000" w:rsidP="00000000" w:rsidRDefault="00000000" w:rsidRPr="00000000" w14:paraId="0000000A">
      <w:pPr>
        <w:widowControl w:val="0"/>
        <w:ind w:right="49"/>
        <w:jc w:val="right"/>
        <w:rPr>
          <w:rFonts w:ascii="Arial" w:cs="Arial" w:eastAsia="Arial" w:hAnsi="Arial"/>
        </w:rPr>
      </w:pPr>
      <w:r w:rsidDel="00000000" w:rsidR="00000000" w:rsidRPr="00000000">
        <w:rPr>
          <w:rFonts w:ascii="Arial" w:cs="Arial" w:eastAsia="Arial" w:hAnsi="Arial"/>
          <w:vertAlign w:val="superscript"/>
          <w:rtl w:val="0"/>
        </w:rPr>
        <w:t xml:space="preserve">3</w:t>
      </w:r>
      <w:r w:rsidDel="00000000" w:rsidR="00000000" w:rsidRPr="00000000">
        <w:rPr>
          <w:rFonts w:ascii="Arial" w:cs="Arial" w:eastAsia="Arial" w:hAnsi="Arial"/>
          <w:rtl w:val="0"/>
        </w:rPr>
        <w:t xml:space="preserve"> Centro Universitário Cesmac, Discente do Curso de Medicina</w:t>
      </w:r>
    </w:p>
    <w:p w:rsidR="00000000" w:rsidDel="00000000" w:rsidP="00000000" w:rsidRDefault="00000000" w:rsidRPr="00000000" w14:paraId="0000000B">
      <w:pPr>
        <w:widowControl w:val="0"/>
        <w:ind w:right="49"/>
        <w:jc w:val="right"/>
        <w:rPr>
          <w:rFonts w:ascii="Arial" w:cs="Arial" w:eastAsia="Arial" w:hAnsi="Arial"/>
        </w:rPr>
      </w:pPr>
      <w:r w:rsidDel="00000000" w:rsidR="00000000" w:rsidRPr="00000000">
        <w:rPr>
          <w:rFonts w:ascii="Arial" w:cs="Arial" w:eastAsia="Arial" w:hAnsi="Arial"/>
          <w:vertAlign w:val="superscript"/>
          <w:rtl w:val="0"/>
        </w:rPr>
        <w:t xml:space="preserve">4</w:t>
      </w:r>
      <w:r w:rsidDel="00000000" w:rsidR="00000000" w:rsidRPr="00000000">
        <w:rPr>
          <w:rFonts w:ascii="Arial" w:cs="Arial" w:eastAsia="Arial" w:hAnsi="Arial"/>
          <w:rtl w:val="0"/>
        </w:rPr>
        <w:t xml:space="preserve"> Centro Universitário Cesmac, Discente do Curso de Medicina </w:t>
      </w:r>
    </w:p>
    <w:p w:rsidR="00000000" w:rsidDel="00000000" w:rsidP="00000000" w:rsidRDefault="00000000" w:rsidRPr="00000000" w14:paraId="0000000C">
      <w:pPr>
        <w:widowControl w:val="0"/>
        <w:ind w:right="49"/>
        <w:jc w:val="right"/>
        <w:rPr>
          <w:rFonts w:ascii="Arial" w:cs="Arial" w:eastAsia="Arial" w:hAnsi="Arial"/>
        </w:rPr>
      </w:pPr>
      <w:r w:rsidDel="00000000" w:rsidR="00000000" w:rsidRPr="00000000">
        <w:rPr>
          <w:rFonts w:ascii="Arial" w:cs="Arial" w:eastAsia="Arial" w:hAnsi="Arial"/>
          <w:rtl w:val="0"/>
        </w:rPr>
        <w:t xml:space="preserve">⁵ Centro Universitário Cesmac, Discente do Curso de Medicina </w:t>
      </w:r>
    </w:p>
    <w:p w:rsidR="00000000" w:rsidDel="00000000" w:rsidP="00000000" w:rsidRDefault="00000000" w:rsidRPr="00000000" w14:paraId="0000000D">
      <w:pPr>
        <w:widowControl w:val="0"/>
        <w:ind w:right="49"/>
        <w:jc w:val="right"/>
        <w:rPr>
          <w:rFonts w:ascii="Arial" w:cs="Arial" w:eastAsia="Arial" w:hAnsi="Arial"/>
        </w:rPr>
      </w:pPr>
      <w:r w:rsidDel="00000000" w:rsidR="00000000" w:rsidRPr="00000000">
        <w:rPr>
          <w:rFonts w:ascii="Arial" w:cs="Arial" w:eastAsia="Arial" w:hAnsi="Arial"/>
          <w:rtl w:val="0"/>
        </w:rPr>
        <w:t xml:space="preserve">                          ⁶Centro Universitário Cesmac, Docente do Curso de Medicina</w:t>
      </w:r>
    </w:p>
    <w:p w:rsidR="00000000" w:rsidDel="00000000" w:rsidP="00000000" w:rsidRDefault="00000000" w:rsidRPr="00000000" w14:paraId="0000000E">
      <w:pPr>
        <w:widowControl w:val="0"/>
        <w:ind w:right="49"/>
        <w:jc w:val="right"/>
        <w:rPr>
          <w:rFonts w:ascii="Arial" w:cs="Arial" w:eastAsia="Arial" w:hAnsi="Arial"/>
        </w:rPr>
      </w:pPr>
      <w:r w:rsidDel="00000000" w:rsidR="00000000" w:rsidRPr="00000000">
        <w:rPr>
          <w:rFonts w:ascii="Arial" w:cs="Arial" w:eastAsia="Arial" w:hAnsi="Arial"/>
          <w:rtl w:val="0"/>
        </w:rPr>
        <w:t xml:space="preserve">⁷Centro Universitário Cesmac, Docente do Curso de Medicina</w:t>
      </w:r>
    </w:p>
    <w:p w:rsidR="00000000" w:rsidDel="00000000" w:rsidP="00000000" w:rsidRDefault="00000000" w:rsidRPr="00000000" w14:paraId="0000000F">
      <w:pPr>
        <w:widowControl w:val="0"/>
        <w:ind w:right="49"/>
        <w:jc w:val="left"/>
        <w:rPr>
          <w:rFonts w:ascii="Arial" w:cs="Arial" w:eastAsia="Arial" w:hAnsi="Arial"/>
        </w:rPr>
      </w:pPr>
      <w:r w:rsidDel="00000000" w:rsidR="00000000" w:rsidRPr="00000000">
        <w:rPr>
          <w:rtl w:val="0"/>
        </w:rPr>
      </w:r>
    </w:p>
    <w:p w:rsidR="00000000" w:rsidDel="00000000" w:rsidP="00000000" w:rsidRDefault="00000000" w:rsidRPr="00000000" w14:paraId="00000010">
      <w:pPr>
        <w:widowControl w:val="0"/>
        <w:ind w:right="49"/>
        <w:jc w:val="right"/>
        <w:rPr>
          <w:rFonts w:ascii="Arial" w:cs="Arial" w:eastAsia="Arial" w:hAnsi="Arial"/>
        </w:rPr>
      </w:pPr>
      <w:r w:rsidDel="00000000" w:rsidR="00000000" w:rsidRPr="00000000">
        <w:rPr>
          <w:rFonts w:ascii="Arial" w:cs="Arial" w:eastAsia="Arial" w:hAnsi="Arial"/>
          <w:rtl w:val="0"/>
        </w:rPr>
        <w:t xml:space="preserve">E-mail do apresentador: simoesromeiro@gmail.com</w:t>
      </w:r>
    </w:p>
    <w:p w:rsidR="00000000" w:rsidDel="00000000" w:rsidP="00000000" w:rsidRDefault="00000000" w:rsidRPr="00000000" w14:paraId="00000011">
      <w:pPr>
        <w:widowControl w:val="0"/>
        <w:tabs>
          <w:tab w:val="left" w:pos="8505"/>
        </w:tabs>
        <w:ind w:right="49"/>
        <w:jc w:val="right"/>
        <w:rPr>
          <w:rFonts w:ascii="Arial" w:cs="Arial" w:eastAsia="Arial" w:hAnsi="Arial"/>
          <w:i w:val="1"/>
          <w:color w:val="ff0000"/>
        </w:rPr>
      </w:pPr>
      <w:r w:rsidDel="00000000" w:rsidR="00000000" w:rsidRPr="00000000">
        <w:rPr>
          <w:rtl w:val="0"/>
        </w:rPr>
      </w:r>
    </w:p>
    <w:p w:rsidR="00000000" w:rsidDel="00000000" w:rsidP="00000000" w:rsidRDefault="00000000" w:rsidRPr="00000000" w14:paraId="00000012">
      <w:pPr>
        <w:widowControl w:val="0"/>
        <w:tabs>
          <w:tab w:val="left" w:pos="8505"/>
        </w:tabs>
        <w:ind w:right="49"/>
        <w:jc w:val="right"/>
        <w:rPr>
          <w:rFonts w:ascii="Arial" w:cs="Arial" w:eastAsia="Arial" w:hAnsi="Arial"/>
          <w:i w:val="1"/>
          <w:color w:val="ff0000"/>
        </w:rPr>
      </w:pPr>
      <w:r w:rsidDel="00000000" w:rsidR="00000000" w:rsidRPr="00000000">
        <w:rPr>
          <w:rtl w:val="0"/>
        </w:rPr>
      </w:r>
    </w:p>
    <w:p w:rsidR="00000000" w:rsidDel="00000000" w:rsidP="00000000" w:rsidRDefault="00000000" w:rsidRPr="00000000" w14:paraId="00000013">
      <w:pPr>
        <w:widowControl w:val="0"/>
        <w:ind w:right="135"/>
        <w:jc w:val="both"/>
        <w:rPr>
          <w:rFonts w:ascii="Arial" w:cs="Arial" w:eastAsia="Arial" w:hAnsi="Arial"/>
        </w:rPr>
      </w:pPr>
      <w:r w:rsidDel="00000000" w:rsidR="00000000" w:rsidRPr="00000000">
        <w:rPr>
          <w:rFonts w:ascii="Arial" w:cs="Arial" w:eastAsia="Arial" w:hAnsi="Arial"/>
          <w:rtl w:val="0"/>
        </w:rPr>
        <w:t xml:space="preserve">RESUMO EXPANDIDO – </w:t>
      </w:r>
      <w:r w:rsidDel="00000000" w:rsidR="00000000" w:rsidRPr="00000000">
        <w:rPr>
          <w:rFonts w:ascii="Arial" w:cs="Arial" w:eastAsia="Arial" w:hAnsi="Arial"/>
          <w:b w:val="1"/>
          <w:rtl w:val="0"/>
        </w:rPr>
        <w:t xml:space="preserve">Introdução</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A principal causa de abdome agudo cirúrgico no mundo é a apendicite aguda, ocorrendo em cerca de 7% da população mundial.  Dados do Sistema de Informações Hospitalares do SUS (SIH/SUS) mostram que, no ano de 2019, 1.027 apendicectomias foram realizadas no estado de Alagoas</w:t>
      </w:r>
      <w:r w:rsidDel="00000000" w:rsidR="00000000" w:rsidRPr="00000000">
        <w:rPr>
          <w:rFonts w:ascii="Arial" w:cs="Arial" w:eastAsia="Arial" w:hAnsi="Arial"/>
          <w:color w:val="ff0000"/>
          <w:rtl w:val="0"/>
        </w:rPr>
        <w:t xml:space="preserve">,</w:t>
      </w:r>
      <w:r w:rsidDel="00000000" w:rsidR="00000000" w:rsidRPr="00000000">
        <w:rPr>
          <w:rFonts w:ascii="Arial" w:cs="Arial" w:eastAsia="Arial" w:hAnsi="Arial"/>
          <w:rtl w:val="0"/>
        </w:rPr>
        <w:t xml:space="preserve"> sendo 590 na capital</w:t>
      </w:r>
      <w:r w:rsidDel="00000000" w:rsidR="00000000" w:rsidRPr="00000000">
        <w:rPr>
          <w:rFonts w:ascii="Arial" w:cs="Arial" w:eastAsia="Arial" w:hAnsi="Arial"/>
          <w:color w:val="ff0000"/>
          <w:rtl w:val="0"/>
        </w:rPr>
        <w:t xml:space="preserve">,</w:t>
      </w:r>
      <w:r w:rsidDel="00000000" w:rsidR="00000000" w:rsidRPr="00000000">
        <w:rPr>
          <w:rFonts w:ascii="Arial" w:cs="Arial" w:eastAsia="Arial" w:hAnsi="Arial"/>
          <w:rtl w:val="0"/>
        </w:rPr>
        <w:t xml:space="preserve"> Maceió. </w:t>
      </w:r>
      <w:r w:rsidDel="00000000" w:rsidR="00000000" w:rsidRPr="00000000">
        <w:rPr>
          <w:rFonts w:ascii="Arial" w:cs="Arial" w:eastAsia="Arial" w:hAnsi="Arial"/>
          <w:rtl w:val="0"/>
        </w:rPr>
        <w:t xml:space="preserve">O diagnóstico inicial é primordialmente clínico, os sintomas mais corriqueiros são dor abdominal, febre e náuseas, vômito, anorexia.</w:t>
      </w:r>
      <w:r w:rsidDel="00000000" w:rsidR="00000000" w:rsidRPr="00000000">
        <w:rPr>
          <w:rFonts w:ascii="Arial" w:cs="Arial" w:eastAsia="Arial" w:hAnsi="Arial"/>
          <w:rtl w:val="0"/>
        </w:rPr>
        <w:t xml:space="preserve"> Na apresentação clássica, a queixa inicial do paciente é dor abdominal periumbilical que se desloca para o quadrante inferior direito com a progressão da inflamação. Exames laboratoriais podem auxiliar no diagnóstico dessa doença. O padrão ouro para diagnóstico por imagem é a tomografia computadorizada de abdome total. A apendicectomia é o tratamento de escolha, pois reduz significativamente o risco de complicações. Sendo o método laparoscópico consagrado para este procedimento. Caso o diagnóstico tenha sido nas primeiras 48 horas, sem nenhuma intercorrência como peritonite generalizada, as incisões na fossa ilíaca direita de forma oblíqua centrada no ponto de McBurney (Incisão de McBurney) ou transversa (Incisão de Davis), são as preferidas, pois tem menor secção de fibras musculares da parede abdominal. </w:t>
      </w:r>
      <w:r w:rsidDel="00000000" w:rsidR="00000000" w:rsidRPr="00000000">
        <w:rPr>
          <w:rFonts w:ascii="Arial" w:cs="Arial" w:eastAsia="Arial" w:hAnsi="Arial"/>
          <w:highlight w:val="white"/>
          <w:rtl w:val="0"/>
        </w:rPr>
        <w:t xml:space="preserve">O prognóstico da apendicite aguda depende diretamente do diagnóstico e do manejo cirúrgico prévio. A facilidade do seu tratamento cirúrgico é diretamente proporcional ao tempo para intervenção.</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Até o momento não há estudos no Hospital Geral do Estado de Alagoas (HGE-AL), que comparem e quantifiquem a abordagem cirúrgica, através da incisão mediana infra-umbilical ou Davis, para a realização de apendicectomia. </w:t>
      </w:r>
      <w:r w:rsidDel="00000000" w:rsidR="00000000" w:rsidRPr="00000000">
        <w:rPr>
          <w:rFonts w:ascii="Arial" w:cs="Arial" w:eastAsia="Arial" w:hAnsi="Arial"/>
          <w:b w:val="1"/>
          <w:rtl w:val="0"/>
        </w:rPr>
        <w:t xml:space="preserve">Objetivo</w:t>
      </w:r>
      <w:r w:rsidDel="00000000" w:rsidR="00000000" w:rsidRPr="00000000">
        <w:rPr>
          <w:rFonts w:ascii="Arial" w:cs="Arial" w:eastAsia="Arial" w:hAnsi="Arial"/>
          <w:rtl w:val="0"/>
        </w:rPr>
        <w:t xml:space="preserve">: Avaliar a evolução dos pacientes que passaram por procedimento cirúrgico de apendicectomia com acesso à cavidade abdominal por incisão infra umbilical ou de Davis. </w:t>
      </w:r>
      <w:r w:rsidDel="00000000" w:rsidR="00000000" w:rsidRPr="00000000">
        <w:rPr>
          <w:rFonts w:ascii="Arial" w:cs="Arial" w:eastAsia="Arial" w:hAnsi="Arial"/>
          <w:b w:val="1"/>
          <w:rtl w:val="0"/>
        </w:rPr>
        <w:t xml:space="preserve">Metodologia</w:t>
      </w:r>
      <w:r w:rsidDel="00000000" w:rsidR="00000000" w:rsidRPr="00000000">
        <w:rPr>
          <w:rFonts w:ascii="Arial" w:cs="Arial" w:eastAsia="Arial" w:hAnsi="Arial"/>
          <w:rtl w:val="0"/>
        </w:rPr>
        <w:t xml:space="preserve">: Trata-se de um projeto de pesquisa onde será realizado um estudo quantitativo com pesquisa documental, em fontes secundárias contemporâneas (prontuários) do HGE- AL, que serão selecionados a partir dos critérios de inclusão e exclusão e analisados sem identificação dos pacientes, equipe ou hospital</w:t>
      </w:r>
      <w:r w:rsidDel="00000000" w:rsidR="00000000" w:rsidRPr="00000000">
        <w:rPr>
          <w:rFonts w:ascii="Arial" w:cs="Arial" w:eastAsia="Arial" w:hAnsi="Arial"/>
          <w:color w:val="ff0000"/>
          <w:rtl w:val="0"/>
        </w:rPr>
        <w:t xml:space="preserve">.</w:t>
      </w:r>
      <w:r w:rsidDel="00000000" w:rsidR="00000000" w:rsidRPr="00000000">
        <w:rPr>
          <w:rFonts w:ascii="Arial" w:cs="Arial" w:eastAsia="Arial" w:hAnsi="Arial"/>
          <w:rtl w:val="0"/>
        </w:rPr>
        <w:t xml:space="preserve"> </w:t>
      </w:r>
      <w:r w:rsidDel="00000000" w:rsidR="00000000" w:rsidRPr="00000000">
        <w:rPr>
          <w:rFonts w:ascii="Roboto" w:cs="Roboto" w:eastAsia="Roboto" w:hAnsi="Roboto"/>
          <w:highlight w:val="white"/>
          <w:rtl w:val="0"/>
        </w:rPr>
        <w:t xml:space="preserve">Após coleta, os dados serão tabulados para melhor análise do cenário encontrado.</w:t>
      </w:r>
      <w:r w:rsidDel="00000000" w:rsidR="00000000" w:rsidRPr="00000000">
        <w:rPr>
          <w:rtl w:val="0"/>
        </w:rPr>
      </w:r>
    </w:p>
    <w:p w:rsidR="00000000" w:rsidDel="00000000" w:rsidP="00000000" w:rsidRDefault="00000000" w:rsidRPr="00000000" w14:paraId="00000014">
      <w:pPr>
        <w:widowControl w:val="0"/>
        <w:ind w:right="49"/>
        <w:jc w:val="right"/>
        <w:rPr>
          <w:rFonts w:ascii="Arial" w:cs="Arial" w:eastAsia="Arial" w:hAnsi="Arial"/>
          <w:i w:val="1"/>
          <w:color w:val="ff0000"/>
        </w:rPr>
      </w:pPr>
      <w:r w:rsidDel="00000000" w:rsidR="00000000" w:rsidRPr="00000000">
        <w:rPr>
          <w:rtl w:val="0"/>
        </w:rPr>
      </w:r>
    </w:p>
    <w:p w:rsidR="00000000" w:rsidDel="00000000" w:rsidP="00000000" w:rsidRDefault="00000000" w:rsidRPr="00000000" w14:paraId="00000015">
      <w:pPr>
        <w:widowControl w:val="0"/>
        <w:ind w:right="135"/>
        <w:jc w:val="both"/>
        <w:rPr>
          <w:rFonts w:ascii="Arial" w:cs="Arial" w:eastAsia="Arial" w:hAnsi="Arial"/>
          <w:i w:val="1"/>
        </w:rPr>
      </w:pPr>
      <w:r w:rsidDel="00000000" w:rsidR="00000000" w:rsidRPr="00000000">
        <w:rPr>
          <w:rFonts w:ascii="Arial" w:cs="Arial" w:eastAsia="Arial" w:hAnsi="Arial"/>
          <w:rtl w:val="0"/>
        </w:rPr>
        <w:t xml:space="preserve">PALAVRAS-CHAVE:</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Cirurgia. Apendicite. Laparotomia. </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headerReference r:id="rId7" w:type="default"/>
      <w:footerReference r:id="rId8" w:type="default"/>
      <w:pgSz w:h="16838" w:w="11906" w:orient="portrait"/>
      <w:pgMar w:bottom="1417" w:top="1417" w:left="1701" w:right="1701" w:header="28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Jaapokk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Jaapokki" w:cs="Jaapokki" w:eastAsia="Jaapokki" w:hAnsi="Jaapokki"/>
        <w:b w:val="0"/>
        <w:i w:val="0"/>
        <w:smallCaps w:val="0"/>
        <w:strike w:val="0"/>
        <w:color w:val="0070c0"/>
        <w:sz w:val="24"/>
        <w:szCs w:val="24"/>
        <w:u w:val="none"/>
        <w:shd w:fill="auto" w:val="clear"/>
        <w:vertAlign w:val="baseline"/>
      </w:rPr>
    </w:pPr>
    <w:r w:rsidDel="00000000" w:rsidR="00000000" w:rsidRPr="00000000">
      <w:rPr>
        <w:rFonts w:ascii="Jaapokki" w:cs="Jaapokki" w:eastAsia="Jaapokki" w:hAnsi="Jaapokki"/>
        <w:b w:val="0"/>
        <w:i w:val="0"/>
        <w:smallCaps w:val="0"/>
        <w:strike w:val="0"/>
        <w:color w:val="0070c0"/>
        <w:sz w:val="24"/>
        <w:szCs w:val="24"/>
        <w:u w:val="none"/>
        <w:shd w:fill="auto" w:val="clear"/>
        <w:vertAlign w:val="baseline"/>
        <w:rtl w:val="0"/>
      </w:rPr>
      <w:t xml:space="preserve">congresso.academico@cesmac.edu.br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-330199</wp:posOffset>
              </wp:positionH>
              <wp:positionV relativeFrom="paragraph">
                <wp:posOffset>-101599</wp:posOffset>
              </wp:positionV>
              <wp:extent cx="6212205" cy="55244"/>
              <wp:effectExtent b="0" l="0" r="0" t="0"/>
              <wp:wrapNone/>
              <wp:docPr id="3" name=""/>
              <a:graphic>
                <a:graphicData uri="http://schemas.microsoft.com/office/word/2010/wordprocessingShape">
                  <wps:wsp>
                    <wps:cNvSpPr/>
                    <wps:cNvPr id="2" name="Shape 2"/>
                    <wps:spPr>
                      <a:xfrm>
                        <a:off x="2244660" y="3757141"/>
                        <a:ext cx="6202680" cy="45719"/>
                      </a:xfrm>
                      <a:prstGeom prst="rect">
                        <a:avLst/>
                      </a:prstGeom>
                      <a:solidFill>
                        <a:srgbClr val="FFC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-330199</wp:posOffset>
              </wp:positionH>
              <wp:positionV relativeFrom="paragraph">
                <wp:posOffset>-101599</wp:posOffset>
              </wp:positionV>
              <wp:extent cx="6212205" cy="55244"/>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212205" cy="55244"/>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 w:val="left" w:pos="68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234884" cy="1312717"/>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34884" cy="1312717"/>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1FoeF3UGXIDX3FlhqXgrXkPT+g==">AMUW2mWCQhQnXmuNbJSJKmJqDrmi6AXBmMh2NJHmxFG4W6eJAdb8bTMDfgyJjiDos2ni7spa0ky19DC+vVhYZPG4IOS43GUK4Q8HzpLqjPjGvmt1jL/ErNI=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