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63397" w14:textId="77777777" w:rsidR="00B77694" w:rsidRDefault="00000000">
      <w:pPr>
        <w:widowControl/>
        <w:jc w:val="center"/>
        <w:rPr>
          <w:b/>
          <w:sz w:val="24"/>
          <w:szCs w:val="24"/>
        </w:rPr>
      </w:pPr>
      <w:r>
        <w:rPr>
          <w:b/>
          <w:sz w:val="24"/>
          <w:szCs w:val="24"/>
        </w:rPr>
        <w:t>AVALIAÇÃO DO POTENCIAL ANTIFÚNGICO DOS RESÍDUOS DO BENEFICIAMENTO DA NOZ DA MACADÂMIA (</w:t>
      </w:r>
      <w:r>
        <w:rPr>
          <w:b/>
          <w:i/>
          <w:sz w:val="24"/>
          <w:szCs w:val="24"/>
        </w:rPr>
        <w:t>Macadamia integrifolia</w:t>
      </w:r>
      <w:r>
        <w:rPr>
          <w:b/>
          <w:sz w:val="24"/>
          <w:szCs w:val="24"/>
        </w:rPr>
        <w:t xml:space="preserve">) </w:t>
      </w:r>
    </w:p>
    <w:p w14:paraId="5585D423" w14:textId="77777777" w:rsidR="00B77694" w:rsidRDefault="00B77694">
      <w:pPr>
        <w:widowControl/>
        <w:jc w:val="center"/>
        <w:rPr>
          <w:b/>
          <w:sz w:val="24"/>
          <w:szCs w:val="24"/>
        </w:rPr>
      </w:pPr>
      <w:bookmarkStart w:id="0" w:name="_heading=h.gjdgxs" w:colFirst="0" w:colLast="0"/>
      <w:bookmarkEnd w:id="0"/>
    </w:p>
    <w:p w14:paraId="0A2829F8" w14:textId="15C9C360" w:rsidR="00B77694" w:rsidRPr="00A46334" w:rsidRDefault="00000000">
      <w:pPr>
        <w:spacing w:line="276" w:lineRule="auto"/>
        <w:ind w:left="221" w:right="214"/>
        <w:jc w:val="center"/>
        <w:rPr>
          <w:b/>
          <w:sz w:val="20"/>
          <w:szCs w:val="20"/>
        </w:rPr>
      </w:pPr>
      <w:r>
        <w:rPr>
          <w:b/>
          <w:sz w:val="20"/>
          <w:szCs w:val="20"/>
        </w:rPr>
        <w:t>Ana Beatriz Cardoso de Sousa</w:t>
      </w:r>
      <w:r>
        <w:rPr>
          <w:b/>
          <w:sz w:val="20"/>
          <w:szCs w:val="20"/>
          <w:vertAlign w:val="superscript"/>
        </w:rPr>
        <w:t>1</w:t>
      </w:r>
      <w:r>
        <w:rPr>
          <w:b/>
          <w:sz w:val="20"/>
          <w:szCs w:val="20"/>
        </w:rPr>
        <w:t>, Natália Dias de Souza</w:t>
      </w:r>
      <w:r>
        <w:rPr>
          <w:b/>
          <w:sz w:val="20"/>
          <w:szCs w:val="20"/>
          <w:vertAlign w:val="superscript"/>
        </w:rPr>
        <w:t>2</w:t>
      </w:r>
      <w:r>
        <w:rPr>
          <w:b/>
          <w:sz w:val="20"/>
          <w:szCs w:val="20"/>
        </w:rPr>
        <w:t>, Águida Aparecida de Oliveira</w:t>
      </w:r>
      <w:r>
        <w:rPr>
          <w:b/>
          <w:sz w:val="20"/>
          <w:szCs w:val="20"/>
          <w:vertAlign w:val="superscript"/>
        </w:rPr>
        <w:t>3</w:t>
      </w:r>
      <w:r>
        <w:rPr>
          <w:b/>
          <w:sz w:val="20"/>
          <w:szCs w:val="20"/>
        </w:rPr>
        <w:t>, Brenda Barbosa dos Santos</w:t>
      </w:r>
      <w:r>
        <w:rPr>
          <w:b/>
          <w:sz w:val="20"/>
          <w:szCs w:val="20"/>
          <w:vertAlign w:val="superscript"/>
        </w:rPr>
        <w:t>4</w:t>
      </w:r>
      <w:r>
        <w:rPr>
          <w:b/>
          <w:sz w:val="20"/>
          <w:szCs w:val="20"/>
        </w:rPr>
        <w:t>, Rickson Alves Marques</w:t>
      </w:r>
      <w:r>
        <w:rPr>
          <w:b/>
          <w:sz w:val="20"/>
          <w:szCs w:val="20"/>
          <w:vertAlign w:val="superscript"/>
        </w:rPr>
        <w:t>5</w:t>
      </w:r>
      <w:r>
        <w:rPr>
          <w:b/>
          <w:sz w:val="20"/>
          <w:szCs w:val="20"/>
        </w:rPr>
        <w:t xml:space="preserve">, Ana Helise Abreu Rodrigues da Silva </w:t>
      </w:r>
      <w:r>
        <w:rPr>
          <w:b/>
          <w:sz w:val="20"/>
          <w:szCs w:val="20"/>
          <w:vertAlign w:val="superscript"/>
        </w:rPr>
        <w:t>6</w:t>
      </w:r>
      <w:r w:rsidR="00A46334">
        <w:rPr>
          <w:b/>
          <w:sz w:val="20"/>
          <w:szCs w:val="20"/>
        </w:rPr>
        <w:t>.</w:t>
      </w:r>
    </w:p>
    <w:p w14:paraId="41DECE1C" w14:textId="77777777" w:rsidR="00B77694" w:rsidRDefault="00000000">
      <w:pPr>
        <w:spacing w:line="276" w:lineRule="auto"/>
        <w:ind w:left="221" w:right="214"/>
        <w:jc w:val="center"/>
        <w:rPr>
          <w:sz w:val="20"/>
          <w:szCs w:val="20"/>
        </w:rPr>
      </w:pPr>
      <w:r>
        <w:rPr>
          <w:sz w:val="20"/>
          <w:szCs w:val="20"/>
        </w:rPr>
        <w:t>Universidade Federal Rural do Rio de Janeiro (UFRRJ).</w:t>
      </w:r>
    </w:p>
    <w:p w14:paraId="1B95D8CC" w14:textId="77777777" w:rsidR="00B77694" w:rsidRDefault="00000000">
      <w:pPr>
        <w:spacing w:line="276" w:lineRule="auto"/>
        <w:ind w:left="221" w:right="214"/>
        <w:jc w:val="center"/>
        <w:rPr>
          <w:sz w:val="20"/>
          <w:szCs w:val="20"/>
        </w:rPr>
      </w:pPr>
      <w:bookmarkStart w:id="1" w:name="_heading=h.yp96iwu2o7wg" w:colFirst="0" w:colLast="0"/>
      <w:bookmarkEnd w:id="1"/>
      <w:r>
        <w:rPr>
          <w:sz w:val="20"/>
          <w:szCs w:val="20"/>
        </w:rPr>
        <w:t>anab.cardosos99@gmail.com</w:t>
      </w:r>
    </w:p>
    <w:p w14:paraId="5EAACEAB" w14:textId="77777777" w:rsidR="00B77694" w:rsidRDefault="00000000">
      <w:pPr>
        <w:jc w:val="center"/>
        <w:rPr>
          <w:sz w:val="20"/>
          <w:szCs w:val="20"/>
        </w:rPr>
      </w:pPr>
      <w:r>
        <w:rPr>
          <w:sz w:val="20"/>
          <w:szCs w:val="20"/>
        </w:rPr>
        <w:t>_____________________________________________________________________________________</w:t>
      </w:r>
    </w:p>
    <w:p w14:paraId="59C757AD" w14:textId="77777777" w:rsidR="00B77694" w:rsidRDefault="00B77694">
      <w:pPr>
        <w:jc w:val="both"/>
        <w:rPr>
          <w:sz w:val="20"/>
          <w:szCs w:val="20"/>
        </w:rPr>
      </w:pPr>
    </w:p>
    <w:p w14:paraId="4F7B74B8" w14:textId="77777777" w:rsidR="00B77694" w:rsidRDefault="00000000">
      <w:pPr>
        <w:jc w:val="both"/>
        <w:rPr>
          <w:sz w:val="20"/>
          <w:szCs w:val="20"/>
        </w:rPr>
      </w:pPr>
      <w:r>
        <w:rPr>
          <w:b/>
          <w:sz w:val="20"/>
          <w:szCs w:val="20"/>
        </w:rPr>
        <w:t>RESUMO</w:t>
      </w:r>
      <w:r>
        <w:rPr>
          <w:sz w:val="20"/>
          <w:szCs w:val="20"/>
        </w:rPr>
        <w:t xml:space="preserve"> </w:t>
      </w:r>
    </w:p>
    <w:p w14:paraId="4E398DC3" w14:textId="7ECA9E8F" w:rsidR="00B77694" w:rsidRDefault="00000000">
      <w:pPr>
        <w:widowControl/>
        <w:ind w:right="4"/>
        <w:jc w:val="both"/>
        <w:rPr>
          <w:sz w:val="20"/>
          <w:szCs w:val="20"/>
        </w:rPr>
      </w:pPr>
      <w:r>
        <w:rPr>
          <w:sz w:val="20"/>
          <w:szCs w:val="20"/>
        </w:rPr>
        <w:t xml:space="preserve">O Brasil é destaque entre os maiores produtores de castanhas do mundo, incluindo espécies exóticas como a </w:t>
      </w:r>
      <w:r>
        <w:rPr>
          <w:i/>
          <w:sz w:val="20"/>
          <w:szCs w:val="20"/>
        </w:rPr>
        <w:t>Macadamia integrifolia (Maiden &amp; Beltche</w:t>
      </w:r>
      <w:r>
        <w:rPr>
          <w:sz w:val="20"/>
          <w:szCs w:val="20"/>
        </w:rPr>
        <w:t>). Sua noz apresenta alto valor comercial, impulsionada pelo desenvolvimento de uma série de produtos nas indústrias alimentícia e cosmética. Apesar do elevado potencial produtivo, o processamento da macadâmia gera uma quantidade significativa de resíduos, principalmente compostos pelas cascas, frequentemente descartados sem destinação adequada, o que representa um desafio ambiental para as indústrias do setor. No entanto, estudos demonstram que as cascas</w:t>
      </w:r>
      <w:r w:rsidR="00646D7C">
        <w:rPr>
          <w:sz w:val="20"/>
          <w:szCs w:val="20"/>
        </w:rPr>
        <w:t xml:space="preserve"> </w:t>
      </w:r>
      <w:r>
        <w:rPr>
          <w:sz w:val="20"/>
          <w:szCs w:val="20"/>
        </w:rPr>
        <w:t xml:space="preserve">do beneficiamento da noz da macadâmia são ricas em compostos bioativos, especialmente fenólicos, com reconhecido potencial antifúngico. Diante desse cenário, este trabalho teve como objetivo investigar o potencial antifúngico dos extratos obtidos a partir dos resíduos do beneficiamento da noz da macadâmia no combate ao fungo </w:t>
      </w:r>
      <w:r>
        <w:rPr>
          <w:i/>
          <w:sz w:val="20"/>
          <w:szCs w:val="20"/>
        </w:rPr>
        <w:t>Candida albicans.</w:t>
      </w:r>
      <w:r>
        <w:rPr>
          <w:sz w:val="20"/>
          <w:szCs w:val="20"/>
        </w:rPr>
        <w:t>. Para isso, foram comparados dois métodos de extração, por extrator do tipo Soxhlet e por infusão, com o intuito de identificar aquele com maior rendimento na obtenção dos compostos bioativos. Os extratos foram submetidos a ensaios antifúngicos em microplacas para atestar essa atividade e determinar a concentração inibitória mínima (CIM)</w:t>
      </w:r>
      <w:r w:rsidR="003E3A99">
        <w:rPr>
          <w:sz w:val="20"/>
          <w:szCs w:val="20"/>
        </w:rPr>
        <w:t xml:space="preserve"> e a concentração fungicida mínima (CFM)</w:t>
      </w:r>
      <w:r>
        <w:rPr>
          <w:sz w:val="20"/>
          <w:szCs w:val="20"/>
        </w:rPr>
        <w:t>. Pode-se concluir que os extratos apresentaram uma alternativa natural para o controle de infecções fúngicas.</w:t>
      </w:r>
    </w:p>
    <w:p w14:paraId="1100404B" w14:textId="77777777" w:rsidR="00B77694" w:rsidRDefault="00000000">
      <w:pPr>
        <w:widowControl/>
        <w:ind w:left="567" w:right="4" w:hanging="567"/>
        <w:rPr>
          <w:sz w:val="20"/>
          <w:szCs w:val="20"/>
        </w:rPr>
      </w:pPr>
      <w:r>
        <w:rPr>
          <w:i/>
          <w:sz w:val="20"/>
          <w:szCs w:val="20"/>
        </w:rPr>
        <w:t>Palavras-chave</w:t>
      </w:r>
      <w:r>
        <w:rPr>
          <w:sz w:val="20"/>
          <w:szCs w:val="20"/>
        </w:rPr>
        <w:t xml:space="preserve">: </w:t>
      </w:r>
      <w:r>
        <w:rPr>
          <w:i/>
          <w:sz w:val="20"/>
          <w:szCs w:val="20"/>
        </w:rPr>
        <w:t>Aproveitamento de resíduos</w:t>
      </w:r>
      <w:r>
        <w:rPr>
          <w:sz w:val="20"/>
          <w:szCs w:val="20"/>
        </w:rPr>
        <w:t xml:space="preserve">, </w:t>
      </w:r>
      <w:r>
        <w:rPr>
          <w:i/>
          <w:sz w:val="20"/>
          <w:szCs w:val="20"/>
        </w:rPr>
        <w:t>Candida albicans</w:t>
      </w:r>
      <w:r>
        <w:rPr>
          <w:sz w:val="20"/>
          <w:szCs w:val="20"/>
        </w:rPr>
        <w:t xml:space="preserve">, </w:t>
      </w:r>
      <w:r>
        <w:rPr>
          <w:i/>
          <w:sz w:val="20"/>
          <w:szCs w:val="20"/>
        </w:rPr>
        <w:t>Nogueira-macadâmia</w:t>
      </w:r>
      <w:r>
        <w:rPr>
          <w:sz w:val="20"/>
          <w:szCs w:val="20"/>
        </w:rPr>
        <w:t>.</w:t>
      </w:r>
    </w:p>
    <w:p w14:paraId="51AF378A" w14:textId="77777777" w:rsidR="00B77694" w:rsidRDefault="00B77694">
      <w:pPr>
        <w:widowControl/>
        <w:jc w:val="both"/>
        <w:rPr>
          <w:b/>
          <w:sz w:val="20"/>
          <w:szCs w:val="20"/>
        </w:rPr>
      </w:pPr>
    </w:p>
    <w:p w14:paraId="49F28F1C" w14:textId="77777777" w:rsidR="00B77694" w:rsidRDefault="00000000">
      <w:pPr>
        <w:widowControl/>
        <w:jc w:val="both"/>
        <w:rPr>
          <w:b/>
          <w:sz w:val="20"/>
          <w:szCs w:val="20"/>
        </w:rPr>
      </w:pPr>
      <w:r>
        <w:rPr>
          <w:b/>
          <w:sz w:val="20"/>
          <w:szCs w:val="20"/>
        </w:rPr>
        <w:t>INTRODUÇÃO</w:t>
      </w:r>
    </w:p>
    <w:p w14:paraId="7969072D" w14:textId="77777777" w:rsidR="00B77694" w:rsidRDefault="00B77694">
      <w:pPr>
        <w:widowControl/>
        <w:jc w:val="both"/>
        <w:rPr>
          <w:sz w:val="20"/>
          <w:szCs w:val="20"/>
        </w:rPr>
      </w:pPr>
    </w:p>
    <w:p w14:paraId="4D4539AA" w14:textId="335CF9A7" w:rsidR="00B77694" w:rsidRDefault="00000000">
      <w:pPr>
        <w:widowControl/>
        <w:ind w:firstLine="709"/>
        <w:jc w:val="both"/>
        <w:rPr>
          <w:sz w:val="20"/>
          <w:szCs w:val="20"/>
        </w:rPr>
      </w:pPr>
      <w:r>
        <w:rPr>
          <w:sz w:val="20"/>
          <w:szCs w:val="20"/>
        </w:rPr>
        <w:t xml:space="preserve">O gênero </w:t>
      </w:r>
      <w:r>
        <w:rPr>
          <w:i/>
          <w:sz w:val="20"/>
          <w:szCs w:val="20"/>
        </w:rPr>
        <w:t>Macadamia</w:t>
      </w:r>
      <w:r>
        <w:rPr>
          <w:sz w:val="20"/>
          <w:szCs w:val="20"/>
        </w:rPr>
        <w:t xml:space="preserve">, pertencente à família </w:t>
      </w:r>
      <w:r>
        <w:rPr>
          <w:i/>
          <w:sz w:val="20"/>
          <w:szCs w:val="20"/>
        </w:rPr>
        <w:t>Proteaceae</w:t>
      </w:r>
      <w:r>
        <w:rPr>
          <w:sz w:val="20"/>
          <w:szCs w:val="20"/>
        </w:rPr>
        <w:t xml:space="preserve">, abrange </w:t>
      </w:r>
      <w:r w:rsidR="00D07405">
        <w:rPr>
          <w:sz w:val="20"/>
          <w:szCs w:val="20"/>
        </w:rPr>
        <w:t xml:space="preserve">quatro </w:t>
      </w:r>
      <w:r>
        <w:rPr>
          <w:sz w:val="20"/>
          <w:szCs w:val="20"/>
        </w:rPr>
        <w:t>espécies</w:t>
      </w:r>
      <w:r w:rsidR="00D07405">
        <w:rPr>
          <w:sz w:val="20"/>
          <w:szCs w:val="20"/>
        </w:rPr>
        <w:t>, n</w:t>
      </w:r>
      <w:r>
        <w:rPr>
          <w:sz w:val="20"/>
          <w:szCs w:val="20"/>
        </w:rPr>
        <w:t>ativas da Austrália</w:t>
      </w:r>
      <w:r w:rsidR="00D07405">
        <w:rPr>
          <w:sz w:val="20"/>
          <w:szCs w:val="20"/>
        </w:rPr>
        <w:t xml:space="preserve">. </w:t>
      </w:r>
      <w:r>
        <w:rPr>
          <w:sz w:val="20"/>
          <w:szCs w:val="20"/>
        </w:rPr>
        <w:t>Dentre essas, está a Macadamia</w:t>
      </w:r>
      <w:r>
        <w:rPr>
          <w:i/>
          <w:sz w:val="20"/>
          <w:szCs w:val="20"/>
        </w:rPr>
        <w:t xml:space="preserve"> integrifolia</w:t>
      </w:r>
      <w:r>
        <w:rPr>
          <w:sz w:val="20"/>
          <w:szCs w:val="20"/>
        </w:rPr>
        <w:t xml:space="preserve">, cultivada comercialmente para produção de nozes comestíveis em uma série de regiões tropicais e subtropicais do planeta, incluindo no Brasil (MAI </w:t>
      </w:r>
      <w:r>
        <w:rPr>
          <w:i/>
          <w:sz w:val="20"/>
          <w:szCs w:val="20"/>
        </w:rPr>
        <w:t>et. al</w:t>
      </w:r>
      <w:r>
        <w:rPr>
          <w:sz w:val="20"/>
          <w:szCs w:val="20"/>
        </w:rPr>
        <w:t>., 2020).</w:t>
      </w:r>
    </w:p>
    <w:p w14:paraId="73C21362" w14:textId="77777777" w:rsidR="00B77694" w:rsidRDefault="00000000">
      <w:pPr>
        <w:widowControl/>
        <w:ind w:firstLine="709"/>
        <w:jc w:val="both"/>
        <w:rPr>
          <w:sz w:val="20"/>
          <w:szCs w:val="20"/>
        </w:rPr>
      </w:pPr>
      <w:r>
        <w:rPr>
          <w:sz w:val="20"/>
          <w:szCs w:val="20"/>
        </w:rPr>
        <w:t>Em 2022, a produção mundial de nozes de macadâmia foi de quase 300 mil toneladas em casca. Com base nesses dados, a World Macadamia Organisation (WMO) estima que a oferta de macadâmia dobrará nos próximos 4 a 5 anos e triplicará em uma década. Até 2030, a indústria prevê que a oferta global atingirá mais de 650 mil toneladas métricas (WORLD MACADAMIA, 2025).</w:t>
      </w:r>
    </w:p>
    <w:p w14:paraId="776E94A1" w14:textId="77777777" w:rsidR="00B77694" w:rsidRDefault="00000000">
      <w:pPr>
        <w:widowControl/>
        <w:ind w:firstLine="709"/>
        <w:jc w:val="both"/>
        <w:rPr>
          <w:sz w:val="20"/>
          <w:szCs w:val="20"/>
        </w:rPr>
      </w:pPr>
      <w:r>
        <w:rPr>
          <w:sz w:val="20"/>
          <w:szCs w:val="20"/>
        </w:rPr>
        <w:t xml:space="preserve">No Brasil, a produção de noz macadâmia também tem se expandido, tendo destaque entre os maiores países produtores do globo terrestre. No entanto, apesar do crescimento, a indústria enfrenta desafios relacionados à gestão dos resíduos gerados durante o processamento (RODRIGUES </w:t>
      </w:r>
      <w:r>
        <w:rPr>
          <w:i/>
          <w:sz w:val="20"/>
          <w:szCs w:val="20"/>
        </w:rPr>
        <w:t>et al.,</w:t>
      </w:r>
      <w:r>
        <w:rPr>
          <w:sz w:val="20"/>
          <w:szCs w:val="20"/>
        </w:rPr>
        <w:t xml:space="preserve"> 2016). Segundo Wattanasiriwech </w:t>
      </w:r>
      <w:r>
        <w:rPr>
          <w:i/>
          <w:sz w:val="20"/>
          <w:szCs w:val="20"/>
        </w:rPr>
        <w:t>et. al.</w:t>
      </w:r>
      <w:r>
        <w:rPr>
          <w:sz w:val="20"/>
          <w:szCs w:val="20"/>
        </w:rPr>
        <w:t xml:space="preserve"> (2023), a única parte comestível da macadâmia, a noz (ou amêndoa), representa somente 27,6% do peso total do fruto. Essa amêndoa é envolta por uma única e muito resistente casca marrom esférica, que é cercada por um pericarpo verde e fibroso (TRIPATHI </w:t>
      </w:r>
      <w:r>
        <w:rPr>
          <w:i/>
          <w:sz w:val="20"/>
          <w:szCs w:val="20"/>
        </w:rPr>
        <w:t>et al.</w:t>
      </w:r>
      <w:r>
        <w:rPr>
          <w:sz w:val="20"/>
          <w:szCs w:val="20"/>
        </w:rPr>
        <w:t>, 2023). Juntas, as cascas verde e marrom representam os outros 72,4% do peso do fruto, sendo frequentemente descartadas como resíduos com pouco valor agregado (WATTANASIRIWECH</w:t>
      </w:r>
      <w:r>
        <w:rPr>
          <w:i/>
          <w:sz w:val="20"/>
          <w:szCs w:val="20"/>
        </w:rPr>
        <w:t xml:space="preserve"> et al.,</w:t>
      </w:r>
      <w:r>
        <w:rPr>
          <w:sz w:val="20"/>
          <w:szCs w:val="20"/>
        </w:rPr>
        <w:t xml:space="preserve"> 2023). </w:t>
      </w:r>
    </w:p>
    <w:p w14:paraId="6848D268" w14:textId="12330CB4" w:rsidR="00B77694" w:rsidRDefault="00000000">
      <w:pPr>
        <w:widowControl/>
        <w:ind w:firstLine="708"/>
        <w:jc w:val="both"/>
        <w:rPr>
          <w:sz w:val="20"/>
          <w:szCs w:val="20"/>
        </w:rPr>
      </w:pPr>
      <w:r>
        <w:rPr>
          <w:sz w:val="20"/>
          <w:szCs w:val="20"/>
        </w:rPr>
        <w:t>As cascas de macadâmia têm sido muito estudadas a fim de explorar seu potencial de aplicação. De acordo com a Australian Macadamias (2023), o reaproveitamento das cascas de macadâmia contribui significativamente para a redução das emissões de carbono, transformando um resíduo agrícola em um recurso valioso para a mitigação das mudanças climáticas.</w:t>
      </w:r>
    </w:p>
    <w:p w14:paraId="4CBCCB9A" w14:textId="77777777" w:rsidR="00B77694" w:rsidRDefault="00000000">
      <w:pPr>
        <w:widowControl/>
        <w:ind w:firstLine="709"/>
        <w:jc w:val="both"/>
        <w:rPr>
          <w:sz w:val="20"/>
          <w:szCs w:val="20"/>
        </w:rPr>
      </w:pPr>
      <w:r>
        <w:rPr>
          <w:sz w:val="20"/>
          <w:szCs w:val="20"/>
        </w:rPr>
        <w:t xml:space="preserve">Dessarte, além de encontrar usos para esse resíduo e contribuir para a redução dos impactos ambientais associados ao seu descarte inapropriado, a inserção das cascas em cadeias produtivas é vista como uma fonte de baixo custo de fitoquímicos para o desenvolvimento de produtos de valor agregado nas indústrias alimentícia, farmacêutica e cosmética. Vale ressaltar que a escolha de um solvente apropriado é indispensável durante a extração dos compostos presentes na casca de macadâmia, já que podem ser úteis para aplicações funcionais desse subproduto (AHMED </w:t>
      </w:r>
      <w:r>
        <w:rPr>
          <w:i/>
          <w:sz w:val="20"/>
          <w:szCs w:val="20"/>
        </w:rPr>
        <w:t>et. al.</w:t>
      </w:r>
      <w:r>
        <w:rPr>
          <w:sz w:val="20"/>
          <w:szCs w:val="20"/>
        </w:rPr>
        <w:t>, 2024).</w:t>
      </w:r>
    </w:p>
    <w:p w14:paraId="01DBBB66" w14:textId="77777777" w:rsidR="00B77694" w:rsidRDefault="00000000">
      <w:pPr>
        <w:widowControl/>
        <w:ind w:firstLine="709"/>
        <w:jc w:val="both"/>
        <w:rPr>
          <w:sz w:val="20"/>
          <w:szCs w:val="20"/>
        </w:rPr>
      </w:pPr>
      <w:r>
        <w:rPr>
          <w:sz w:val="20"/>
          <w:szCs w:val="20"/>
        </w:rPr>
        <w:t xml:space="preserve">Uma alternativa promissora, considerando os compostos bioativos existentes na casca de </w:t>
      </w:r>
      <w:r>
        <w:rPr>
          <w:i/>
          <w:sz w:val="20"/>
          <w:szCs w:val="20"/>
        </w:rPr>
        <w:t xml:space="preserve">Macadamia integrifolia, </w:t>
      </w:r>
      <w:r>
        <w:rPr>
          <w:sz w:val="20"/>
          <w:szCs w:val="20"/>
        </w:rPr>
        <w:t xml:space="preserve">é sua aplicação no combate a fungos do gênero </w:t>
      </w:r>
      <w:r>
        <w:rPr>
          <w:i/>
          <w:sz w:val="20"/>
          <w:szCs w:val="20"/>
        </w:rPr>
        <w:t>Candida</w:t>
      </w:r>
      <w:r>
        <w:rPr>
          <w:sz w:val="20"/>
          <w:szCs w:val="20"/>
        </w:rPr>
        <w:t xml:space="preserve">, responsáveis por uma série de infecções em seres humanos e animais. Estudos recentes mostram que compostos fenólicos </w:t>
      </w:r>
      <w:r>
        <w:rPr>
          <w:sz w:val="20"/>
          <w:szCs w:val="20"/>
        </w:rPr>
        <w:lastRenderedPageBreak/>
        <w:t xml:space="preserve">presentes nas cascas de algumas espécies vegetais apresentaram atividade antifúngica contra cepas de </w:t>
      </w:r>
      <w:r>
        <w:rPr>
          <w:i/>
          <w:sz w:val="20"/>
          <w:szCs w:val="20"/>
        </w:rPr>
        <w:t xml:space="preserve">Candida albicans, Candida krusei </w:t>
      </w:r>
      <w:r>
        <w:rPr>
          <w:sz w:val="20"/>
          <w:szCs w:val="20"/>
        </w:rPr>
        <w:t xml:space="preserve">e </w:t>
      </w:r>
      <w:r>
        <w:rPr>
          <w:i/>
          <w:sz w:val="20"/>
          <w:szCs w:val="20"/>
        </w:rPr>
        <w:t>Candida tropicalis</w:t>
      </w:r>
      <w:r>
        <w:rPr>
          <w:sz w:val="20"/>
          <w:szCs w:val="20"/>
        </w:rPr>
        <w:t xml:space="preserve"> (COSTA </w:t>
      </w:r>
      <w:r>
        <w:rPr>
          <w:i/>
          <w:sz w:val="20"/>
          <w:szCs w:val="20"/>
        </w:rPr>
        <w:t>et. al.,</w:t>
      </w:r>
      <w:r>
        <w:rPr>
          <w:sz w:val="20"/>
          <w:szCs w:val="20"/>
        </w:rPr>
        <w:t xml:space="preserve"> 2021). A atividade foi atribuída principalmente à presença de compostos fenólicos, conhecidos por suas propriedades antimicrobianas, que, segundo Silva </w:t>
      </w:r>
      <w:r>
        <w:rPr>
          <w:i/>
          <w:sz w:val="20"/>
          <w:szCs w:val="20"/>
        </w:rPr>
        <w:t xml:space="preserve">et al. </w:t>
      </w:r>
      <w:r>
        <w:rPr>
          <w:sz w:val="20"/>
          <w:szCs w:val="20"/>
        </w:rPr>
        <w:t xml:space="preserve">(2023), constituem a casca de noz macadâmia. Esses resultados reforçam a viabilidade de explorar subprodutos vegetais ricos em fenóis, como as cascas de macadâmia, na busca por agentes antifúngicos alternativos, especialmente frente à crescente resistência de </w:t>
      </w:r>
      <w:r>
        <w:rPr>
          <w:i/>
          <w:sz w:val="20"/>
          <w:szCs w:val="20"/>
        </w:rPr>
        <w:t>Candida</w:t>
      </w:r>
      <w:r>
        <w:rPr>
          <w:sz w:val="20"/>
          <w:szCs w:val="20"/>
        </w:rPr>
        <w:t xml:space="preserve"> aos antifúngicos convencionais.</w:t>
      </w:r>
    </w:p>
    <w:p w14:paraId="65B0F379" w14:textId="7CC75CB0" w:rsidR="00B77694" w:rsidRDefault="00000000">
      <w:pPr>
        <w:widowControl/>
        <w:ind w:firstLine="708"/>
        <w:jc w:val="both"/>
        <w:rPr>
          <w:sz w:val="20"/>
          <w:szCs w:val="20"/>
        </w:rPr>
      </w:pPr>
      <w:r>
        <w:rPr>
          <w:sz w:val="20"/>
          <w:szCs w:val="20"/>
        </w:rPr>
        <w:t xml:space="preserve">Diante disso, este trabalho teve como objetivo avaliar o potencial antifúngico dos extratos obtidos a partir dos resíduos do beneficiamento da noz da macadâmia no combate ao fungo </w:t>
      </w:r>
      <w:r>
        <w:rPr>
          <w:i/>
          <w:sz w:val="20"/>
          <w:szCs w:val="20"/>
        </w:rPr>
        <w:t xml:space="preserve">Candida albicans. </w:t>
      </w:r>
    </w:p>
    <w:p w14:paraId="5079445F" w14:textId="77777777" w:rsidR="00B77694" w:rsidRDefault="00B77694">
      <w:pPr>
        <w:widowControl/>
        <w:ind w:firstLine="708"/>
        <w:jc w:val="both"/>
        <w:rPr>
          <w:sz w:val="20"/>
          <w:szCs w:val="20"/>
        </w:rPr>
      </w:pPr>
    </w:p>
    <w:p w14:paraId="5740D211" w14:textId="77777777" w:rsidR="00B77694" w:rsidRDefault="00000000">
      <w:pPr>
        <w:widowControl/>
        <w:jc w:val="both"/>
        <w:rPr>
          <w:sz w:val="20"/>
          <w:szCs w:val="20"/>
        </w:rPr>
      </w:pPr>
      <w:r>
        <w:rPr>
          <w:b/>
          <w:sz w:val="20"/>
          <w:szCs w:val="20"/>
        </w:rPr>
        <w:t xml:space="preserve">MATERIAL E MÉTODOS </w:t>
      </w:r>
    </w:p>
    <w:p w14:paraId="6CC7C30B" w14:textId="77777777" w:rsidR="00B77694" w:rsidRDefault="00B77694">
      <w:pPr>
        <w:widowControl/>
        <w:jc w:val="both"/>
        <w:rPr>
          <w:sz w:val="20"/>
          <w:szCs w:val="20"/>
        </w:rPr>
      </w:pPr>
    </w:p>
    <w:p w14:paraId="46927A47" w14:textId="77777777" w:rsidR="00B77694" w:rsidRDefault="00000000">
      <w:pPr>
        <w:widowControl/>
        <w:rPr>
          <w:b/>
          <w:sz w:val="20"/>
          <w:szCs w:val="20"/>
        </w:rPr>
      </w:pPr>
      <w:r>
        <w:rPr>
          <w:b/>
          <w:sz w:val="20"/>
          <w:szCs w:val="20"/>
        </w:rPr>
        <w:t>Coleta do material vegetal</w:t>
      </w:r>
    </w:p>
    <w:p w14:paraId="7C69C43D" w14:textId="77777777" w:rsidR="00B77694" w:rsidRDefault="00000000">
      <w:pPr>
        <w:widowControl/>
        <w:jc w:val="both"/>
        <w:rPr>
          <w:sz w:val="20"/>
          <w:szCs w:val="20"/>
        </w:rPr>
      </w:pPr>
      <w:r>
        <w:rPr>
          <w:b/>
          <w:sz w:val="20"/>
          <w:szCs w:val="20"/>
        </w:rPr>
        <w:t xml:space="preserve"> </w:t>
      </w:r>
      <w:r>
        <w:rPr>
          <w:b/>
          <w:sz w:val="20"/>
          <w:szCs w:val="20"/>
        </w:rPr>
        <w:tab/>
      </w:r>
      <w:r>
        <w:rPr>
          <w:sz w:val="20"/>
          <w:szCs w:val="20"/>
        </w:rPr>
        <w:t>Os endocarpos (cascas dos frutos de Macadâmia) utilizados neste estudo foram coletados na unidade industrial de processamento de nozes TRIBECA, situada da Fazenda Santa Marta, no município de Piraí, estado do Rio de Janeiro.</w:t>
      </w:r>
    </w:p>
    <w:p w14:paraId="009A5F2F" w14:textId="77777777" w:rsidR="00B77694" w:rsidRDefault="00000000">
      <w:pPr>
        <w:widowControl/>
        <w:rPr>
          <w:sz w:val="20"/>
          <w:szCs w:val="20"/>
        </w:rPr>
      </w:pPr>
      <w:r>
        <w:rPr>
          <w:sz w:val="20"/>
          <w:szCs w:val="20"/>
        </w:rPr>
        <w:t xml:space="preserve"> </w:t>
      </w:r>
    </w:p>
    <w:p w14:paraId="3D424DD7" w14:textId="77777777" w:rsidR="00B77694" w:rsidRDefault="00000000">
      <w:pPr>
        <w:widowControl/>
        <w:rPr>
          <w:b/>
          <w:sz w:val="20"/>
          <w:szCs w:val="20"/>
        </w:rPr>
      </w:pPr>
      <w:r>
        <w:rPr>
          <w:b/>
          <w:sz w:val="20"/>
          <w:szCs w:val="20"/>
        </w:rPr>
        <w:t>Determinação do teor de umidade</w:t>
      </w:r>
    </w:p>
    <w:p w14:paraId="33B0FAB0" w14:textId="4A1E91EE" w:rsidR="00B77694" w:rsidRDefault="00000000">
      <w:pPr>
        <w:widowControl/>
        <w:jc w:val="both"/>
        <w:rPr>
          <w:sz w:val="20"/>
          <w:szCs w:val="20"/>
        </w:rPr>
      </w:pPr>
      <w:r>
        <w:rPr>
          <w:b/>
          <w:sz w:val="20"/>
          <w:szCs w:val="20"/>
        </w:rPr>
        <w:tab/>
      </w:r>
      <w:r>
        <w:rPr>
          <w:sz w:val="20"/>
          <w:szCs w:val="20"/>
        </w:rPr>
        <w:t>As amostras foram moídas em moinho tipo Willey e a fração utilizada foi a que ficou retida na peneira de malha 60 mesh, secas em estufa para a determinação do teor de umidade pelo método da norma ABNT NBR 14929:2003, em que foram usados 2 g de peso úmido. O teor de umidade foi realizad</w:t>
      </w:r>
      <w:r w:rsidR="00037577">
        <w:rPr>
          <w:sz w:val="20"/>
          <w:szCs w:val="20"/>
        </w:rPr>
        <w:t>o</w:t>
      </w:r>
      <w:r>
        <w:rPr>
          <w:sz w:val="20"/>
          <w:szCs w:val="20"/>
        </w:rPr>
        <w:t xml:space="preserve"> por meio da seguinte equação:</w:t>
      </w:r>
    </w:p>
    <w:p w14:paraId="278DFF1E" w14:textId="77777777" w:rsidR="00B77694" w:rsidRDefault="00B77694">
      <w:pPr>
        <w:widowControl/>
        <w:jc w:val="both"/>
        <w:rPr>
          <w:sz w:val="20"/>
          <w:szCs w:val="20"/>
        </w:rPr>
      </w:pPr>
    </w:p>
    <w:p w14:paraId="0D80D8D3" w14:textId="77777777" w:rsidR="00B77694"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TU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m:t>
              </m:r>
            </m:e>
          </m:d>
          <m:r>
            <w:rPr>
              <w:rFonts w:ascii="Cambria Math" w:eastAsia="Cambria Math" w:hAnsi="Cambria Math" w:cs="Cambria Math"/>
              <w:sz w:val="20"/>
              <w:szCs w:val="20"/>
            </w:rPr>
            <m:t>=</m:t>
          </m:r>
          <m:d>
            <m:dPr>
              <m:begChr m:val="["/>
              <m:endChr m:val="]"/>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r>
                    <w:rPr>
                      <w:rFonts w:ascii="Cambria Math" w:eastAsia="Cambria Math" w:hAnsi="Cambria Math" w:cs="Cambria Math"/>
                      <w:sz w:val="20"/>
                      <w:szCs w:val="20"/>
                    </w:rPr>
                    <m:t>PU-PS</m:t>
                  </m:r>
                </m:num>
                <m:den>
                  <m:r>
                    <w:rPr>
                      <w:rFonts w:ascii="Cambria Math" w:eastAsia="Cambria Math" w:hAnsi="Cambria Math" w:cs="Cambria Math"/>
                      <w:sz w:val="20"/>
                      <w:szCs w:val="20"/>
                    </w:rPr>
                    <m:t>PS</m:t>
                  </m:r>
                </m:den>
              </m:f>
            </m:e>
          </m:d>
          <m:r>
            <w:rPr>
              <w:rFonts w:ascii="Cambria Math" w:eastAsia="Cambria Math" w:hAnsi="Cambria Math" w:cs="Cambria Math"/>
              <w:sz w:val="20"/>
              <w:szCs w:val="20"/>
            </w:rPr>
            <m:t>*100</m:t>
          </m:r>
        </m:oMath>
      </m:oMathPara>
    </w:p>
    <w:p w14:paraId="230ACF9A" w14:textId="77777777" w:rsidR="00B77694" w:rsidRDefault="00B77694">
      <w:pPr>
        <w:widowControl/>
        <w:jc w:val="both"/>
        <w:rPr>
          <w:sz w:val="20"/>
          <w:szCs w:val="20"/>
        </w:rPr>
      </w:pPr>
    </w:p>
    <w:p w14:paraId="70CAFC37" w14:textId="77777777" w:rsidR="00B77694" w:rsidRDefault="00000000">
      <w:pPr>
        <w:widowControl/>
        <w:jc w:val="both"/>
        <w:rPr>
          <w:sz w:val="20"/>
          <w:szCs w:val="20"/>
        </w:rPr>
      </w:pPr>
      <w:r>
        <w:rPr>
          <w:sz w:val="20"/>
          <w:szCs w:val="20"/>
        </w:rPr>
        <w:t>em que: TU o teor de umidade, PU o peso da massa úmida (g) e PS o peso final da amostra seca e estabilizada (g).</w:t>
      </w:r>
    </w:p>
    <w:p w14:paraId="363ACFCE" w14:textId="77777777" w:rsidR="00B77694" w:rsidRDefault="00B77694">
      <w:pPr>
        <w:widowControl/>
        <w:rPr>
          <w:b/>
          <w:sz w:val="20"/>
          <w:szCs w:val="20"/>
        </w:rPr>
      </w:pPr>
    </w:p>
    <w:p w14:paraId="0942D533" w14:textId="77777777" w:rsidR="00B77694" w:rsidRDefault="00000000">
      <w:pPr>
        <w:widowControl/>
        <w:rPr>
          <w:b/>
          <w:sz w:val="20"/>
          <w:szCs w:val="20"/>
        </w:rPr>
      </w:pPr>
      <w:r>
        <w:rPr>
          <w:b/>
          <w:sz w:val="20"/>
          <w:szCs w:val="20"/>
        </w:rPr>
        <w:t>Determinação dos extrativos</w:t>
      </w:r>
    </w:p>
    <w:p w14:paraId="63F9C451" w14:textId="77777777" w:rsidR="00B77694" w:rsidRDefault="00000000">
      <w:pPr>
        <w:widowControl/>
        <w:jc w:val="both"/>
        <w:rPr>
          <w:sz w:val="20"/>
          <w:szCs w:val="20"/>
        </w:rPr>
      </w:pPr>
      <w:r>
        <w:rPr>
          <w:sz w:val="20"/>
          <w:szCs w:val="20"/>
        </w:rPr>
        <w:tab/>
        <w:t>Após a determinação do teor de umidade, as extrações foram realizadas com etanol utilizando dois métodos distintos, com o objetivo de comparar a eficiência de cada um. O primeiro método empregou um extrator do tipo Soxhlet, segundo protocolo adaptado da norma ASTM D1105, utilizando 10 g do peso seco da amostra. O segundo consistiu na técnica de infusão, conforme descrito por Siswadi e Saragih (2021). As extrações foram feitas em duplicata para garantir a confiabilidade dos resultados. Em seguida, cada amostra foi filtrada e submetida ao processo de destilação em sistema rotavapor em banho-maria a 80°C com o objetivo de remover o excesso de etanol. Posteriormente, os extratos foram deixados em uma capela de exaustão até a completa secagem.</w:t>
      </w:r>
    </w:p>
    <w:p w14:paraId="7FED3981" w14:textId="77777777" w:rsidR="00B77694" w:rsidRDefault="00B77694">
      <w:pPr>
        <w:widowControl/>
        <w:ind w:firstLine="709"/>
        <w:jc w:val="both"/>
        <w:rPr>
          <w:sz w:val="20"/>
          <w:szCs w:val="20"/>
        </w:rPr>
      </w:pPr>
    </w:p>
    <w:p w14:paraId="4AC40126" w14:textId="4BFCA768" w:rsidR="00B77694" w:rsidRDefault="00000000">
      <w:pPr>
        <w:widowControl/>
        <w:jc w:val="both"/>
        <w:rPr>
          <w:b/>
          <w:sz w:val="20"/>
          <w:szCs w:val="20"/>
        </w:rPr>
      </w:pPr>
      <w:r>
        <w:rPr>
          <w:b/>
          <w:sz w:val="20"/>
          <w:szCs w:val="20"/>
        </w:rPr>
        <w:t>Avaliação da Atividade Antifúngica através da determinação da concentração inibitória mínima (CIM)</w:t>
      </w:r>
      <w:r w:rsidR="00BD1E10">
        <w:rPr>
          <w:b/>
          <w:sz w:val="20"/>
          <w:szCs w:val="20"/>
        </w:rPr>
        <w:t xml:space="preserve"> e </w:t>
      </w:r>
      <w:r w:rsidR="003E3A99">
        <w:rPr>
          <w:b/>
          <w:sz w:val="20"/>
          <w:szCs w:val="20"/>
        </w:rPr>
        <w:t>da concentração fungicida mínima (CFM)</w:t>
      </w:r>
    </w:p>
    <w:p w14:paraId="5C6CEF3C" w14:textId="77777777" w:rsidR="00B77694" w:rsidRDefault="00000000">
      <w:pPr>
        <w:widowControl/>
        <w:jc w:val="both"/>
        <w:rPr>
          <w:sz w:val="20"/>
          <w:szCs w:val="20"/>
        </w:rPr>
      </w:pPr>
      <w:r>
        <w:rPr>
          <w:b/>
          <w:sz w:val="20"/>
          <w:szCs w:val="20"/>
        </w:rPr>
        <w:tab/>
      </w:r>
      <w:r>
        <w:rPr>
          <w:sz w:val="20"/>
          <w:szCs w:val="20"/>
        </w:rPr>
        <w:t xml:space="preserve">Para determinação da Concentração Inibitória Mínima (CIM) dos extratos foi utilizado o método de microdiluição em caldo seguindo a metodologia descrita na norma M27-A3 do Clinical and Laboratory Standarts Institute (CLSI, 2008) em microplacas de 96 poços com fundo plano. </w:t>
      </w:r>
    </w:p>
    <w:p w14:paraId="5A22C83B" w14:textId="2525D97B" w:rsidR="00B77694" w:rsidRDefault="00000000">
      <w:pPr>
        <w:widowControl/>
        <w:ind w:firstLine="720"/>
        <w:jc w:val="both"/>
        <w:rPr>
          <w:sz w:val="20"/>
          <w:szCs w:val="20"/>
        </w:rPr>
      </w:pPr>
      <w:r>
        <w:rPr>
          <w:sz w:val="20"/>
          <w:szCs w:val="20"/>
        </w:rPr>
        <w:t xml:space="preserve">O bioensaio foi feito frente à levedura </w:t>
      </w:r>
      <w:r>
        <w:rPr>
          <w:i/>
          <w:sz w:val="20"/>
          <w:szCs w:val="20"/>
        </w:rPr>
        <w:t>Candida albicans</w:t>
      </w:r>
      <w:r>
        <w:rPr>
          <w:sz w:val="20"/>
          <w:szCs w:val="20"/>
        </w:rPr>
        <w:t>, código da cepa ATCC90028, e o antifúngico de referência foi o itraconazol</w:t>
      </w:r>
      <w:r w:rsidR="001F1AE5">
        <w:rPr>
          <w:sz w:val="20"/>
          <w:szCs w:val="20"/>
        </w:rPr>
        <w:t>, preparado a 10 mg/mL</w:t>
      </w:r>
      <w:r>
        <w:rPr>
          <w:sz w:val="20"/>
          <w:szCs w:val="20"/>
        </w:rPr>
        <w:t>. O fungo foi manipulado seguindo as normas de segurança vigentes para microrganismos de classe de risco 2. Os extratos foram preparados por meio da diluição com dimetilsulfóxido (DMSO) nas concentrações 200 mg/mL</w:t>
      </w:r>
      <w:r w:rsidR="00037577">
        <w:rPr>
          <w:sz w:val="20"/>
          <w:szCs w:val="20"/>
        </w:rPr>
        <w:t xml:space="preserve"> e </w:t>
      </w:r>
      <w:r>
        <w:rPr>
          <w:sz w:val="20"/>
          <w:szCs w:val="20"/>
        </w:rPr>
        <w:t>100 mg/mL.</w:t>
      </w:r>
    </w:p>
    <w:p w14:paraId="03686DCF" w14:textId="626A8E34" w:rsidR="00B77694" w:rsidRDefault="00000000">
      <w:pPr>
        <w:widowControl/>
        <w:ind w:firstLine="720"/>
        <w:jc w:val="both"/>
        <w:rPr>
          <w:sz w:val="20"/>
          <w:szCs w:val="20"/>
        </w:rPr>
      </w:pPr>
      <w:r>
        <w:rPr>
          <w:sz w:val="20"/>
          <w:szCs w:val="20"/>
        </w:rPr>
        <w:t>As diluições dos extratos e do antifúngico foram preparadas em meio líquido Roswell Park Memorial Institute (RPMI) 1640 tamponado para que atingisse as concentrações necessárias para o teste de microdiluição em caldo. Após as diluições, os extratos se encontraram na metade das concentrações iniciais e o antifúngico</w:t>
      </w:r>
      <w:r w:rsidR="001F1AE5">
        <w:rPr>
          <w:sz w:val="20"/>
          <w:szCs w:val="20"/>
        </w:rPr>
        <w:t xml:space="preserve"> a 0,32 mg/mL.</w:t>
      </w:r>
      <w:r>
        <w:rPr>
          <w:sz w:val="20"/>
          <w:szCs w:val="20"/>
        </w:rPr>
        <w:t xml:space="preserve"> O fungo </w:t>
      </w:r>
      <w:r w:rsidR="001F1AE5">
        <w:rPr>
          <w:sz w:val="20"/>
          <w:szCs w:val="20"/>
        </w:rPr>
        <w:t>f</w:t>
      </w:r>
      <w:r>
        <w:rPr>
          <w:sz w:val="20"/>
          <w:szCs w:val="20"/>
        </w:rPr>
        <w:t>oi padronizado a 2 da escala Mc Farland.</w:t>
      </w:r>
    </w:p>
    <w:p w14:paraId="584940AA" w14:textId="36DE96E2" w:rsidR="00B77694" w:rsidRDefault="000D34BC">
      <w:pPr>
        <w:widowControl/>
        <w:ind w:firstLine="720"/>
        <w:jc w:val="both"/>
        <w:rPr>
          <w:sz w:val="20"/>
          <w:szCs w:val="20"/>
        </w:rPr>
      </w:pPr>
      <w:r>
        <w:rPr>
          <w:sz w:val="20"/>
          <w:szCs w:val="20"/>
        </w:rPr>
        <w:t xml:space="preserve">Ao realizar as diluições seriadas, as concentrações dos extratos variaram de 100 mg/mL a 0,10 mg/mL e as do itraconazol de </w:t>
      </w:r>
      <w:r w:rsidR="001F1AE5">
        <w:rPr>
          <w:sz w:val="20"/>
          <w:szCs w:val="20"/>
        </w:rPr>
        <w:t>0,32 mg</w:t>
      </w:r>
      <w:r>
        <w:rPr>
          <w:sz w:val="20"/>
          <w:szCs w:val="20"/>
        </w:rPr>
        <w:t xml:space="preserve">/mL a 0,000625 </w:t>
      </w:r>
      <w:r w:rsidR="001F1AE5">
        <w:rPr>
          <w:sz w:val="20"/>
          <w:szCs w:val="20"/>
        </w:rPr>
        <w:t>mg</w:t>
      </w:r>
      <w:r>
        <w:rPr>
          <w:sz w:val="20"/>
          <w:szCs w:val="20"/>
        </w:rPr>
        <w:t>/mL.</w:t>
      </w:r>
    </w:p>
    <w:p w14:paraId="5856DDF3" w14:textId="61201902" w:rsidR="00B77694" w:rsidRDefault="00000000" w:rsidP="00037577">
      <w:pPr>
        <w:widowControl/>
        <w:ind w:firstLine="720"/>
        <w:jc w:val="both"/>
        <w:rPr>
          <w:sz w:val="20"/>
          <w:szCs w:val="20"/>
        </w:rPr>
      </w:pPr>
      <w:r>
        <w:rPr>
          <w:sz w:val="20"/>
          <w:szCs w:val="20"/>
        </w:rPr>
        <w:t xml:space="preserve">Assim, a placa foi incubada em estufa a 37°C e a leitura foi feita após 24h. A </w:t>
      </w:r>
      <w:r w:rsidR="000D34BC">
        <w:rPr>
          <w:sz w:val="20"/>
          <w:szCs w:val="20"/>
        </w:rPr>
        <w:t>CIM</w:t>
      </w:r>
      <w:r>
        <w:rPr>
          <w:sz w:val="20"/>
          <w:szCs w:val="20"/>
        </w:rPr>
        <w:t xml:space="preserve"> foi determinada visualmente, com auxílio de lupa, como a menor concentração do composto capaz de inibir o crescimento do fungo. Para a interpretação dos resultados foi feita a comparação do crescimento em cada poço com os poços controles: controle do inóculo (controle positivo fúngico), com RPMI e fungo, e controle de esterilidade do meio (controle negativo fúngico), com RPMI e água, além de poços contendo somente extrato e água a fim de comparação mais precisa em relação à coloração.</w:t>
      </w:r>
    </w:p>
    <w:p w14:paraId="3312F642" w14:textId="69C991A6" w:rsidR="00075D77" w:rsidRDefault="00075D77" w:rsidP="00037577">
      <w:pPr>
        <w:widowControl/>
        <w:ind w:firstLine="720"/>
        <w:jc w:val="both"/>
        <w:rPr>
          <w:sz w:val="20"/>
          <w:szCs w:val="20"/>
        </w:rPr>
      </w:pPr>
      <w:r>
        <w:rPr>
          <w:sz w:val="20"/>
          <w:szCs w:val="20"/>
        </w:rPr>
        <w:lastRenderedPageBreak/>
        <w:t xml:space="preserve">Por fim, </w:t>
      </w:r>
      <w:r w:rsidR="000D34BC">
        <w:rPr>
          <w:sz w:val="20"/>
          <w:szCs w:val="20"/>
        </w:rPr>
        <w:t>a</w:t>
      </w:r>
      <w:r w:rsidR="000D34BC" w:rsidRPr="000D34BC">
        <w:rPr>
          <w:sz w:val="20"/>
          <w:szCs w:val="20"/>
        </w:rPr>
        <w:t>pós a determinação da CIM, realizou-se o teste de Concentração Fungicida Mínima (CFM) para verificar se o extrato testado apenas inibe o crescimento do fungo ou é capaz de eliminá-lo, e, em caso positivo, qual a menor concentração necessária para isso. Para o ensaio, foram pipetados 30 μL dos poços que apresentaram inibição em placas contendo ágar Sabouraud</w:t>
      </w:r>
      <w:r w:rsidR="000D34BC">
        <w:rPr>
          <w:sz w:val="20"/>
          <w:szCs w:val="20"/>
        </w:rPr>
        <w:t xml:space="preserve">, </w:t>
      </w:r>
      <w:r w:rsidR="000D34BC" w:rsidRPr="000D34BC">
        <w:rPr>
          <w:sz w:val="20"/>
          <w:szCs w:val="20"/>
        </w:rPr>
        <w:t>meio apropriado para o cultivo de fungos</w:t>
      </w:r>
      <w:r w:rsidR="000D34BC">
        <w:rPr>
          <w:sz w:val="20"/>
          <w:szCs w:val="20"/>
        </w:rPr>
        <w:t xml:space="preserve">, </w:t>
      </w:r>
      <w:r w:rsidR="000D34BC" w:rsidRPr="000D34BC">
        <w:rPr>
          <w:sz w:val="20"/>
          <w:szCs w:val="20"/>
        </w:rPr>
        <w:t>e incubadas a 37 °C por 96 horas. A avaliação foi feita por inspeção visual: a presença de crescimento fúngico indicava ineficácia fungicida, enquanto a ausência confirmava a ação letal do extrato naquela concentração.</w:t>
      </w:r>
    </w:p>
    <w:p w14:paraId="084C7BB2" w14:textId="77777777" w:rsidR="000D34BC" w:rsidRDefault="000D34BC" w:rsidP="00037577">
      <w:pPr>
        <w:widowControl/>
        <w:ind w:firstLine="720"/>
        <w:jc w:val="both"/>
        <w:rPr>
          <w:sz w:val="20"/>
          <w:szCs w:val="20"/>
        </w:rPr>
      </w:pPr>
    </w:p>
    <w:p w14:paraId="178D9F2D" w14:textId="77777777" w:rsidR="00B77694" w:rsidRDefault="00000000">
      <w:pPr>
        <w:widowControl/>
        <w:jc w:val="both"/>
        <w:rPr>
          <w:sz w:val="20"/>
          <w:szCs w:val="20"/>
        </w:rPr>
      </w:pPr>
      <w:r>
        <w:rPr>
          <w:b/>
          <w:sz w:val="20"/>
          <w:szCs w:val="20"/>
        </w:rPr>
        <w:t>RESULTADOS E DISCUSSÃO</w:t>
      </w:r>
    </w:p>
    <w:p w14:paraId="2F204A67" w14:textId="77777777" w:rsidR="00B77694" w:rsidRDefault="00B77694">
      <w:pPr>
        <w:widowControl/>
        <w:jc w:val="both"/>
        <w:rPr>
          <w:sz w:val="20"/>
          <w:szCs w:val="20"/>
        </w:rPr>
      </w:pPr>
    </w:p>
    <w:p w14:paraId="04D32F15" w14:textId="77777777" w:rsidR="00B77694" w:rsidRDefault="00000000">
      <w:pPr>
        <w:widowControl/>
        <w:ind w:firstLine="709"/>
        <w:jc w:val="both"/>
        <w:rPr>
          <w:sz w:val="20"/>
          <w:szCs w:val="20"/>
        </w:rPr>
      </w:pPr>
      <w:r>
        <w:rPr>
          <w:sz w:val="20"/>
          <w:szCs w:val="20"/>
        </w:rPr>
        <w:t xml:space="preserve">A extração utilizando o extrator Soxhlet, realizado em duplicata, apresentou rendimento de 2,7%, já que a massa média de extrativos foi de 0,270 g. Por outro lado, o método de infusão, também conduzido em duplicata, resultou em rendimento de 0,3%, com uma massa média de apenas 0,030 g. Esse resultado evidencia uma maior eficiência do método Soxhlet na obtenção de compostos presentes no material. </w:t>
      </w:r>
    </w:p>
    <w:p w14:paraId="34C1EE0E" w14:textId="77777777" w:rsidR="00B77694" w:rsidRDefault="00000000">
      <w:pPr>
        <w:widowControl/>
        <w:ind w:firstLine="709"/>
        <w:jc w:val="both"/>
        <w:rPr>
          <w:sz w:val="20"/>
          <w:szCs w:val="20"/>
        </w:rPr>
      </w:pPr>
      <w:r>
        <w:rPr>
          <w:sz w:val="20"/>
          <w:szCs w:val="20"/>
        </w:rPr>
        <w:t xml:space="preserve">Essa diferença pode ser atribuída às características operacionais de cada técnica. O Soxhlet promove uma extração contínua, na qual o solvente aquecido percola repetidamente pelo material sólido, permitindo a ruptura gradual das interações entre os compostos presentes na matriz vegetal e facilitando sua transferência para o meio solvente, nesse caso o etanol. Ademais, a temperatura constante de ebulição do etanol potencializa a solubilização de compostos de média polaridade, como alcaloides, taninos e fenóis, corroborando os achados de Silva </w:t>
      </w:r>
      <w:r>
        <w:rPr>
          <w:i/>
          <w:sz w:val="20"/>
          <w:szCs w:val="20"/>
        </w:rPr>
        <w:t xml:space="preserve">et al. </w:t>
      </w:r>
      <w:r>
        <w:rPr>
          <w:sz w:val="20"/>
          <w:szCs w:val="20"/>
        </w:rPr>
        <w:t>(2023) sobre a composição dos resíduos da noz de macadâmia.</w:t>
      </w:r>
    </w:p>
    <w:p w14:paraId="0ED6561F" w14:textId="77777777" w:rsidR="00B77694" w:rsidRDefault="00000000">
      <w:pPr>
        <w:widowControl/>
        <w:ind w:firstLine="709"/>
        <w:jc w:val="both"/>
        <w:rPr>
          <w:sz w:val="20"/>
          <w:szCs w:val="20"/>
        </w:rPr>
      </w:pPr>
      <w:r>
        <w:rPr>
          <w:sz w:val="20"/>
          <w:szCs w:val="20"/>
        </w:rPr>
        <w:t xml:space="preserve">Por outro lado, o método de infusão, apesar de ser mais simples, pode apresentar limitações em termos de eficiência na extração. Nesse procedimento, o material permanece submerso em etanol por 48h, à temperatura ambiente, sem circulação ou renovação do solvente. Isso faz com que a superfície de contato efetiva entre o solvente e a matriz vegetal seja menor, uma vez que o etanol não percola continuamente o material, como ocorre no Soxhlet. Consequentemente, a difusão dos compostos para o meio líquido (etanol) ocorre de forma mais lenta e limitada, especialmente para aqueles que exigem maior energia para romper suas interações com a matriz sólida. </w:t>
      </w:r>
    </w:p>
    <w:p w14:paraId="4FB29E3B" w14:textId="77777777" w:rsidR="00B77694" w:rsidRDefault="00000000">
      <w:pPr>
        <w:widowControl/>
        <w:ind w:firstLine="709"/>
        <w:jc w:val="both"/>
        <w:rPr>
          <w:sz w:val="20"/>
          <w:szCs w:val="20"/>
        </w:rPr>
      </w:pPr>
      <w:r>
        <w:rPr>
          <w:sz w:val="20"/>
          <w:szCs w:val="20"/>
        </w:rPr>
        <w:t>Sendo assim, devido ao maior rendimento na obtenção dos compostos, os extratos provenientes do extrator Soxhlet foram aplicados para os testes antifúngicos. A maior eficiência do método permitiu alcançar as concentrações desejadas utilizando uma menor quantidade de material vegetal, tornando o processo mais viável e econômico para a realização dos ensaios. Além disso, a extração mais eficiente garante uma maior representatividade dos compostos bioativos presentes na matriz, o que influencia diretamente na avaliação da atividade antifúngica.</w:t>
      </w:r>
    </w:p>
    <w:p w14:paraId="126D1567" w14:textId="0C6C42F9" w:rsidR="00B77694" w:rsidRDefault="00000000">
      <w:pPr>
        <w:widowControl/>
        <w:ind w:firstLine="709"/>
        <w:jc w:val="both"/>
        <w:rPr>
          <w:sz w:val="20"/>
          <w:szCs w:val="20"/>
        </w:rPr>
      </w:pPr>
      <w:r>
        <w:rPr>
          <w:sz w:val="20"/>
          <w:szCs w:val="20"/>
        </w:rPr>
        <w:t xml:space="preserve">Os testes antifúngicos demonstraram que os extratos das cascas de macadâmia apresentaram atividade antifúngica e inibiram o crescimento de </w:t>
      </w:r>
      <w:r>
        <w:rPr>
          <w:i/>
          <w:sz w:val="20"/>
          <w:szCs w:val="20"/>
        </w:rPr>
        <w:t>Candida albicans</w:t>
      </w:r>
      <w:r>
        <w:rPr>
          <w:sz w:val="20"/>
          <w:szCs w:val="20"/>
        </w:rPr>
        <w:t>. A concentração inibitória mínima dos extratos foi determinada em 25 mg/mL</w:t>
      </w:r>
      <w:r w:rsidR="00F50595">
        <w:rPr>
          <w:sz w:val="20"/>
          <w:szCs w:val="20"/>
        </w:rPr>
        <w:t>.</w:t>
      </w:r>
      <w:r w:rsidR="00F50595" w:rsidRPr="00F50595">
        <w:t xml:space="preserve"> </w:t>
      </w:r>
      <w:r w:rsidR="00F50595" w:rsidRPr="00F50595">
        <w:rPr>
          <w:sz w:val="20"/>
          <w:szCs w:val="20"/>
        </w:rPr>
        <w:t xml:space="preserve">No entanto, observou-se que concentrações superiores a 25 mg/mL não apenas impediram o crescimento, mas também resultaram na completa eliminação do microrganismo, configurando-se como </w:t>
      </w:r>
      <w:r w:rsidR="00F50595">
        <w:rPr>
          <w:sz w:val="20"/>
          <w:szCs w:val="20"/>
        </w:rPr>
        <w:t>c</w:t>
      </w:r>
      <w:r w:rsidR="00F50595" w:rsidRPr="00F50595">
        <w:rPr>
          <w:sz w:val="20"/>
          <w:szCs w:val="20"/>
        </w:rPr>
        <w:t xml:space="preserve">oncentração </w:t>
      </w:r>
      <w:r w:rsidR="00F50595">
        <w:rPr>
          <w:sz w:val="20"/>
          <w:szCs w:val="20"/>
        </w:rPr>
        <w:t>f</w:t>
      </w:r>
      <w:r w:rsidR="00F50595" w:rsidRPr="00F50595">
        <w:rPr>
          <w:sz w:val="20"/>
          <w:szCs w:val="20"/>
        </w:rPr>
        <w:t xml:space="preserve">ungicida </w:t>
      </w:r>
      <w:r w:rsidR="00F50595">
        <w:rPr>
          <w:sz w:val="20"/>
          <w:szCs w:val="20"/>
        </w:rPr>
        <w:t>m</w:t>
      </w:r>
      <w:r w:rsidR="00F50595" w:rsidRPr="00F50595">
        <w:rPr>
          <w:sz w:val="20"/>
          <w:szCs w:val="20"/>
        </w:rPr>
        <w:t>ínima. Esses resultados evidenciam a capacidade do extrato em exercer efeito fungicida em concentrações mais elevadas.</w:t>
      </w:r>
    </w:p>
    <w:p w14:paraId="7DDACD55" w14:textId="77777777" w:rsidR="00B77694" w:rsidRDefault="00B77694">
      <w:pPr>
        <w:widowControl/>
        <w:ind w:firstLine="709"/>
        <w:jc w:val="both"/>
        <w:rPr>
          <w:sz w:val="20"/>
          <w:szCs w:val="20"/>
        </w:rPr>
      </w:pPr>
    </w:p>
    <w:p w14:paraId="4E042991" w14:textId="77777777" w:rsidR="00B77694" w:rsidRDefault="00000000">
      <w:pPr>
        <w:widowControl/>
        <w:jc w:val="both"/>
        <w:rPr>
          <w:sz w:val="20"/>
          <w:szCs w:val="20"/>
        </w:rPr>
      </w:pPr>
      <w:r>
        <w:rPr>
          <w:b/>
          <w:sz w:val="20"/>
          <w:szCs w:val="20"/>
        </w:rPr>
        <w:t>CONCLUSÕES</w:t>
      </w:r>
    </w:p>
    <w:p w14:paraId="10BB8AE7" w14:textId="77777777" w:rsidR="00B77694" w:rsidRDefault="00B77694">
      <w:pPr>
        <w:widowControl/>
        <w:jc w:val="both"/>
        <w:rPr>
          <w:sz w:val="20"/>
          <w:szCs w:val="20"/>
        </w:rPr>
      </w:pPr>
    </w:p>
    <w:p w14:paraId="05CC70A0" w14:textId="77777777" w:rsidR="00B77694" w:rsidRDefault="00000000">
      <w:pPr>
        <w:widowControl/>
        <w:numPr>
          <w:ilvl w:val="0"/>
          <w:numId w:val="1"/>
        </w:numPr>
        <w:ind w:left="357"/>
        <w:jc w:val="both"/>
        <w:rPr>
          <w:sz w:val="20"/>
          <w:szCs w:val="20"/>
        </w:rPr>
      </w:pPr>
      <w:r>
        <w:rPr>
          <w:sz w:val="20"/>
          <w:szCs w:val="20"/>
        </w:rPr>
        <w:t xml:space="preserve">A extração realizada a partir do extrator do tipo Soxhlet foi significativamente superior quando comparada ao método de infusão, demonstrando maior eficiência na obtenção de compostos bioativos presentes nos resíduos da noz de </w:t>
      </w:r>
      <w:r>
        <w:rPr>
          <w:i/>
          <w:sz w:val="20"/>
          <w:szCs w:val="20"/>
        </w:rPr>
        <w:t>Macadamia integrifolia</w:t>
      </w:r>
      <w:r>
        <w:rPr>
          <w:sz w:val="20"/>
          <w:szCs w:val="20"/>
        </w:rPr>
        <w:t>;</w:t>
      </w:r>
    </w:p>
    <w:p w14:paraId="0F096027" w14:textId="77777777" w:rsidR="00B77694" w:rsidRDefault="00000000">
      <w:pPr>
        <w:widowControl/>
        <w:numPr>
          <w:ilvl w:val="0"/>
          <w:numId w:val="1"/>
        </w:numPr>
        <w:ind w:left="357"/>
        <w:jc w:val="both"/>
        <w:rPr>
          <w:sz w:val="20"/>
          <w:szCs w:val="20"/>
        </w:rPr>
      </w:pPr>
      <w:r>
        <w:rPr>
          <w:sz w:val="20"/>
          <w:szCs w:val="20"/>
        </w:rPr>
        <w:t xml:space="preserve">Os extratos obtidos por meio desses resíduos apresentaram atividade antifúngica frente à espécie </w:t>
      </w:r>
      <w:r>
        <w:rPr>
          <w:i/>
          <w:sz w:val="20"/>
          <w:szCs w:val="20"/>
        </w:rPr>
        <w:t>Candida albicans</w:t>
      </w:r>
      <w:r>
        <w:rPr>
          <w:sz w:val="20"/>
          <w:szCs w:val="20"/>
        </w:rPr>
        <w:t>, indicando seu potencial como alternativa no combate a infecções fúngicas em seres humanos e animais, especialmente considerando a crescente resistência do fungo ao antifúngico convencional, o itraconazol;</w:t>
      </w:r>
    </w:p>
    <w:p w14:paraId="75BA6A38" w14:textId="77777777" w:rsidR="00B77694" w:rsidRDefault="00000000">
      <w:pPr>
        <w:widowControl/>
        <w:numPr>
          <w:ilvl w:val="0"/>
          <w:numId w:val="1"/>
        </w:numPr>
        <w:ind w:left="357"/>
        <w:jc w:val="both"/>
        <w:rPr>
          <w:sz w:val="20"/>
          <w:szCs w:val="20"/>
        </w:rPr>
      </w:pPr>
      <w:r>
        <w:rPr>
          <w:sz w:val="20"/>
          <w:szCs w:val="20"/>
        </w:rPr>
        <w:t>O uso desses extratos representa uma estratégia promissora para o aproveitamento de resíduos e para o desenvolvimento de produtos naturais com potencial antifúngico;</w:t>
      </w:r>
    </w:p>
    <w:p w14:paraId="0B89CD13" w14:textId="77777777" w:rsidR="00B77694" w:rsidRDefault="00000000">
      <w:pPr>
        <w:widowControl/>
        <w:numPr>
          <w:ilvl w:val="0"/>
          <w:numId w:val="1"/>
        </w:numPr>
        <w:ind w:left="357"/>
        <w:jc w:val="both"/>
        <w:rPr>
          <w:sz w:val="20"/>
          <w:szCs w:val="20"/>
        </w:rPr>
      </w:pPr>
      <w:r>
        <w:rPr>
          <w:sz w:val="20"/>
          <w:szCs w:val="20"/>
        </w:rPr>
        <w:t>O presente estudo contribui para a valorização de subprodutos da cadeia produtiva da macadâmia, alinhando-se aos princípios de economia circular e de desenvolvimento sustentável, ao propor o reaproveitamento de resíduos com potencial bioativo.</w:t>
      </w:r>
    </w:p>
    <w:p w14:paraId="408D0694" w14:textId="77777777" w:rsidR="00B77694" w:rsidRDefault="00B77694">
      <w:pPr>
        <w:widowControl/>
        <w:jc w:val="both"/>
        <w:rPr>
          <w:sz w:val="20"/>
          <w:szCs w:val="20"/>
        </w:rPr>
      </w:pPr>
    </w:p>
    <w:p w14:paraId="7D4229D6" w14:textId="77777777" w:rsidR="00B77694" w:rsidRDefault="00000000">
      <w:pPr>
        <w:widowControl/>
        <w:jc w:val="both"/>
        <w:rPr>
          <w:sz w:val="20"/>
          <w:szCs w:val="20"/>
        </w:rPr>
      </w:pPr>
      <w:r>
        <w:rPr>
          <w:b/>
          <w:sz w:val="20"/>
          <w:szCs w:val="20"/>
        </w:rPr>
        <w:t>REFERÊNCIAS</w:t>
      </w:r>
    </w:p>
    <w:p w14:paraId="6E4C0148" w14:textId="77777777" w:rsidR="00B77694" w:rsidRDefault="00B77694">
      <w:pPr>
        <w:widowControl/>
        <w:jc w:val="both"/>
        <w:rPr>
          <w:sz w:val="20"/>
          <w:szCs w:val="20"/>
        </w:rPr>
      </w:pPr>
    </w:p>
    <w:p w14:paraId="74DA21D0" w14:textId="77777777" w:rsidR="00B77694" w:rsidRDefault="00000000">
      <w:pPr>
        <w:widowControl/>
        <w:spacing w:after="120"/>
        <w:jc w:val="both"/>
        <w:rPr>
          <w:sz w:val="20"/>
          <w:szCs w:val="20"/>
        </w:rPr>
      </w:pPr>
      <w:r>
        <w:rPr>
          <w:sz w:val="20"/>
          <w:szCs w:val="20"/>
        </w:rPr>
        <w:t xml:space="preserve">AHMED, M. F. </w:t>
      </w:r>
      <w:r>
        <w:rPr>
          <w:i/>
          <w:sz w:val="20"/>
          <w:szCs w:val="20"/>
        </w:rPr>
        <w:t>et. al.</w:t>
      </w:r>
      <w:r>
        <w:rPr>
          <w:sz w:val="20"/>
          <w:szCs w:val="20"/>
        </w:rPr>
        <w:t xml:space="preserve"> Phenolic compounds from macadamia husk: An updated focused review of extraction methodologies and antioxidant activities. </w:t>
      </w:r>
      <w:r w:rsidRPr="00B225C4">
        <w:rPr>
          <w:sz w:val="20"/>
          <w:szCs w:val="20"/>
        </w:rPr>
        <w:t>Food and Bioproducts Processing</w:t>
      </w:r>
      <w:r>
        <w:rPr>
          <w:sz w:val="20"/>
          <w:szCs w:val="20"/>
        </w:rPr>
        <w:t>, v. 148, p. 165-175, 2024.</w:t>
      </w:r>
    </w:p>
    <w:p w14:paraId="5976D2CA" w14:textId="27CCBDB7" w:rsidR="00B225C4" w:rsidRDefault="00B225C4">
      <w:pPr>
        <w:widowControl/>
        <w:spacing w:after="120"/>
        <w:jc w:val="both"/>
        <w:rPr>
          <w:sz w:val="20"/>
          <w:szCs w:val="20"/>
        </w:rPr>
      </w:pPr>
      <w:r w:rsidRPr="00B225C4">
        <w:rPr>
          <w:sz w:val="20"/>
          <w:szCs w:val="20"/>
        </w:rPr>
        <w:lastRenderedPageBreak/>
        <w:t>Australian Macadamias Yearbook 202</w:t>
      </w:r>
      <w:r>
        <w:rPr>
          <w:sz w:val="20"/>
          <w:szCs w:val="20"/>
        </w:rPr>
        <w:t xml:space="preserve">3. </w:t>
      </w:r>
      <w:r w:rsidRPr="00B225C4">
        <w:rPr>
          <w:b/>
          <w:bCs/>
          <w:sz w:val="20"/>
          <w:szCs w:val="20"/>
        </w:rPr>
        <w:t>Australian Macadamias</w:t>
      </w:r>
      <w:r>
        <w:rPr>
          <w:sz w:val="20"/>
          <w:szCs w:val="20"/>
        </w:rPr>
        <w:t>, 2023</w:t>
      </w:r>
      <w:r w:rsidRPr="00B225C4">
        <w:rPr>
          <w:sz w:val="20"/>
          <w:szCs w:val="20"/>
        </w:rPr>
        <w:t xml:space="preserve">. Disponível em: &lt;https://d1bel7n84kyh0s.cloudfront.net/uploads/2023/12/WEB_Yearbook_2023-FINAL.pdf&gt;. Acesso em: 9 </w:t>
      </w:r>
      <w:r w:rsidR="0026116F">
        <w:rPr>
          <w:sz w:val="20"/>
          <w:szCs w:val="20"/>
        </w:rPr>
        <w:t>abr</w:t>
      </w:r>
      <w:r w:rsidRPr="00B225C4">
        <w:rPr>
          <w:sz w:val="20"/>
          <w:szCs w:val="20"/>
        </w:rPr>
        <w:t>. 2025.</w:t>
      </w:r>
    </w:p>
    <w:p w14:paraId="6F500FBC" w14:textId="77777777" w:rsidR="00B77694" w:rsidRDefault="00000000">
      <w:pPr>
        <w:widowControl/>
        <w:spacing w:after="120"/>
        <w:jc w:val="both"/>
        <w:rPr>
          <w:sz w:val="20"/>
          <w:szCs w:val="20"/>
        </w:rPr>
      </w:pPr>
      <w:r>
        <w:rPr>
          <w:sz w:val="20"/>
          <w:szCs w:val="20"/>
        </w:rPr>
        <w:t xml:space="preserve">COSTA, A. R. </w:t>
      </w:r>
      <w:r>
        <w:rPr>
          <w:i/>
          <w:sz w:val="20"/>
          <w:szCs w:val="20"/>
        </w:rPr>
        <w:t>et al</w:t>
      </w:r>
      <w:r>
        <w:rPr>
          <w:sz w:val="20"/>
          <w:szCs w:val="20"/>
        </w:rPr>
        <w:t xml:space="preserve">. Phytochemical profile and anti-Candida and cytotoxic potential of </w:t>
      </w:r>
      <w:r>
        <w:rPr>
          <w:i/>
          <w:sz w:val="20"/>
          <w:szCs w:val="20"/>
        </w:rPr>
        <w:t>Anacardium occidentale</w:t>
      </w:r>
      <w:r>
        <w:rPr>
          <w:sz w:val="20"/>
          <w:szCs w:val="20"/>
        </w:rPr>
        <w:t xml:space="preserve"> L. (Cashew Tree). </w:t>
      </w:r>
      <w:r>
        <w:rPr>
          <w:b/>
          <w:sz w:val="20"/>
          <w:szCs w:val="20"/>
        </w:rPr>
        <w:t>Biocatalysis and Agricultural Biotechnology</w:t>
      </w:r>
      <w:r>
        <w:rPr>
          <w:sz w:val="20"/>
          <w:szCs w:val="20"/>
        </w:rPr>
        <w:t>, v. 37, p. 102192, 2021.</w:t>
      </w:r>
    </w:p>
    <w:p w14:paraId="6D78A424" w14:textId="77777777" w:rsidR="00B77694" w:rsidRDefault="00000000">
      <w:pPr>
        <w:widowControl/>
        <w:spacing w:after="120"/>
        <w:jc w:val="both"/>
        <w:rPr>
          <w:sz w:val="20"/>
          <w:szCs w:val="20"/>
        </w:rPr>
      </w:pPr>
      <w:r>
        <w:rPr>
          <w:sz w:val="20"/>
          <w:szCs w:val="20"/>
        </w:rPr>
        <w:t xml:space="preserve">MAI, T. </w:t>
      </w:r>
      <w:r>
        <w:rPr>
          <w:i/>
          <w:sz w:val="20"/>
          <w:szCs w:val="20"/>
        </w:rPr>
        <w:t>et al</w:t>
      </w:r>
      <w:r>
        <w:rPr>
          <w:sz w:val="20"/>
          <w:szCs w:val="20"/>
        </w:rPr>
        <w:t xml:space="preserve">. Genetic Structure of Wild Germplasm of Macadamia: Species Assignment, Diversity and Phylogeographic Relationships. </w:t>
      </w:r>
      <w:r>
        <w:rPr>
          <w:b/>
          <w:sz w:val="20"/>
          <w:szCs w:val="20"/>
        </w:rPr>
        <w:t>Plants</w:t>
      </w:r>
      <w:r>
        <w:rPr>
          <w:sz w:val="20"/>
          <w:szCs w:val="20"/>
        </w:rPr>
        <w:t>, v. 9, n. 6, p. 714, 2020.</w:t>
      </w:r>
    </w:p>
    <w:p w14:paraId="483DFB3A" w14:textId="77777777" w:rsidR="00B77694" w:rsidRDefault="00000000">
      <w:pPr>
        <w:widowControl/>
        <w:spacing w:after="120"/>
        <w:jc w:val="both"/>
        <w:rPr>
          <w:sz w:val="20"/>
          <w:szCs w:val="20"/>
        </w:rPr>
      </w:pPr>
      <w:r>
        <w:rPr>
          <w:sz w:val="20"/>
          <w:szCs w:val="20"/>
        </w:rPr>
        <w:t xml:space="preserve">RODRIGUES, D. A. </w:t>
      </w:r>
      <w:r>
        <w:rPr>
          <w:i/>
          <w:sz w:val="20"/>
          <w:szCs w:val="20"/>
        </w:rPr>
        <w:t xml:space="preserve">et al. </w:t>
      </w:r>
      <w:r>
        <w:rPr>
          <w:sz w:val="20"/>
          <w:szCs w:val="20"/>
        </w:rPr>
        <w:t xml:space="preserve">Utilização dos Resíduos Provenientes do Beneficiamento da Noz Macadâmia: Uma Revisão Sistemática. </w:t>
      </w:r>
      <w:r>
        <w:rPr>
          <w:b/>
          <w:sz w:val="20"/>
          <w:szCs w:val="20"/>
        </w:rPr>
        <w:t>Brazilian Journal of Production Engineering</w:t>
      </w:r>
      <w:r>
        <w:rPr>
          <w:sz w:val="20"/>
          <w:szCs w:val="20"/>
        </w:rPr>
        <w:t>, v.2, n.3, p. 1-13, 2016.</w:t>
      </w:r>
    </w:p>
    <w:p w14:paraId="0CDBCD8B" w14:textId="77777777" w:rsidR="00B77694" w:rsidRDefault="00000000">
      <w:pPr>
        <w:widowControl/>
        <w:spacing w:after="120"/>
        <w:jc w:val="both"/>
        <w:rPr>
          <w:sz w:val="20"/>
          <w:szCs w:val="20"/>
        </w:rPr>
      </w:pPr>
      <w:r>
        <w:rPr>
          <w:sz w:val="20"/>
          <w:szCs w:val="20"/>
        </w:rPr>
        <w:t xml:space="preserve">SILVA, C. D. DA </w:t>
      </w:r>
      <w:r>
        <w:rPr>
          <w:i/>
          <w:sz w:val="20"/>
          <w:szCs w:val="20"/>
        </w:rPr>
        <w:t>et. al.</w:t>
      </w:r>
      <w:r>
        <w:rPr>
          <w:sz w:val="20"/>
          <w:szCs w:val="20"/>
        </w:rPr>
        <w:t xml:space="preserve"> Chemical Profile of Nutmacadamia Waste. </w:t>
      </w:r>
      <w:r>
        <w:rPr>
          <w:b/>
          <w:sz w:val="20"/>
          <w:szCs w:val="20"/>
        </w:rPr>
        <w:t>Journal of Engineering Research</w:t>
      </w:r>
      <w:r>
        <w:rPr>
          <w:sz w:val="20"/>
          <w:szCs w:val="20"/>
        </w:rPr>
        <w:t>, v.3, n.4, p. 2-5, 2023.</w:t>
      </w:r>
    </w:p>
    <w:p w14:paraId="67690F6E" w14:textId="77777777" w:rsidR="00B77694" w:rsidRDefault="00000000">
      <w:pPr>
        <w:widowControl/>
        <w:spacing w:after="120"/>
        <w:jc w:val="both"/>
        <w:rPr>
          <w:sz w:val="20"/>
          <w:szCs w:val="20"/>
        </w:rPr>
      </w:pPr>
      <w:r>
        <w:rPr>
          <w:sz w:val="20"/>
          <w:szCs w:val="20"/>
        </w:rPr>
        <w:t xml:space="preserve">SISWADI, S.; SARAGIH, G. S. Phytochemical analysis of bioactive compounds in ethanolic extract of Sterculia quadrifida R.Br. </w:t>
      </w:r>
      <w:r>
        <w:rPr>
          <w:b/>
          <w:sz w:val="20"/>
          <w:szCs w:val="20"/>
        </w:rPr>
        <w:t>International Conference on Life Sciences and Technology (ICoLiST 2020)</w:t>
      </w:r>
      <w:r>
        <w:rPr>
          <w:sz w:val="20"/>
          <w:szCs w:val="20"/>
        </w:rPr>
        <w:t>, v. 2353, p. 030098-1-030098-7, 2021.</w:t>
      </w:r>
    </w:p>
    <w:p w14:paraId="4481E92B" w14:textId="77777777" w:rsidR="00B77694" w:rsidRDefault="00000000">
      <w:pPr>
        <w:widowControl/>
        <w:spacing w:after="120"/>
        <w:jc w:val="both"/>
        <w:rPr>
          <w:sz w:val="20"/>
          <w:szCs w:val="20"/>
        </w:rPr>
      </w:pPr>
      <w:r>
        <w:rPr>
          <w:sz w:val="20"/>
          <w:szCs w:val="20"/>
        </w:rPr>
        <w:t xml:space="preserve">TRIPATHI, P. C. </w:t>
      </w:r>
      <w:r>
        <w:rPr>
          <w:i/>
          <w:sz w:val="20"/>
          <w:szCs w:val="20"/>
        </w:rPr>
        <w:t>et. al.</w:t>
      </w:r>
      <w:r>
        <w:rPr>
          <w:sz w:val="20"/>
          <w:szCs w:val="20"/>
        </w:rPr>
        <w:t xml:space="preserve"> Macadamia nut: A fruit with splendid taste. </w:t>
      </w:r>
      <w:r>
        <w:rPr>
          <w:b/>
          <w:sz w:val="20"/>
          <w:szCs w:val="20"/>
        </w:rPr>
        <w:t>Agro India</w:t>
      </w:r>
      <w:r>
        <w:rPr>
          <w:sz w:val="20"/>
          <w:szCs w:val="20"/>
        </w:rPr>
        <w:t xml:space="preserve">, 2023. Disponível em: </w:t>
      </w:r>
      <w:hyperlink r:id="rId8">
        <w:r>
          <w:rPr>
            <w:color w:val="000000"/>
            <w:sz w:val="20"/>
            <w:szCs w:val="20"/>
            <w:u w:val="single"/>
          </w:rPr>
          <w:t>https://www.researchgate.net/publication/369173553_Macadamia_nut_artilce_Agro_India_MAR_2023</w:t>
        </w:r>
      </w:hyperlink>
      <w:r>
        <w:rPr>
          <w:color w:val="000000"/>
          <w:sz w:val="20"/>
          <w:szCs w:val="20"/>
        </w:rPr>
        <w:t>. Acesso em: 14 mar. 2025.</w:t>
      </w:r>
    </w:p>
    <w:p w14:paraId="46DAFA47" w14:textId="77777777" w:rsidR="00B77694" w:rsidRDefault="00000000">
      <w:pPr>
        <w:widowControl/>
        <w:spacing w:after="120"/>
        <w:jc w:val="both"/>
        <w:rPr>
          <w:sz w:val="20"/>
          <w:szCs w:val="20"/>
        </w:rPr>
      </w:pPr>
      <w:r>
        <w:rPr>
          <w:sz w:val="20"/>
          <w:szCs w:val="20"/>
        </w:rPr>
        <w:t>WATTANASIRIWECH, S.; NARATHA, C.; WATTANASIRIWECH, D. Macadamia Nut Bio-Waste: An Agricultural Waste with Potential to Be Used as Carbon Support Material in Fuel Cell Applications. 2023. Disponível em:</w:t>
      </w:r>
      <w:r>
        <w:rPr>
          <w:color w:val="000000"/>
          <w:sz w:val="20"/>
          <w:szCs w:val="20"/>
        </w:rPr>
        <w:t xml:space="preserve"> </w:t>
      </w:r>
      <w:hyperlink r:id="rId9">
        <w:r>
          <w:rPr>
            <w:color w:val="000000"/>
            <w:sz w:val="20"/>
            <w:szCs w:val="20"/>
            <w:u w:val="single"/>
          </w:rPr>
          <w:t>https://www.researchgate.net/publication/373649042_Macadamia_Nut_Bio-Waste_An_Agricultural_Waste_with_Potential_to_Be_Used_as_Carbon_Support_Material_in_Fuel_Cell_Application</w:t>
        </w:r>
      </w:hyperlink>
      <w:r>
        <w:rPr>
          <w:color w:val="000000"/>
          <w:sz w:val="20"/>
          <w:szCs w:val="20"/>
        </w:rPr>
        <w:t xml:space="preserve">. </w:t>
      </w:r>
      <w:r>
        <w:rPr>
          <w:sz w:val="20"/>
          <w:szCs w:val="20"/>
        </w:rPr>
        <w:t>Acesso em 09 abr. 2025.</w:t>
      </w:r>
    </w:p>
    <w:p w14:paraId="59C03F99" w14:textId="77777777" w:rsidR="00B77694" w:rsidRDefault="00000000">
      <w:pPr>
        <w:widowControl/>
        <w:spacing w:after="120"/>
        <w:jc w:val="both"/>
        <w:rPr>
          <w:sz w:val="20"/>
          <w:szCs w:val="20"/>
        </w:rPr>
      </w:pPr>
      <w:r>
        <w:rPr>
          <w:sz w:val="20"/>
          <w:szCs w:val="20"/>
        </w:rPr>
        <w:t xml:space="preserve">WECHSLER, Andrea </w:t>
      </w:r>
      <w:r>
        <w:rPr>
          <w:i/>
          <w:sz w:val="20"/>
          <w:szCs w:val="20"/>
        </w:rPr>
        <w:t>et. al.</w:t>
      </w:r>
      <w:r>
        <w:rPr>
          <w:sz w:val="20"/>
          <w:szCs w:val="20"/>
        </w:rPr>
        <w:t xml:space="preserve"> Physical properties of furniture panels from macadamia shells. </w:t>
      </w:r>
      <w:r>
        <w:rPr>
          <w:b/>
          <w:sz w:val="20"/>
          <w:szCs w:val="20"/>
        </w:rPr>
        <w:t>Proceedings of the 18</w:t>
      </w:r>
      <w:r>
        <w:rPr>
          <w:b/>
          <w:sz w:val="20"/>
          <w:szCs w:val="20"/>
          <w:vertAlign w:val="superscript"/>
        </w:rPr>
        <w:t>th</w:t>
      </w:r>
      <w:r>
        <w:rPr>
          <w:b/>
          <w:sz w:val="20"/>
          <w:szCs w:val="20"/>
        </w:rPr>
        <w:t xml:space="preserve"> International Conferences on Composite Materials</w:t>
      </w:r>
      <w:r>
        <w:rPr>
          <w:sz w:val="20"/>
          <w:szCs w:val="20"/>
        </w:rPr>
        <w:t>, 2011.</w:t>
      </w:r>
    </w:p>
    <w:p w14:paraId="3F54A733" w14:textId="77777777" w:rsidR="00B77694" w:rsidRDefault="00000000">
      <w:pPr>
        <w:widowControl/>
        <w:spacing w:after="120"/>
        <w:jc w:val="both"/>
        <w:rPr>
          <w:sz w:val="20"/>
          <w:szCs w:val="20"/>
        </w:rPr>
      </w:pPr>
      <w:r>
        <w:rPr>
          <w:b/>
          <w:sz w:val="20"/>
          <w:szCs w:val="20"/>
        </w:rPr>
        <w:t>WORLD MACADAMIA</w:t>
      </w:r>
      <w:r>
        <w:rPr>
          <w:sz w:val="20"/>
          <w:szCs w:val="20"/>
        </w:rPr>
        <w:t xml:space="preserve">, B2B Ingredients. Disponível em: </w:t>
      </w:r>
      <w:hyperlink r:id="rId10">
        <w:r>
          <w:rPr>
            <w:color w:val="000000"/>
            <w:sz w:val="20"/>
            <w:szCs w:val="20"/>
            <w:u w:val="single"/>
          </w:rPr>
          <w:t>https://www.worldmacadamia.com/b2b-ingredients/</w:t>
        </w:r>
      </w:hyperlink>
      <w:r>
        <w:rPr>
          <w:color w:val="000000"/>
          <w:sz w:val="20"/>
          <w:szCs w:val="20"/>
        </w:rPr>
        <w:t>. Acesso em: 24 mar. 2025.</w:t>
      </w:r>
    </w:p>
    <w:p w14:paraId="2D9F2878" w14:textId="77777777" w:rsidR="00B77694" w:rsidRDefault="00B77694">
      <w:pPr>
        <w:widowControl/>
        <w:ind w:firstLine="709"/>
        <w:jc w:val="both"/>
        <w:rPr>
          <w:sz w:val="20"/>
          <w:szCs w:val="20"/>
        </w:rPr>
      </w:pPr>
    </w:p>
    <w:sectPr w:rsidR="00B77694">
      <w:headerReference w:type="first" r:id="rId11"/>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09BC" w14:textId="77777777" w:rsidR="007F4BB9" w:rsidRDefault="007F4BB9">
      <w:r>
        <w:separator/>
      </w:r>
    </w:p>
  </w:endnote>
  <w:endnote w:type="continuationSeparator" w:id="0">
    <w:p w14:paraId="48E28897" w14:textId="77777777" w:rsidR="007F4BB9" w:rsidRDefault="007F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03E026B-DBB7-4D6E-90BB-40B4697227BC}"/>
    <w:embedItalic r:id="rId2" w:fontKey="{541EE8A8-BF50-48DD-B693-580EF9F74210}"/>
  </w:font>
  <w:font w:name="Cambria Math">
    <w:panose1 w:val="02040503050406030204"/>
    <w:charset w:val="00"/>
    <w:family w:val="roman"/>
    <w:pitch w:val="variable"/>
    <w:sig w:usb0="E00006FF" w:usb1="420024FF" w:usb2="02000000" w:usb3="00000000" w:csb0="0000019F" w:csb1="00000000"/>
    <w:embedRegular r:id="rId3" w:fontKey="{D8025DC5-A6CF-4D72-9A02-9B0EDBBBD6B9}"/>
    <w:embedItalic r:id="rId4" w:fontKey="{6D4E5DA8-F918-4641-AD72-FE0F35E2ACDB}"/>
  </w:font>
  <w:font w:name="Calibri Light">
    <w:panose1 w:val="020F0302020204030204"/>
    <w:charset w:val="00"/>
    <w:family w:val="swiss"/>
    <w:pitch w:val="variable"/>
    <w:sig w:usb0="E4002EFF" w:usb1="C200247B" w:usb2="00000009" w:usb3="00000000" w:csb0="000001FF" w:csb1="00000000"/>
    <w:embedRegular r:id="rId5" w:fontKey="{C8EA806C-0D63-4898-B5A6-8EF1CC2C45D0}"/>
  </w:font>
  <w:font w:name="Calibri">
    <w:panose1 w:val="020F0502020204030204"/>
    <w:charset w:val="00"/>
    <w:family w:val="swiss"/>
    <w:pitch w:val="variable"/>
    <w:sig w:usb0="E4002EFF" w:usb1="C200247B" w:usb2="00000009" w:usb3="00000000" w:csb0="000001FF" w:csb1="00000000"/>
    <w:embedRegular r:id="rId6" w:fontKey="{9B7FCEB7-C286-401D-BE6E-D3D87C54C0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BE224" w14:textId="77777777" w:rsidR="007F4BB9" w:rsidRDefault="007F4BB9">
      <w:r>
        <w:separator/>
      </w:r>
    </w:p>
  </w:footnote>
  <w:footnote w:type="continuationSeparator" w:id="0">
    <w:p w14:paraId="412D30C0" w14:textId="77777777" w:rsidR="007F4BB9" w:rsidRDefault="007F4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9339" w14:textId="77777777" w:rsidR="00B77694" w:rsidRDefault="00000000">
    <w:pPr>
      <w:pBdr>
        <w:top w:val="nil"/>
        <w:left w:val="nil"/>
        <w:bottom w:val="nil"/>
        <w:right w:val="nil"/>
        <w:between w:val="nil"/>
      </w:pBdr>
      <w:tabs>
        <w:tab w:val="center" w:pos="4252"/>
        <w:tab w:val="right" w:pos="8504"/>
      </w:tabs>
      <w:rPr>
        <w:color w:val="000000"/>
      </w:rPr>
    </w:pPr>
    <w:r>
      <w:rPr>
        <w:noProof/>
        <w:color w:val="000000"/>
      </w:rPr>
      <w:drawing>
        <wp:inline distT="0" distB="0" distL="0" distR="0" wp14:anchorId="6ADE0B35" wp14:editId="6360D7E1">
          <wp:extent cx="5274310" cy="791210"/>
          <wp:effectExtent l="0" t="0" r="0" b="0"/>
          <wp:docPr id="43765512" name="image1.pn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personagem de desenho animado&#10;&#10;Descrição gerada automaticamente com confiança média"/>
                  <pic:cNvPicPr preferRelativeResize="0"/>
                </pic:nvPicPr>
                <pic:blipFill>
                  <a:blip r:embed="rId1"/>
                  <a:srcRect/>
                  <a:stretch>
                    <a:fillRect/>
                  </a:stretch>
                </pic:blipFill>
                <pic:spPr>
                  <a:xfrm>
                    <a:off x="0" y="0"/>
                    <a:ext cx="5274310" cy="7912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00446"/>
    <w:multiLevelType w:val="multilevel"/>
    <w:tmpl w:val="4F3AC52E"/>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323551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694"/>
    <w:rsid w:val="00037577"/>
    <w:rsid w:val="00075D77"/>
    <w:rsid w:val="000D34BC"/>
    <w:rsid w:val="0010771A"/>
    <w:rsid w:val="001F1AE5"/>
    <w:rsid w:val="0026116F"/>
    <w:rsid w:val="003E3A99"/>
    <w:rsid w:val="0044380A"/>
    <w:rsid w:val="00631E12"/>
    <w:rsid w:val="00646D7C"/>
    <w:rsid w:val="007F4BB9"/>
    <w:rsid w:val="00A46334"/>
    <w:rsid w:val="00AB2AC5"/>
    <w:rsid w:val="00B225C4"/>
    <w:rsid w:val="00B77694"/>
    <w:rsid w:val="00BD1E10"/>
    <w:rsid w:val="00C63870"/>
    <w:rsid w:val="00D07405"/>
    <w:rsid w:val="00E8693A"/>
    <w:rsid w:val="00F505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DED78"/>
  <w15:docId w15:val="{ED7A37EC-B9F8-4F5A-B199-39AE468E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FCC"/>
    <w:rPr>
      <w:lang w:bidi="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982FCC"/>
    <w:pPr>
      <w:tabs>
        <w:tab w:val="center" w:pos="4252"/>
        <w:tab w:val="right" w:pos="8504"/>
      </w:tabs>
    </w:pPr>
  </w:style>
  <w:style w:type="character" w:customStyle="1" w:styleId="CabealhoChar">
    <w:name w:val="Cabeçalho Char"/>
    <w:basedOn w:val="Fontepargpadro"/>
    <w:link w:val="Cabealho"/>
    <w:uiPriority w:val="99"/>
    <w:rsid w:val="00982FCC"/>
  </w:style>
  <w:style w:type="paragraph" w:styleId="Rodap">
    <w:name w:val="footer"/>
    <w:basedOn w:val="Normal"/>
    <w:link w:val="RodapChar"/>
    <w:uiPriority w:val="99"/>
    <w:unhideWhenUsed/>
    <w:rsid w:val="00982FCC"/>
    <w:pPr>
      <w:tabs>
        <w:tab w:val="center" w:pos="4252"/>
        <w:tab w:val="right" w:pos="8504"/>
      </w:tabs>
    </w:pPr>
  </w:style>
  <w:style w:type="character" w:customStyle="1" w:styleId="RodapChar">
    <w:name w:val="Rodapé Char"/>
    <w:basedOn w:val="Fontepargpadro"/>
    <w:link w:val="Rodap"/>
    <w:uiPriority w:val="99"/>
    <w:rsid w:val="00982FCC"/>
  </w:style>
  <w:style w:type="character" w:styleId="Hyperlink">
    <w:name w:val="Hyperlink"/>
    <w:basedOn w:val="Fontepargpadro"/>
    <w:uiPriority w:val="99"/>
    <w:unhideWhenUsed/>
    <w:rsid w:val="00170A96"/>
    <w:rPr>
      <w:color w:val="0563C1" w:themeColor="hyperlink"/>
      <w:u w:val="single"/>
    </w:rPr>
  </w:style>
  <w:style w:type="character" w:styleId="MenoPendente">
    <w:name w:val="Unresolved Mention"/>
    <w:basedOn w:val="Fontepargpadro"/>
    <w:uiPriority w:val="99"/>
    <w:semiHidden/>
    <w:unhideWhenUsed/>
    <w:rsid w:val="00170A96"/>
    <w:rPr>
      <w:color w:val="605E5C"/>
      <w:shd w:val="clear" w:color="auto" w:fill="E1DFDD"/>
    </w:rPr>
  </w:style>
  <w:style w:type="paragraph" w:styleId="Reviso">
    <w:name w:val="Revision"/>
    <w:hidden/>
    <w:uiPriority w:val="99"/>
    <w:semiHidden/>
    <w:rsid w:val="00F45A30"/>
    <w:rPr>
      <w:lang w:bidi="pt-BR"/>
    </w:rPr>
  </w:style>
  <w:style w:type="character" w:customStyle="1" w:styleId="transform">
    <w:name w:val="transform"/>
    <w:basedOn w:val="Fontepargpadro"/>
    <w:rsid w:val="00F45A30"/>
  </w:style>
  <w:style w:type="character" w:styleId="Refdecomentrio">
    <w:name w:val="annotation reference"/>
    <w:basedOn w:val="Fontepargpadro"/>
    <w:uiPriority w:val="99"/>
    <w:semiHidden/>
    <w:unhideWhenUsed/>
    <w:rsid w:val="00F45A30"/>
    <w:rPr>
      <w:sz w:val="16"/>
      <w:szCs w:val="16"/>
    </w:rPr>
  </w:style>
  <w:style w:type="paragraph" w:styleId="Textodecomentrio">
    <w:name w:val="annotation text"/>
    <w:basedOn w:val="Normal"/>
    <w:link w:val="TextodecomentrioChar"/>
    <w:uiPriority w:val="99"/>
    <w:unhideWhenUsed/>
    <w:rsid w:val="00F45A30"/>
    <w:rPr>
      <w:sz w:val="20"/>
      <w:szCs w:val="20"/>
    </w:rPr>
  </w:style>
  <w:style w:type="character" w:customStyle="1" w:styleId="TextodecomentrioChar">
    <w:name w:val="Texto de comentário Char"/>
    <w:basedOn w:val="Fontepargpadro"/>
    <w:link w:val="Textodecomentrio"/>
    <w:uiPriority w:val="99"/>
    <w:rsid w:val="00F45A30"/>
    <w:rPr>
      <w:rFonts w:ascii="Times New Roman" w:eastAsia="Times New Roman" w:hAnsi="Times New Roman" w:cs="Times New Roman"/>
      <w:kern w:val="0"/>
      <w:sz w:val="20"/>
      <w:szCs w:val="20"/>
      <w:lang w:eastAsia="pt-BR" w:bidi="pt-BR"/>
    </w:rPr>
  </w:style>
  <w:style w:type="paragraph" w:styleId="Assuntodocomentrio">
    <w:name w:val="annotation subject"/>
    <w:basedOn w:val="Textodecomentrio"/>
    <w:next w:val="Textodecomentrio"/>
    <w:link w:val="AssuntodocomentrioChar"/>
    <w:uiPriority w:val="99"/>
    <w:semiHidden/>
    <w:unhideWhenUsed/>
    <w:rsid w:val="00F45A30"/>
    <w:rPr>
      <w:b/>
      <w:bCs/>
    </w:rPr>
  </w:style>
  <w:style w:type="character" w:customStyle="1" w:styleId="AssuntodocomentrioChar">
    <w:name w:val="Assunto do comentário Char"/>
    <w:basedOn w:val="TextodecomentrioChar"/>
    <w:link w:val="Assuntodocomentrio"/>
    <w:uiPriority w:val="99"/>
    <w:semiHidden/>
    <w:rsid w:val="00F45A30"/>
    <w:rPr>
      <w:rFonts w:ascii="Times New Roman" w:eastAsia="Times New Roman" w:hAnsi="Times New Roman" w:cs="Times New Roman"/>
      <w:b/>
      <w:bCs/>
      <w:kern w:val="0"/>
      <w:sz w:val="20"/>
      <w:szCs w:val="20"/>
      <w:lang w:eastAsia="pt-BR" w:bidi="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837130">
      <w:bodyDiv w:val="1"/>
      <w:marLeft w:val="0"/>
      <w:marRight w:val="0"/>
      <w:marTop w:val="0"/>
      <w:marBottom w:val="0"/>
      <w:divBdr>
        <w:top w:val="none" w:sz="0" w:space="0" w:color="auto"/>
        <w:left w:val="none" w:sz="0" w:space="0" w:color="auto"/>
        <w:bottom w:val="none" w:sz="0" w:space="0" w:color="auto"/>
        <w:right w:val="none" w:sz="0" w:space="0" w:color="auto"/>
      </w:divBdr>
    </w:div>
    <w:div w:id="1799716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69173553_Macadamia_nut_artilce_Agro_India_MAR_20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worldmacadamia.com/b2b-ingredients/" TargetMode="External"/><Relationship Id="rId4" Type="http://schemas.openxmlformats.org/officeDocument/2006/relationships/settings" Target="settings.xml"/><Relationship Id="rId9" Type="http://schemas.openxmlformats.org/officeDocument/2006/relationships/hyperlink" Target="https://www.researchgate.net/publication/373649042_Macadamia_Nut_Bio-Waste_An_Agricultural_Waste_with_Potential_to_Be_Used_as_Carbon_Support_Material_in_Fuel_Cell_Applic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ZI9nEE2Hz18acq/4FYVNzEAPeg==">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4</Pages>
  <Words>2494</Words>
  <Characters>13470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Beatriz Cardoso</dc:creator>
  <cp:lastModifiedBy>Ana Beatriz Cardoso</cp:lastModifiedBy>
  <cp:revision>10</cp:revision>
  <dcterms:created xsi:type="dcterms:W3CDTF">2025-05-29T17:25:00Z</dcterms:created>
  <dcterms:modified xsi:type="dcterms:W3CDTF">2025-06-10T19:37:00Z</dcterms:modified>
</cp:coreProperties>
</file>