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NOVA CLASSIFICAÇÃO DA DOENÇA PERIODONTAL DE 2018: REVISÃO INTEGRATIVA DA LITERATURA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 Eduarda Rodrigues BRITO¹*, Wallace Lopes LEMOS², Geovanna Alice Alves MATOS³, Jefferson Luís Pinheiro Sousa SEGUNDO⁴, Daniel Felipe Silva dos ANJOS⁵, Joseana Francisca de ALENCAR⁶, Iranildo Gleyson Nascimento COSTA⁷, Me.Thaís Oliveira CORDEIRO⁸.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1Aluna de graduação, Centro Universitário Santo Agostinho (UNIFSA) - Teresina-PI. E-mail: duerrre20@gmail.com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2Aluno de graduação, Centro Universitário Santo Agostinho (UNIFSA) - Teresina-PI.  3Aluna de graduação, Centro Universitário Santo Agostinho (UNIFSA) - Teresina-PI.  4Aluno de graduação, Centro Universitário Santo Agostinho (UNIFSA) - Teresina-PI.  5Aluno de graduação, Centro Universitário Santo Agostinho (UNIFSA) - Teresina-PI.  6Aluna de graduação, Centro Universitário Santo Agostinho (UNIFSA) - Teresina-PI. 7Aluno de graduação, Centro Universitário Santo Agostinho (UNIFSA) - Teresina-PI.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8Professora, Centro Universitário Santo Agostinho (UNIFSA). Teresina – PI.</w:t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A nova classificação periodontal é mais individualizada e fundamentada em evidência, levando em conta fatores de risco e prognóstico clínico. Isso implica que o diagnóstico da doença periodontal considera a trajetória do paciente, seu estado de saúde e hábitos que podem afetar o avanço da periodontite.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Revisar a literatura sobre a Classificação da Doença Periodontal e fatores relacionados ao desenvolvimento da doença.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Este estudo foi realizado por meio de uma análise integrativa da literatura. A análise foi realizada através de publicações científicas relacionadas ao campo de investigação, utilizando o PubMed como base, considerados fatores como estágio, nível de inserção, diagnóstico periodontal e biótipo.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Foram utilizados 6 artigos para fins de conclusão. A nova categorização das doenças e condições periodontais também engloba enfermidades e condições sistêmicas que impactam os tecidos de suporte periodontal. Além disso, o biótipo fino ou espesso pode ter influência na perpetuação da doença. Da mesma forma que a sondagem pode afetar o progresso do diagnóstico e danificar o tecido periodontal se realizada de maneira incorreta.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Conclui-se que a importância de uma identificação e a percepção preliminar dos sinais da gengivite evitam que ela evolua para estágios mais severos e análise periodontal é fundamental para identificar e tratar as lesões gengivais antes que se tornem mais graves.</w:t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ind w:right="66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Periodontia; Biótipo; Perda óssea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b w:val="1"/>
        <w:color w:val="ffffff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1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2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-662302</wp:posOffset>
          </wp:positionH>
          <wp:positionV relativeFrom="paragraph">
            <wp:posOffset>-307203</wp:posOffset>
          </wp:positionV>
          <wp:extent cx="7248500" cy="1484416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ind w:left="-284" w:right="-284" w:firstLine="0"/>
      <w:jc w:val="center"/>
      <w:rPr>
        <w:rFonts w:ascii="Calibri" w:cs="Calibri" w:eastAsia="Calibri" w:hAnsi="Calibri"/>
        <w:b w:val="1"/>
        <w:color w:val="ffffff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ffffff"/>
        <w:sz w:val="16"/>
        <w:szCs w:val="16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</w:style>
  <w:style w:type="paragraph" w:styleId="Ttulo1">
    <w:name w:val="heading 1"/>
    <w:basedOn w:val="Normal"/>
    <w:next w:val="Normal"/>
    <w:link w:val="Ttulo1Char"/>
    <w:uiPriority w:val="9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EC4iHZzNlHHjxHuitXdA90u80w==">CgMxLjA4AHIhMVg1SFZENnNWQjVMaDJZaFRCdk1nMHpFRHRzRll2SjQy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</cp:coreProperties>
</file>