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B96" w:rsidRDefault="00977A27">
      <w:r>
        <w:rPr>
          <w:noProof/>
        </w:rPr>
        <w:drawing>
          <wp:anchor distT="0" distB="0" distL="0" distR="0" simplePos="0" relativeHeight="251658240" behindDoc="1" locked="0" layoutInCell="1" hidden="0" allowOverlap="1">
            <wp:simplePos x="0" y="0"/>
            <wp:positionH relativeFrom="column">
              <wp:posOffset>-1090735</wp:posOffset>
            </wp:positionH>
            <wp:positionV relativeFrom="paragraph">
              <wp:posOffset>-923924</wp:posOffset>
            </wp:positionV>
            <wp:extent cx="7578284" cy="10711543"/>
            <wp:effectExtent l="0" t="0" r="0" b="0"/>
            <wp:wrapNone/>
            <wp:docPr id="2128089466" name="image5.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Texto, Carta&#10;&#10;O conteúdo gerado por IA pode estar incorreto."/>
                    <pic:cNvPicPr preferRelativeResize="0"/>
                  </pic:nvPicPr>
                  <pic:blipFill>
                    <a:blip r:embed="rId7"/>
                    <a:srcRect/>
                    <a:stretch>
                      <a:fillRect/>
                    </a:stretch>
                  </pic:blipFill>
                  <pic:spPr>
                    <a:xfrm>
                      <a:off x="0" y="0"/>
                      <a:ext cx="7578284" cy="10711543"/>
                    </a:xfrm>
                    <a:prstGeom prst="rect">
                      <a:avLst/>
                    </a:prstGeom>
                    <a:ln/>
                  </pic:spPr>
                </pic:pic>
              </a:graphicData>
            </a:graphic>
          </wp:anchor>
        </w:drawing>
      </w:r>
    </w:p>
    <w:p w:rsidR="00145B96" w:rsidRDefault="0099368F">
      <w:r>
        <w:rPr>
          <w:noProof/>
        </w:rPr>
        <mc:AlternateContent>
          <mc:Choice Requires="wps">
            <w:drawing>
              <wp:anchor distT="0" distB="0" distL="114300" distR="114300" simplePos="0" relativeHeight="251661312" behindDoc="0" locked="0" layoutInCell="1" hidden="0" allowOverlap="1">
                <wp:simplePos x="0" y="0"/>
                <wp:positionH relativeFrom="column">
                  <wp:posOffset>424815</wp:posOffset>
                </wp:positionH>
                <wp:positionV relativeFrom="paragraph">
                  <wp:posOffset>6876415</wp:posOffset>
                </wp:positionV>
                <wp:extent cx="982980" cy="723900"/>
                <wp:effectExtent l="0" t="0" r="0" b="0"/>
                <wp:wrapNone/>
                <wp:docPr id="2128089463" name="Retângulo 2128089463"/>
                <wp:cNvGraphicFramePr/>
                <a:graphic xmlns:a="http://schemas.openxmlformats.org/drawingml/2006/main">
                  <a:graphicData uri="http://schemas.microsoft.com/office/word/2010/wordprocessingShape">
                    <wps:wsp>
                      <wps:cNvSpPr/>
                      <wps:spPr>
                        <a:xfrm>
                          <a:off x="0" y="0"/>
                          <a:ext cx="982980" cy="723900"/>
                        </a:xfrm>
                        <a:prstGeom prst="rect">
                          <a:avLst/>
                        </a:prstGeom>
                        <a:noFill/>
                        <a:ln>
                          <a:noFill/>
                        </a:ln>
                      </wps:spPr>
                      <wps:txbx>
                        <w:txbxContent>
                          <w:p w:rsidR="00145B96" w:rsidRPr="0099368F" w:rsidRDefault="00977A27">
                            <w:pPr>
                              <w:textDirection w:val="btLr"/>
                              <w:rPr>
                                <w:sz w:val="40"/>
                                <w:szCs w:val="40"/>
                              </w:rPr>
                            </w:pPr>
                            <w:r w:rsidRPr="0099368F">
                              <w:rPr>
                                <w:rFonts w:ascii="Antonio" w:eastAsia="Antonio" w:hAnsi="Antonio" w:cs="Antonio"/>
                                <w:color w:val="F8EDD1"/>
                                <w:sz w:val="40"/>
                                <w:szCs w:val="40"/>
                              </w:rPr>
                              <w:t xml:space="preserve">GT </w:t>
                            </w:r>
                            <w:r w:rsidR="0099368F" w:rsidRPr="0099368F">
                              <w:rPr>
                                <w:rFonts w:ascii="Antonio" w:eastAsia="Antonio" w:hAnsi="Antonio" w:cs="Antonio"/>
                                <w:color w:val="F8EDD1"/>
                                <w:sz w:val="40"/>
                                <w:szCs w:val="40"/>
                              </w:rPr>
                              <w:t>03</w:t>
                            </w:r>
                            <w:r w:rsidRPr="0099368F">
                              <w:rPr>
                                <w:rFonts w:ascii="Antonio" w:eastAsia="Antonio" w:hAnsi="Antonio" w:cs="Antonio"/>
                                <w:color w:val="F8EDD1"/>
                                <w:sz w:val="40"/>
                                <w:szCs w:val="4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tângulo 2128089463" o:spid="_x0000_s1026" style="position:absolute;margin-left:33.45pt;margin-top:541.45pt;width:77.4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" filled="f" stroked="f">
                <v:textbox inset="2.53958mm,1.2694mm,2.53958mm,1.2694mm">
                  <w:txbxContent>
                    <w:p w:rsidR="00145B96" w:rsidRPr="0099368F" w:rsidRDefault="00977A27">
                      <w:pPr>
                        <w:textDirection w:val="btLr"/>
                        <w:rPr>
                          <w:sz w:val="40"/>
                          <w:szCs w:val="40"/>
                        </w:rPr>
                      </w:pPr>
                      <w:r w:rsidRPr="0099368F">
                        <w:rPr>
                          <w:rFonts w:ascii="Antonio" w:eastAsia="Antonio" w:hAnsi="Antonio" w:cs="Antonio"/>
                          <w:color w:val="F8EDD1"/>
                          <w:sz w:val="40"/>
                          <w:szCs w:val="40"/>
                        </w:rPr>
                        <w:t xml:space="preserve">GT </w:t>
                      </w:r>
                      <w:r w:rsidR="0099368F" w:rsidRPr="0099368F">
                        <w:rPr>
                          <w:rFonts w:ascii="Antonio" w:eastAsia="Antonio" w:hAnsi="Antonio" w:cs="Antonio"/>
                          <w:color w:val="F8EDD1"/>
                          <w:sz w:val="40"/>
                          <w:szCs w:val="40"/>
                        </w:rPr>
                        <w:t>03</w:t>
                      </w:r>
                      <w:r w:rsidRPr="0099368F">
                        <w:rPr>
                          <w:rFonts w:ascii="Antonio" w:eastAsia="Antonio" w:hAnsi="Antonio" w:cs="Antonio"/>
                          <w:color w:val="F8EDD1"/>
                          <w:sz w:val="40"/>
                          <w:szCs w:val="40"/>
                        </w:rPr>
                        <w:t>:</w:t>
                      </w:r>
                    </w:p>
                  </w:txbxContent>
                </v:textbox>
              </v:rect>
            </w:pict>
          </mc:Fallback>
        </mc:AlternateContent>
      </w:r>
      <w:r w:rsidR="00977A27">
        <w:br w:type="page"/>
      </w:r>
      <w:r w:rsidR="00977A27">
        <w:rPr>
          <w:noProof/>
        </w:rPr>
        <mc:AlternateContent>
          <mc:Choice Requires="wpg">
            <w:drawing>
              <wp:anchor distT="0" distB="0" distL="0" distR="0" simplePos="0" relativeHeight="251659264" behindDoc="1" locked="0" layoutInCell="1" hidden="0" allowOverlap="1">
                <wp:simplePos x="0" y="0"/>
                <wp:positionH relativeFrom="column">
                  <wp:posOffset>508000</wp:posOffset>
                </wp:positionH>
                <wp:positionV relativeFrom="paragraph">
                  <wp:posOffset>6896100</wp:posOffset>
                </wp:positionV>
                <wp:extent cx="718651" cy="392080"/>
                <wp:effectExtent l="0" t="0" r="0" b="0"/>
                <wp:wrapNone/>
                <wp:docPr id="2128089462" name="Retângulo: Cantos Arredondados 2128089462"/>
                <wp:cNvGraphicFramePr/>
                <a:graphic xmlns:a="http://schemas.openxmlformats.org/drawingml/2006/main">
                  <a:graphicData uri="http://schemas.microsoft.com/office/word/2010/wordprocessingShape">
                    <wps:wsp>
                      <wps:cNvSpPr/>
                      <wps:spPr>
                        <a:xfrm>
                          <a:off x="4991437" y="3588723"/>
                          <a:ext cx="709126" cy="382555"/>
                        </a:xfrm>
                        <a:prstGeom prst="roundRect">
                          <a:avLst>
                            <a:gd name="adj" fmla="val 16667"/>
                          </a:avLst>
                        </a:prstGeom>
                        <a:solidFill>
                          <a:srgbClr val="1A9B3C"/>
                        </a:solidFill>
                        <a:ln>
                          <a:noFill/>
                        </a:ln>
                      </wps:spPr>
                      <wps:txbx>
                        <w:txbxContent>
                          <w:p w:rsidR="00145B96" w:rsidRDefault="00145B96">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18651" cy="392080"/>
                        </a:xfrm>
                        <a:prstGeom prst="rect"/>
                        <a:ln/>
                      </pic:spPr>
                    </pic:pic>
                  </a:graphicData>
                </a:graphic>
              </wp:anchor>
            </w:drawing>
          </mc:Fallback>
        </mc:AlternateContent>
      </w:r>
      <w:r w:rsidR="00977A27">
        <w:rPr>
          <w:noProof/>
        </w:rPr>
        <mc:AlternateContent>
          <mc:Choice Requires="wps">
            <w:drawing>
              <wp:anchor distT="0" distB="0" distL="114300" distR="114300" simplePos="0" relativeHeight="251660288" behindDoc="0" locked="0" layoutInCell="1" hidden="0" allowOverlap="1">
                <wp:simplePos x="0" y="0"/>
                <wp:positionH relativeFrom="column">
                  <wp:posOffset>1323975</wp:posOffset>
                </wp:positionH>
                <wp:positionV relativeFrom="paragraph">
                  <wp:posOffset>6953250</wp:posOffset>
                </wp:positionV>
                <wp:extent cx="3703955" cy="1377111"/>
                <wp:effectExtent l="0" t="0" r="0" b="0"/>
                <wp:wrapNone/>
                <wp:docPr id="2128089464" name="Retângulo 2128089464"/>
                <wp:cNvGraphicFramePr/>
                <a:graphic xmlns:a="http://schemas.openxmlformats.org/drawingml/2006/main">
                  <a:graphicData uri="http://schemas.microsoft.com/office/word/2010/wordprocessingShape">
                    <wps:wsp>
                      <wps:cNvSpPr/>
                      <wps:spPr>
                        <a:xfrm>
                          <a:off x="3498785" y="3098963"/>
                          <a:ext cx="3694430" cy="1362075"/>
                        </a:xfrm>
                        <a:prstGeom prst="rect">
                          <a:avLst/>
                        </a:prstGeom>
                        <a:noFill/>
                        <a:ln>
                          <a:noFill/>
                        </a:ln>
                      </wps:spPr>
                      <wps:txbx>
                        <w:txbxContent>
                          <w:p w:rsidR="00145B96" w:rsidRDefault="00977A27">
                            <w:pPr>
                              <w:textDirection w:val="btLr"/>
                            </w:pPr>
                            <w:proofErr w:type="gramStart"/>
                            <w:r>
                              <w:rPr>
                                <w:rFonts w:ascii="Antonio" w:eastAsia="Antonio" w:hAnsi="Antonio" w:cs="Antonio"/>
                                <w:color w:val="1A9B3C"/>
                                <w:sz w:val="36"/>
                              </w:rPr>
                              <w:t>Ruralidades e Meio Ambiente</w:t>
                            </w:r>
                            <w:proofErr w:type="gramEnd"/>
                          </w:p>
                        </w:txbxContent>
                      </wps:txbx>
                      <wps:bodyPr spcFirstLastPara="1" wrap="square" lIns="91425" tIns="45700" rIns="91425" bIns="45700" anchor="t" anchorCtr="0">
                        <a:noAutofit/>
                      </wps:bodyPr>
                    </wps:wsp>
                  </a:graphicData>
                </a:graphic>
              </wp:anchor>
            </w:drawing>
          </mc:Choice>
          <mc:Fallback>
            <w:pict>
              <v:rect id="Retângulo 2128089464" o:spid="_x0000_s1028" style="position:absolute;margin-left:104.25pt;margin-top:547.5pt;width:291.65pt;height:10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" filled="f" stroked="f">
                <v:textbox inset="2.53958mm,1.2694mm,2.53958mm,1.2694mm">
                  <w:txbxContent>
                    <w:p w:rsidR="00145B96" w:rsidRDefault="00977A27">
                      <w:pPr>
                        <w:textDirection w:val="btLr"/>
                      </w:pPr>
                      <w:proofErr w:type="gramStart"/>
                      <w:r>
                        <w:rPr>
                          <w:rFonts w:ascii="Antonio" w:eastAsia="Antonio" w:hAnsi="Antonio" w:cs="Antonio"/>
                          <w:color w:val="1A9B3C"/>
                          <w:sz w:val="36"/>
                        </w:rPr>
                        <w:t>Ruralidades e Meio Ambiente</w:t>
                      </w:r>
                      <w:proofErr w:type="gramEnd"/>
                    </w:p>
                  </w:txbxContent>
                </v:textbox>
              </v:rect>
            </w:pict>
          </mc:Fallback>
        </mc:AlternateContent>
      </w:r>
    </w:p>
    <w:p w:rsidR="00145B96" w:rsidRDefault="00977A27">
      <w:pPr>
        <w:spacing w:line="360" w:lineRule="auto"/>
        <w:ind w:hanging="2"/>
        <w:jc w:val="center"/>
      </w:pPr>
      <w:r>
        <w:lastRenderedPageBreak/>
        <w:t>DIREITOS EM DISPUTA: UMA REFLEXÃO SOBRE A CIDADANIA DOS POVOS DA FLORESTA</w:t>
      </w:r>
    </w:p>
    <w:p w:rsidR="00145B96" w:rsidRDefault="00145B96">
      <w:pPr>
        <w:spacing w:line="360" w:lineRule="auto"/>
        <w:ind w:hanging="2"/>
        <w:jc w:val="center"/>
      </w:pPr>
    </w:p>
    <w:p w:rsidR="00145B96" w:rsidRDefault="00145B96">
      <w:pPr>
        <w:spacing w:line="360" w:lineRule="auto"/>
        <w:ind w:hanging="2"/>
        <w:jc w:val="center"/>
      </w:pPr>
    </w:p>
    <w:p w:rsidR="00145B96" w:rsidRDefault="00977A27">
      <w:pPr>
        <w:spacing w:line="360" w:lineRule="auto"/>
        <w:ind w:hanging="2"/>
        <w:jc w:val="center"/>
        <w:rPr>
          <w:vertAlign w:val="superscript"/>
        </w:rPr>
      </w:pPr>
      <w:r>
        <w:t>Jéssica Pires Cardoso</w:t>
      </w:r>
      <w:r>
        <w:rPr>
          <w:vertAlign w:val="superscript"/>
        </w:rPr>
        <w:footnoteReference w:id="1"/>
      </w:r>
    </w:p>
    <w:p w:rsidR="00145B96" w:rsidRDefault="00145B96">
      <w:pPr>
        <w:spacing w:line="360" w:lineRule="auto"/>
        <w:ind w:hanging="2"/>
      </w:pPr>
    </w:p>
    <w:p w:rsidR="00145B96" w:rsidRDefault="00145B96">
      <w:pPr>
        <w:spacing w:line="360" w:lineRule="auto"/>
        <w:ind w:hanging="2"/>
      </w:pPr>
    </w:p>
    <w:p w:rsidR="00145B96" w:rsidRDefault="00977A27">
      <w:pPr>
        <w:spacing w:line="360" w:lineRule="auto"/>
        <w:ind w:hanging="2"/>
      </w:pPr>
      <w:r>
        <w:rPr>
          <w:b/>
        </w:rPr>
        <w:t>GT 03:</w:t>
      </w:r>
      <w:r>
        <w:t xml:space="preserve"> Ruralidades e Meio Ambiente</w:t>
      </w:r>
    </w:p>
    <w:p w:rsidR="00145B96" w:rsidRDefault="00145B96">
      <w:pPr>
        <w:tabs>
          <w:tab w:val="left" w:pos="3544"/>
        </w:tabs>
        <w:spacing w:line="360" w:lineRule="auto"/>
        <w:ind w:hanging="2"/>
        <w:jc w:val="center"/>
        <w:rPr>
          <w:color w:val="FF0000"/>
        </w:rPr>
      </w:pPr>
    </w:p>
    <w:p w:rsidR="00145B96" w:rsidRDefault="00145B96">
      <w:pPr>
        <w:tabs>
          <w:tab w:val="left" w:pos="3544"/>
        </w:tabs>
        <w:spacing w:line="360" w:lineRule="auto"/>
        <w:ind w:hanging="2"/>
        <w:jc w:val="center"/>
        <w:rPr>
          <w:color w:val="FF0000"/>
        </w:rPr>
      </w:pPr>
    </w:p>
    <w:p w:rsidR="00145B96" w:rsidRDefault="00977A27">
      <w:pPr>
        <w:spacing w:line="360" w:lineRule="auto"/>
        <w:ind w:hanging="2"/>
        <w:jc w:val="center"/>
        <w:rPr>
          <w:b/>
        </w:rPr>
      </w:pPr>
      <w:r>
        <w:rPr>
          <w:b/>
        </w:rPr>
        <w:t xml:space="preserve">RESUMO </w:t>
      </w:r>
    </w:p>
    <w:p w:rsidR="00145B96" w:rsidRDefault="00977A27">
      <w:pPr>
        <w:spacing w:line="360" w:lineRule="auto"/>
        <w:ind w:hanging="2"/>
        <w:jc w:val="center"/>
      </w:pPr>
      <w:r>
        <w:t xml:space="preserve">O objetivo deste texto é refletir sobre o direito de cidadania dos povos da floresta em um cenário de </w:t>
      </w:r>
      <w:proofErr w:type="spellStart"/>
      <w:r w:rsidRPr="00F23861">
        <w:t>ambientalização</w:t>
      </w:r>
      <w:proofErr w:type="spellEnd"/>
      <w:r>
        <w:t xml:space="preserve"> e mercantilização da Amazônia. Por essa via, trago a hipótese de que a condição de cidadania deste grupo está condicionada à preservação d</w:t>
      </w:r>
      <w:r>
        <w:t xml:space="preserve">a natureza, portanto, uma </w:t>
      </w:r>
      <w:r>
        <w:rPr>
          <w:i/>
        </w:rPr>
        <w:t>compensação</w:t>
      </w:r>
      <w:r>
        <w:t xml:space="preserve"> às práticas ditas sustentáveis com o meio ambiente. Nes</w:t>
      </w:r>
      <w:bookmarkStart w:id="0" w:name="_GoBack"/>
      <w:bookmarkEnd w:id="0"/>
      <w:r>
        <w:t>se sentido, ainda que um esforço preliminar, argumento que essa população adquire o status de cidadania quando enquadra suas práticas e discursos às expectativas d</w:t>
      </w:r>
      <w:r>
        <w:t xml:space="preserve">e parâmetros externos. A análise toma como base teórica a analítica de Foucault (2021) acerca do poder e as ponderações de Fernand (2022) sobre um habitar colonial, e, em termos metodológicos, trabalhos de campo realizados em comunidades remotas no Pará e </w:t>
      </w:r>
      <w:r>
        <w:t>no Amazonas, entre 2022 e 2024.</w:t>
      </w:r>
    </w:p>
    <w:p w:rsidR="00145B96" w:rsidRDefault="00145B96">
      <w:pPr>
        <w:spacing w:line="360" w:lineRule="auto"/>
        <w:ind w:hanging="2"/>
        <w:jc w:val="center"/>
      </w:pPr>
    </w:p>
    <w:p w:rsidR="00145B96" w:rsidRDefault="00977A27">
      <w:pPr>
        <w:spacing w:line="360" w:lineRule="auto"/>
        <w:ind w:hanging="2"/>
        <w:jc w:val="both"/>
      </w:pPr>
      <w:r>
        <w:t xml:space="preserve">Palavras-chave: Sociedade e Meio Ambiente. Cidadania e Poder. Resistência. Conflitos </w:t>
      </w:r>
      <w:proofErr w:type="spellStart"/>
      <w:r>
        <w:t>socioterritoriais</w:t>
      </w:r>
      <w:proofErr w:type="spellEnd"/>
      <w:r>
        <w:t>.</w:t>
      </w:r>
    </w:p>
    <w:p w:rsidR="00145B96" w:rsidRDefault="00977A27">
      <w:pPr>
        <w:spacing w:line="360" w:lineRule="auto"/>
        <w:jc w:val="both"/>
        <w:rPr>
          <w:b/>
        </w:rPr>
      </w:pPr>
      <w:r>
        <w:rPr>
          <w:b/>
        </w:rPr>
        <w:lastRenderedPageBreak/>
        <w:t>INTRODUÇÃO</w:t>
      </w:r>
    </w:p>
    <w:p w:rsidR="00145B96" w:rsidRDefault="00145B96">
      <w:pPr>
        <w:spacing w:line="360" w:lineRule="auto"/>
        <w:jc w:val="both"/>
      </w:pPr>
    </w:p>
    <w:p w:rsidR="00145B96" w:rsidRDefault="00977A27">
      <w:pPr>
        <w:ind w:left="2267"/>
        <w:jc w:val="both"/>
        <w:rPr>
          <w:sz w:val="20"/>
          <w:szCs w:val="20"/>
        </w:rPr>
      </w:pPr>
      <w:r>
        <w:rPr>
          <w:sz w:val="20"/>
          <w:szCs w:val="20"/>
        </w:rPr>
        <w:t xml:space="preserve">Tem muita gente que é assim. Eu sou </w:t>
      </w:r>
      <w:proofErr w:type="spellStart"/>
      <w:r>
        <w:rPr>
          <w:sz w:val="20"/>
          <w:szCs w:val="20"/>
        </w:rPr>
        <w:t>beiradeira</w:t>
      </w:r>
      <w:proofErr w:type="spellEnd"/>
      <w:r>
        <w:rPr>
          <w:sz w:val="20"/>
          <w:szCs w:val="20"/>
        </w:rPr>
        <w:t xml:space="preserve">, como diz o pessoal, do pé rachado [risos]. Se alguém </w:t>
      </w:r>
      <w:r>
        <w:rPr>
          <w:sz w:val="20"/>
          <w:szCs w:val="20"/>
        </w:rPr>
        <w:t xml:space="preserve">daqui fala que eu sou ribeirinha, eu digo: “Não, sou </w:t>
      </w:r>
      <w:proofErr w:type="spellStart"/>
      <w:r>
        <w:rPr>
          <w:sz w:val="20"/>
          <w:szCs w:val="20"/>
        </w:rPr>
        <w:t>beiradeira</w:t>
      </w:r>
      <w:proofErr w:type="spellEnd"/>
      <w:r>
        <w:rPr>
          <w:sz w:val="20"/>
          <w:szCs w:val="20"/>
        </w:rPr>
        <w:t xml:space="preserve">”. Quando nós estamos em reunião, eu falo: “Agora, somos ribeirinhos. Antes, nós éramos </w:t>
      </w:r>
      <w:proofErr w:type="spellStart"/>
      <w:r>
        <w:rPr>
          <w:sz w:val="20"/>
          <w:szCs w:val="20"/>
        </w:rPr>
        <w:t>beiradeiros</w:t>
      </w:r>
      <w:proofErr w:type="spellEnd"/>
      <w:r>
        <w:rPr>
          <w:sz w:val="20"/>
          <w:szCs w:val="20"/>
        </w:rPr>
        <w:t xml:space="preserve">.”. (Entrevista realizada com Dona Laura na comunidade São Francisco, </w:t>
      </w:r>
      <w:proofErr w:type="spellStart"/>
      <w:r>
        <w:rPr>
          <w:sz w:val="20"/>
          <w:szCs w:val="20"/>
        </w:rPr>
        <w:t>Resex</w:t>
      </w:r>
      <w:proofErr w:type="spellEnd"/>
      <w:r>
        <w:rPr>
          <w:sz w:val="20"/>
          <w:szCs w:val="20"/>
        </w:rPr>
        <w:t xml:space="preserve"> do Iriri, Pará, en</w:t>
      </w:r>
      <w:r>
        <w:rPr>
          <w:sz w:val="20"/>
          <w:szCs w:val="20"/>
        </w:rPr>
        <w:t>trevista realizada em 05 de maio de 2023).</w:t>
      </w:r>
    </w:p>
    <w:p w:rsidR="00145B96" w:rsidRDefault="00145B96">
      <w:pPr>
        <w:spacing w:line="360" w:lineRule="auto"/>
        <w:jc w:val="both"/>
      </w:pPr>
    </w:p>
    <w:p w:rsidR="00145B96" w:rsidRDefault="00977A27">
      <w:pPr>
        <w:spacing w:line="360" w:lineRule="auto"/>
        <w:ind w:firstLine="720"/>
        <w:jc w:val="both"/>
      </w:pPr>
      <w:r>
        <w:t>Em maio de 2023, Dona Laura, moradora da comunidade São Francisco na Reserva Extrativista do Rio Iriri (PA), me explicou com indignação o processo de “tomada” do rio Iriri pelos indígenas. No caso, os indígenas d</w:t>
      </w:r>
      <w:r>
        <w:t xml:space="preserve">eixaram de morar dentro da mata e passaram a ocupar as margens do rio que, segundo ela, eram dos </w:t>
      </w:r>
      <w:proofErr w:type="spellStart"/>
      <w:r>
        <w:t>beiradeiros</w:t>
      </w:r>
      <w:proofErr w:type="spellEnd"/>
      <w:r>
        <w:t xml:space="preserve">. “Nós que éramos </w:t>
      </w:r>
      <w:proofErr w:type="spellStart"/>
      <w:r>
        <w:rPr>
          <w:i/>
        </w:rPr>
        <w:t>beiradeiros</w:t>
      </w:r>
      <w:proofErr w:type="spellEnd"/>
      <w:r>
        <w:t>. [Eles] vieram e tomaram nosso rio. Eles viviam no mato e amansaram eles. [...] Tomaram nosso direito. Metade é deles.</w:t>
      </w:r>
      <w:r>
        <w:t xml:space="preserve"> Não deixam entrar nem para pescar. Tem que pagar para pescar”. Naquele momento, desconsiderei a relevante informação sobre outras formas de conflitos de pesca na região, para além dos já conhecidos resultantes da construção da Usina Hidrelétrica de Belo M</w:t>
      </w:r>
      <w:r>
        <w:t xml:space="preserve">onte, e julguei interessante perguntar sobre a identidade </w:t>
      </w:r>
      <w:proofErr w:type="spellStart"/>
      <w:r>
        <w:t>beiradeira</w:t>
      </w:r>
      <w:proofErr w:type="spellEnd"/>
      <w:r>
        <w:t>, se sempre se intitularam dessa forma. “</w:t>
      </w:r>
      <w:proofErr w:type="spellStart"/>
      <w:r>
        <w:t>Beiradeiros</w:t>
      </w:r>
      <w:proofErr w:type="spellEnd"/>
      <w:r>
        <w:t xml:space="preserve"> do pé rachado, já diziam assim. Nem sandália a gente usava, andávamos de pé no chão”. E complementa: “Já estava com três, quatro anos d</w:t>
      </w:r>
      <w:r>
        <w:t xml:space="preserve">e </w:t>
      </w:r>
      <w:proofErr w:type="spellStart"/>
      <w:r>
        <w:t>Resex</w:t>
      </w:r>
      <w:proofErr w:type="spellEnd"/>
      <w:r>
        <w:t xml:space="preserve">. Aí começaram a chamar [a gente] de ribeirinho. Antes era </w:t>
      </w:r>
      <w:proofErr w:type="spellStart"/>
      <w:r>
        <w:t>beiradeiro</w:t>
      </w:r>
      <w:proofErr w:type="spellEnd"/>
      <w:r>
        <w:t xml:space="preserve">. Eles que colocaram esse nome de ribeirinho, o pessoal que trabalhava </w:t>
      </w:r>
      <w:proofErr w:type="gramStart"/>
      <w:r>
        <w:t>com nós</w:t>
      </w:r>
      <w:proofErr w:type="gramEnd"/>
      <w:r>
        <w:t>, o ISA”.</w:t>
      </w:r>
    </w:p>
    <w:p w:rsidR="00145B96" w:rsidRDefault="00977A27" w:rsidP="0099368F">
      <w:pPr>
        <w:spacing w:line="360" w:lineRule="auto"/>
        <w:ind w:firstLine="720"/>
        <w:jc w:val="both"/>
      </w:pPr>
      <w:r>
        <w:t>Esse relato traz elementos que ponderam sobre a consolidação da questão ambiental e a emergê</w:t>
      </w:r>
      <w:r>
        <w:t xml:space="preserve">ncia de novas dinâmicas </w:t>
      </w:r>
      <w:proofErr w:type="spellStart"/>
      <w:r>
        <w:t>socioterritoriais</w:t>
      </w:r>
      <w:proofErr w:type="spellEnd"/>
      <w:r>
        <w:t xml:space="preserve">. E é por esse caminho que pretendo enveredar. De modo específico, o objetivo é refletir sobre o direito de cidadania dos povos da floresta em um cenário de </w:t>
      </w:r>
      <w:proofErr w:type="spellStart"/>
      <w:r>
        <w:t>ambientalização</w:t>
      </w:r>
      <w:proofErr w:type="spellEnd"/>
      <w:r>
        <w:t xml:space="preserve"> e mercantilização da Amazônia. Por essa vi</w:t>
      </w:r>
      <w:r>
        <w:t xml:space="preserve">a, trago a hipótese de que a condição de cidadania deste grupo está condicionada à </w:t>
      </w:r>
      <w:r>
        <w:t xml:space="preserve">preservação </w:t>
      </w:r>
      <w:r>
        <w:lastRenderedPageBreak/>
        <w:t xml:space="preserve">da natureza, portanto, uma </w:t>
      </w:r>
      <w:r>
        <w:rPr>
          <w:i/>
        </w:rPr>
        <w:t>compensação</w:t>
      </w:r>
      <w:r>
        <w:t xml:space="preserve"> às práticas ditas sustentáveis com o meio ambiente. Nesse sentido, ainda que um esforço preliminar, argumento que essa população adquire o </w:t>
      </w:r>
      <w:r>
        <w:rPr>
          <w:i/>
        </w:rPr>
        <w:t xml:space="preserve">status </w:t>
      </w:r>
      <w:r>
        <w:t xml:space="preserve">de cidadania quando enquadra suas práticas e discursos às expectativas de parâmetros externos. </w:t>
      </w:r>
    </w:p>
    <w:p w:rsidR="00145B96" w:rsidRDefault="00977A27">
      <w:pPr>
        <w:spacing w:line="360" w:lineRule="auto"/>
        <w:ind w:firstLine="720"/>
        <w:jc w:val="both"/>
      </w:pPr>
      <w:r>
        <w:t>Dentre os ins</w:t>
      </w:r>
      <w:r>
        <w:t>trumentos teóricos mobilizados, a analítica de Foucault (2021) acerca do poder é fundamental para amparar a interpretação do controle dos corpos por meio do Estado e de seus aparelhos. A instauração dessas formas de poder fundamentada na disciplina dos cor</w:t>
      </w:r>
      <w:r>
        <w:t xml:space="preserve">pos – corpo-máquina – e na regulação das condutas da população – corpo-espécie –, matizado no </w:t>
      </w:r>
      <w:proofErr w:type="spellStart"/>
      <w:r>
        <w:t>biopoder</w:t>
      </w:r>
      <w:proofErr w:type="spellEnd"/>
      <w:r>
        <w:t xml:space="preserve">, caracteriza uma chave para refletir sobre a preocupação do mundo contemporâneo com a emergência climática e o papel dos povos da floresta como “suporte </w:t>
      </w:r>
      <w:r>
        <w:t>dos processos biológicos” (Foucault, 2021, p. 150): manutenção da vida e materialização das condições necessárias para uma longevidade planetária. Isto posto, entendo a emergência das pautas ambientais e os reflexos no território amazônico – como a formaçã</w:t>
      </w:r>
      <w:r>
        <w:t xml:space="preserve">o de unidades de conservação – como a produção de um controle e </w:t>
      </w:r>
      <w:proofErr w:type="spellStart"/>
      <w:r>
        <w:t>governamentalidade</w:t>
      </w:r>
      <w:proofErr w:type="spellEnd"/>
      <w:r>
        <w:t xml:space="preserve"> (Foucault, 2008) que age sobre àquela população e pessoas, cuidando das condutas e disciplinando os corpos. </w:t>
      </w:r>
    </w:p>
    <w:p w:rsidR="00145B96" w:rsidRDefault="00977A27" w:rsidP="00F23861">
      <w:pPr>
        <w:spacing w:line="360" w:lineRule="auto"/>
        <w:ind w:firstLine="720"/>
        <w:jc w:val="both"/>
      </w:pPr>
      <w:r>
        <w:t xml:space="preserve">Ferdinand (2022) e as ponderações sobre um </w:t>
      </w:r>
      <w:r>
        <w:rPr>
          <w:i/>
        </w:rPr>
        <w:t xml:space="preserve">habitar colonial </w:t>
      </w:r>
      <w:r>
        <w:t>despontam como outro importante aporte analítico. Segundo o autor, há a manutenção de um habitar da Terra que se produz de forma violenta, fundamentado na recusa da possibilidade de um mundo onde coabita outros corpos e na permanência de relações estabelec</w:t>
      </w:r>
      <w:r>
        <w:t xml:space="preserve">idas nos engenhos e nas </w:t>
      </w:r>
      <w:r>
        <w:rPr>
          <w:i/>
        </w:rPr>
        <w:t>plantations</w:t>
      </w:r>
      <w:r>
        <w:t xml:space="preserve">. É por meio dessa trama comum – o habitar colonial –, que se estabelece em princípios, fundamentos e forma, que avalio sobre uma forma singular de se relacionar com a Amazônia, onde o desejo de certos grupos se </w:t>
      </w:r>
      <w:r>
        <w:t>so</w:t>
      </w:r>
      <w:r>
        <w:t>brepõe àquele território, figurado, agora, nos discursos de conservação ambiental.</w:t>
      </w:r>
    </w:p>
    <w:p w:rsidR="00F23861" w:rsidRDefault="00F23861">
      <w:pPr>
        <w:spacing w:line="360" w:lineRule="auto"/>
        <w:ind w:firstLine="720"/>
        <w:jc w:val="both"/>
      </w:pPr>
    </w:p>
    <w:p w:rsidR="00145B96" w:rsidRDefault="00977A27">
      <w:pPr>
        <w:spacing w:line="360" w:lineRule="auto"/>
        <w:ind w:firstLine="720"/>
        <w:jc w:val="both"/>
      </w:pPr>
      <w:r>
        <w:lastRenderedPageBreak/>
        <w:t xml:space="preserve">Esta reflexão será abordada com base em resultados de experiências empíricas fruto do projeto de pós-doutorado intitulado </w:t>
      </w:r>
      <w:r>
        <w:rPr>
          <w:i/>
        </w:rPr>
        <w:t>Amazônia pós-pandemia: estratégias de ação e recupe</w:t>
      </w:r>
      <w:r>
        <w:rPr>
          <w:i/>
        </w:rPr>
        <w:t>ração de povos da floresta em contexto de vulnerabilidade socioambiental</w:t>
      </w:r>
      <w:r>
        <w:rPr>
          <w:i/>
          <w:vertAlign w:val="superscript"/>
        </w:rPr>
        <w:footnoteReference w:id="2"/>
      </w:r>
      <w:r>
        <w:t>. Os esforços de pesquisa de campo ocorreram entre os anos de 2022 e 2024, em comunidades remotas do interior do Amazonas e do Pará, e tiveram como objetivo principal compreender as e</w:t>
      </w:r>
      <w:r>
        <w:t>stratégias e a reinvenção das práticas sociais de famílias ribeirinhas durante a pandemia, bem como os limites históricos de acesso à cidadania nesses territórios. Essas famílias habitam territórios ambientalmente demarcados, ou seja, mosaicos de áreas pro</w:t>
      </w:r>
      <w:r>
        <w:t xml:space="preserve">tegidas formado por unidades de conservação de proteção integral e de uso sustentável. De modo específico, no Pará, as comunidades estão situadas em Altamira, no mosaico Terra do Meio, e, no Amazonas, no município de Barcelos, no mosaico Baixo Rio Negro. </w:t>
      </w:r>
    </w:p>
    <w:p w:rsidR="00145B96" w:rsidRDefault="00977A27">
      <w:pPr>
        <w:spacing w:line="360" w:lineRule="auto"/>
        <w:ind w:firstLine="720"/>
        <w:jc w:val="both"/>
      </w:pPr>
      <w:r>
        <w:t xml:space="preserve">Além desta introdução, o texto está dividido em mais três partes. Primeiro, trato do processo de </w:t>
      </w:r>
      <w:proofErr w:type="spellStart"/>
      <w:r w:rsidRPr="00F23861">
        <w:rPr>
          <w:i/>
        </w:rPr>
        <w:t>ambientalização</w:t>
      </w:r>
      <w:proofErr w:type="spellEnd"/>
      <w:r>
        <w:t xml:space="preserve"> da Amazônia, descrevendo o percurso histórico que atraiu os olhares globais para a região. Em seguida, sublinho sobre a entrada do direito à ci</w:t>
      </w:r>
      <w:r>
        <w:t xml:space="preserve">dadania nesses territórios e as dinâmicas locais, lançando luzes ao direito básico de saúde. Finalizo o texto problematizando sobre os limites do direito à cidadania e as defasagens em um espaço fortemente regulado por instrumentos estatais. </w:t>
      </w:r>
    </w:p>
    <w:p w:rsidR="00145B96" w:rsidRDefault="00145B96">
      <w:pPr>
        <w:spacing w:line="360" w:lineRule="auto"/>
        <w:jc w:val="both"/>
      </w:pPr>
    </w:p>
    <w:p w:rsidR="00145B96" w:rsidRDefault="00977A27">
      <w:pPr>
        <w:spacing w:line="360" w:lineRule="auto"/>
        <w:jc w:val="both"/>
        <w:rPr>
          <w:b/>
        </w:rPr>
      </w:pPr>
      <w:r>
        <w:rPr>
          <w:b/>
        </w:rPr>
        <w:t>A AMBIENTALI</w:t>
      </w:r>
      <w:r>
        <w:rPr>
          <w:b/>
        </w:rPr>
        <w:t>ZAÇÃO DA AMAZÔNIA</w:t>
      </w:r>
    </w:p>
    <w:p w:rsidR="00145B96" w:rsidRDefault="00977A27" w:rsidP="00F23861">
      <w:pPr>
        <w:spacing w:line="360" w:lineRule="auto"/>
        <w:ind w:firstLine="720"/>
        <w:jc w:val="both"/>
      </w:pPr>
      <w:r>
        <w:t xml:space="preserve">Desde o final de 2023, quando se oficializou durante a sessão plenária da COP 28, em Dubai, que o Brasil sediaria a 30ª Conferência das Nações Unidas sobre Mudanças do Clima (Conferências das Partes), a região amazônica </w:t>
      </w:r>
      <w:r>
        <w:lastRenderedPageBreak/>
        <w:t>alcançou maio</w:t>
      </w:r>
      <w:r>
        <w:t>r visibilidade internacional e, com isso, a expectativa das autoridades nacionais de concretizar o país como liderança socioambiental. A relevância global e proeminência da Amazônia, no entanto, extrapolam os limites temporais da atualidade e ligam-se a um</w:t>
      </w:r>
      <w:r>
        <w:t xml:space="preserve"> cenário de consolidação da moderna questão ambiental. </w:t>
      </w:r>
    </w:p>
    <w:p w:rsidR="00145B96" w:rsidRDefault="00977A27">
      <w:pPr>
        <w:spacing w:line="360" w:lineRule="auto"/>
        <w:ind w:firstLine="720"/>
        <w:jc w:val="both"/>
      </w:pPr>
      <w:r>
        <w:t>Ainda que a Conferência de Estocolmo, de 1972, seja um marco na entrada da questão ambiental na agenda política internacional, foi a Conferência das Nações Unidas sobre Meio Ambiente e Desenvolvimento</w:t>
      </w:r>
      <w:r>
        <w:t>, conhecida como Rio-92, que colocou em definitivo a temática ambiental nos arranjos das relações internacionais. Sob um tom alarmista, esta Conferência propôs acordos para mediar as ações antrópicas no ambiente a fim de alçar um desenvolvimento aliado à c</w:t>
      </w:r>
      <w:r>
        <w:t xml:space="preserve">onservação ambiental, a partir do conceito de desenvolvimento sustentável (Ribeiro, 2010). </w:t>
      </w:r>
    </w:p>
    <w:p w:rsidR="00145B96" w:rsidRDefault="00977A27" w:rsidP="00F23861">
      <w:pPr>
        <w:spacing w:line="360" w:lineRule="auto"/>
        <w:ind w:firstLine="720"/>
        <w:jc w:val="both"/>
      </w:pPr>
      <w:r>
        <w:t>É, também, neste contexto que a Amazônia alcança contundente visibilidade global, consequência do crescente processo de devastação da Floresta e do assassinato do l</w:t>
      </w:r>
      <w:r>
        <w:t>íder sindical e ambientalista Chico Mendes – episódios que impulsionaram a escolha do Brasil como país sede da Rio-92 (</w:t>
      </w:r>
      <w:proofErr w:type="spellStart"/>
      <w:r>
        <w:t>Mccormick</w:t>
      </w:r>
      <w:proofErr w:type="spellEnd"/>
      <w:r>
        <w:t>, 1992) – e fruto dos dados divulgados pelo IPCC (</w:t>
      </w:r>
      <w:proofErr w:type="spellStart"/>
      <w:r>
        <w:rPr>
          <w:i/>
        </w:rPr>
        <w:t>Intergovernmental</w:t>
      </w:r>
      <w:proofErr w:type="spellEnd"/>
      <w:r>
        <w:rPr>
          <w:i/>
        </w:rPr>
        <w:t xml:space="preserve"> </w:t>
      </w:r>
      <w:proofErr w:type="spellStart"/>
      <w:r>
        <w:rPr>
          <w:i/>
        </w:rPr>
        <w:t>Panel</w:t>
      </w:r>
      <w:proofErr w:type="spellEnd"/>
      <w:r>
        <w:rPr>
          <w:i/>
        </w:rPr>
        <w:t xml:space="preserve"> </w:t>
      </w:r>
      <w:proofErr w:type="spellStart"/>
      <w:r>
        <w:rPr>
          <w:i/>
        </w:rPr>
        <w:t>on</w:t>
      </w:r>
      <w:proofErr w:type="spellEnd"/>
      <w:r>
        <w:rPr>
          <w:i/>
        </w:rPr>
        <w:t xml:space="preserve"> </w:t>
      </w:r>
      <w:proofErr w:type="spellStart"/>
      <w:r>
        <w:rPr>
          <w:i/>
        </w:rPr>
        <w:t>Climate</w:t>
      </w:r>
      <w:proofErr w:type="spellEnd"/>
      <w:r>
        <w:rPr>
          <w:i/>
        </w:rPr>
        <w:t xml:space="preserve"> </w:t>
      </w:r>
      <w:proofErr w:type="spellStart"/>
      <w:r>
        <w:rPr>
          <w:i/>
        </w:rPr>
        <w:t>Change</w:t>
      </w:r>
      <w:proofErr w:type="spellEnd"/>
      <w:r>
        <w:t>). As mudanças climáticas e as conseq</w:t>
      </w:r>
      <w:r>
        <w:t xml:space="preserve">uências da emissão de gases pelos países desenvolvidos e em desenvolvimento tornam-se elementos de apreensão dos organismos multilaterais, resultando na formação da Convenção-Quadro das Nações Unidas sobre Mudança do Clima (em inglês, </w:t>
      </w:r>
      <w:r>
        <w:rPr>
          <w:i/>
        </w:rPr>
        <w:t xml:space="preserve">United </w:t>
      </w:r>
      <w:proofErr w:type="spellStart"/>
      <w:r>
        <w:rPr>
          <w:i/>
        </w:rPr>
        <w:t>Nations</w:t>
      </w:r>
      <w:proofErr w:type="spellEnd"/>
      <w:r>
        <w:rPr>
          <w:i/>
        </w:rPr>
        <w:t xml:space="preserve"> Framew</w:t>
      </w:r>
      <w:r>
        <w:rPr>
          <w:i/>
        </w:rPr>
        <w:t xml:space="preserve">ork </w:t>
      </w:r>
      <w:proofErr w:type="spellStart"/>
      <w:r>
        <w:rPr>
          <w:i/>
        </w:rPr>
        <w:t>Convention</w:t>
      </w:r>
      <w:proofErr w:type="spellEnd"/>
      <w:r>
        <w:rPr>
          <w:i/>
        </w:rPr>
        <w:t xml:space="preserve"> </w:t>
      </w:r>
      <w:proofErr w:type="spellStart"/>
      <w:r>
        <w:rPr>
          <w:i/>
        </w:rPr>
        <w:t>on</w:t>
      </w:r>
      <w:proofErr w:type="spellEnd"/>
      <w:r>
        <w:rPr>
          <w:i/>
        </w:rPr>
        <w:t xml:space="preserve"> </w:t>
      </w:r>
      <w:proofErr w:type="spellStart"/>
      <w:r>
        <w:rPr>
          <w:i/>
        </w:rPr>
        <w:t>Climate</w:t>
      </w:r>
      <w:proofErr w:type="spellEnd"/>
      <w:r>
        <w:rPr>
          <w:i/>
        </w:rPr>
        <w:t xml:space="preserve"> </w:t>
      </w:r>
      <w:proofErr w:type="spellStart"/>
      <w:r>
        <w:rPr>
          <w:i/>
        </w:rPr>
        <w:t>Change</w:t>
      </w:r>
      <w:proofErr w:type="spellEnd"/>
      <w:r>
        <w:t xml:space="preserve"> ou UNFCCC)  e, de modo complementar, do Protocolo de Quioto, ambos com o objetivo de minimizar, a partir de metas, </w:t>
      </w:r>
      <w:r>
        <w:t>as concentrações de gases de efeito estufa na atmosfera. A Amazônia, agora “pulmão da Terra”, é vista como ferramenta fundamental para criar respostas positivas ao enfrentamento às mudanças climáticas e às projeções de justiça ambiental.</w:t>
      </w:r>
    </w:p>
    <w:p w:rsidR="00F23861" w:rsidRDefault="00F23861" w:rsidP="00F23861">
      <w:pPr>
        <w:spacing w:line="360" w:lineRule="auto"/>
        <w:ind w:firstLine="720"/>
        <w:jc w:val="both"/>
      </w:pPr>
    </w:p>
    <w:p w:rsidR="00145B96" w:rsidRDefault="00977A27">
      <w:pPr>
        <w:spacing w:line="360" w:lineRule="auto"/>
        <w:ind w:firstLine="720"/>
        <w:jc w:val="both"/>
      </w:pPr>
      <w:r>
        <w:lastRenderedPageBreak/>
        <w:t>Além das conferênc</w:t>
      </w:r>
      <w:r>
        <w:t>ias e relatórios apresentados, outros instrumentos de gestão do território e regulação dos corpos – humanos e não-humanos – manifestam-se quando, expressão de um momento histórico (Williams, 2011), a natureza passa a ser formulada, entendida e definida com</w:t>
      </w:r>
      <w:r>
        <w:t xml:space="preserve">o meio ambiente. Instituições científicas, organizações não governamentais, atores políticos estaduais e nacionais, representantes de grupos econômicos interessados em certificações ambientais e mercado de carbono, entre outros, são exemplos de grupos que </w:t>
      </w:r>
      <w:r>
        <w:t xml:space="preserve">sinalizam interesse, produzem discursos, influenciam políticas, dinamizam o espaço e alteram, de alguma maneira, o modo de vida e a cultura da população autóctone. É nessa nova dinâmica que se compreende a </w:t>
      </w:r>
      <w:proofErr w:type="spellStart"/>
      <w:r>
        <w:rPr>
          <w:i/>
        </w:rPr>
        <w:t>ambientalização</w:t>
      </w:r>
      <w:proofErr w:type="spellEnd"/>
      <w:r>
        <w:t>. Ou seja, momento histórico firmad</w:t>
      </w:r>
      <w:r>
        <w:t xml:space="preserve">o em pilares globais que estabelece novos mecanismos de poder bastante específicos e complexos aptos a dominar os corpos e regular as atividades das populações, uma </w:t>
      </w:r>
      <w:proofErr w:type="spellStart"/>
      <w:r>
        <w:t>governamentalidade</w:t>
      </w:r>
      <w:proofErr w:type="spellEnd"/>
      <w:r>
        <w:t xml:space="preserve"> pautada em um regime de </w:t>
      </w:r>
      <w:proofErr w:type="spellStart"/>
      <w:r>
        <w:t>biopoder</w:t>
      </w:r>
      <w:proofErr w:type="spellEnd"/>
      <w:r>
        <w:t xml:space="preserve"> (Foucault, 2021). </w:t>
      </w:r>
    </w:p>
    <w:p w:rsidR="00145B96" w:rsidRDefault="00977A27" w:rsidP="00F23861">
      <w:pPr>
        <w:spacing w:line="360" w:lineRule="auto"/>
        <w:ind w:firstLine="720"/>
        <w:jc w:val="both"/>
      </w:pPr>
      <w:r>
        <w:t xml:space="preserve">Neste contexto de </w:t>
      </w:r>
      <w:proofErr w:type="spellStart"/>
      <w:r>
        <w:rPr>
          <w:i/>
        </w:rPr>
        <w:t>am</w:t>
      </w:r>
      <w:r>
        <w:rPr>
          <w:i/>
        </w:rPr>
        <w:t>bientalização</w:t>
      </w:r>
      <w:proofErr w:type="spellEnd"/>
      <w:r>
        <w:t xml:space="preserve">, a formação de unidades de conservação tem sido considerada estratégica no esforço de preservar o meio ambiente, a biodiversidade e a integridade dos povos locais (Souza, 2020). Assim, se, na década de 1970, a Amazônia e os – até então – </w:t>
      </w:r>
      <w:r>
        <w:rPr>
          <w:i/>
        </w:rPr>
        <w:t>camp</w:t>
      </w:r>
      <w:r>
        <w:rPr>
          <w:i/>
        </w:rPr>
        <w:t>oneses das florestas</w:t>
      </w:r>
      <w:r>
        <w:t xml:space="preserve"> eram quase invisíveis e submetidos a uma modernização capitalista firmada na ocupação colonial dos territórios de fronteira, nas décadas subsequentes os – agora – </w:t>
      </w:r>
      <w:r>
        <w:rPr>
          <w:i/>
        </w:rPr>
        <w:t>povos da floresta</w:t>
      </w:r>
      <w:r>
        <w:t xml:space="preserve"> são posicionados como paradigma de sustentabilidade (A</w:t>
      </w:r>
      <w:r>
        <w:t>lmeida, 2004). De acordo com o autor, essa transição ideológica não expressa a cooptação dos agentes locais pela agenda dos</w:t>
      </w:r>
      <w:r w:rsidR="00F23861">
        <w:t xml:space="preserve"> </w:t>
      </w:r>
      <w:r>
        <w:t>bancos multilaterais e a hegemonia discursiva da sustentabilidade, mas ocorreu pela incorporação estratégica, por várias lider</w:t>
      </w:r>
      <w:r>
        <w:t xml:space="preserve">anças, de parte do discurso ambientalista em suas práticas locais não para reproduzi-los, mas atribuindo a esses discursos novos significados.  </w:t>
      </w:r>
    </w:p>
    <w:p w:rsidR="00F23861" w:rsidRDefault="00977A27">
      <w:pPr>
        <w:spacing w:line="360" w:lineRule="auto"/>
        <w:ind w:firstLine="720"/>
        <w:jc w:val="both"/>
      </w:pPr>
      <w:r>
        <w:t>As Reservas Extrativistas são expressão máxima da ação coletiva organizada de seringueiros que inovam ao inclui</w:t>
      </w:r>
      <w:r>
        <w:t xml:space="preserve">r, em um só conceito, a defesa </w:t>
      </w:r>
    </w:p>
    <w:p w:rsidR="00145B96" w:rsidRDefault="00977A27" w:rsidP="00F23861">
      <w:pPr>
        <w:spacing w:line="360" w:lineRule="auto"/>
        <w:jc w:val="both"/>
      </w:pPr>
      <w:r>
        <w:lastRenderedPageBreak/>
        <w:t>da produção extrativista e do modo de vida tradicional e a preocupação ambiental (</w:t>
      </w:r>
      <w:proofErr w:type="spellStart"/>
      <w:r>
        <w:t>Allegretti</w:t>
      </w:r>
      <w:proofErr w:type="spellEnd"/>
      <w:r>
        <w:t xml:space="preserve">, 2008). Contudo, a despeito dos avanços dessa política pública territorial que combina direito à permanência da terra e conservação </w:t>
      </w:r>
      <w:r>
        <w:t xml:space="preserve">ambiental a partir da manutenção da floresta, de acordo com Silva e </w:t>
      </w:r>
      <w:proofErr w:type="spellStart"/>
      <w:r>
        <w:t>Simonian</w:t>
      </w:r>
      <w:proofErr w:type="spellEnd"/>
      <w:r>
        <w:t xml:space="preserve"> (2015), esses grupos têm encontrado dificuldades para efetivar demandas comunitárias específicas, como, por exemplo, a segurança alimentar, escolarização, acesso à saneamento bási</w:t>
      </w:r>
      <w:r>
        <w:t xml:space="preserve">co e serviço de saúde pública de qualidade. Avançando no debate, Cardoso, Martins e </w:t>
      </w:r>
      <w:proofErr w:type="spellStart"/>
      <w:r>
        <w:t>Parry</w:t>
      </w:r>
      <w:proofErr w:type="spellEnd"/>
      <w:r>
        <w:t xml:space="preserve"> (2023) demonstram, com base em um estudo sobre a organização local para minimizar os efeitos da pandemia em comunidades remotas, que as políticas que alcançam as popu</w:t>
      </w:r>
      <w:r>
        <w:t xml:space="preserve">lações da floresta exprimem, sobretudo, o direito global da sociedade a um ambiente ecologicamente equilibrado assentado na preservação da floresta. Nesse sentido, o </w:t>
      </w:r>
      <w:proofErr w:type="gramStart"/>
      <w:r>
        <w:t>período pandêmico desnuda</w:t>
      </w:r>
      <w:proofErr w:type="gramEnd"/>
      <w:r>
        <w:t>, e reforça, a ação tímida do Estado e a baixa disposição polític</w:t>
      </w:r>
      <w:r>
        <w:t>a para aplicar ações que tocam o reconhecimento da cidadania e da necessidade de direitos básicos.</w:t>
      </w:r>
    </w:p>
    <w:p w:rsidR="00145B96" w:rsidRDefault="00145B96">
      <w:pPr>
        <w:spacing w:line="360" w:lineRule="auto"/>
        <w:jc w:val="both"/>
      </w:pPr>
    </w:p>
    <w:p w:rsidR="00145B96" w:rsidRDefault="00977A27">
      <w:pPr>
        <w:spacing w:line="360" w:lineRule="auto"/>
        <w:jc w:val="both"/>
        <w:rPr>
          <w:b/>
        </w:rPr>
      </w:pPr>
      <w:r>
        <w:rPr>
          <w:b/>
        </w:rPr>
        <w:t>AS RESERVAS EXTRATIVISTAS E OS LIMITES NOS DIREITOS SOCIAIS</w:t>
      </w:r>
    </w:p>
    <w:p w:rsidR="00145B96" w:rsidRDefault="00977A27" w:rsidP="00F23861">
      <w:pPr>
        <w:spacing w:line="360" w:lineRule="auto"/>
        <w:ind w:firstLine="720"/>
        <w:jc w:val="both"/>
      </w:pPr>
      <w:r>
        <w:t>Nos dois maiores municípios do Brasil em dimensão territorial, Altamira (PA) e Barcelos (AM)</w:t>
      </w:r>
      <w:r>
        <w:rPr>
          <w:vertAlign w:val="superscript"/>
        </w:rPr>
        <w:footnoteReference w:id="3"/>
      </w:r>
      <w:r>
        <w:t>, e</w:t>
      </w:r>
      <w:r>
        <w:t xml:space="preserve">stão dois grandes mosaicos de áreas protegidas – o Mosaico Terra do Meio (PA) e Baixo Rio Negro (AM). Não obstante serem </w:t>
      </w:r>
      <w:r>
        <w:t>constituídos por um conjunto de terras indígenas e unidades de conservação, destaco a formação das unidades federais de uso suste</w:t>
      </w:r>
      <w:r>
        <w:t xml:space="preserve">ntável, as Reservas Extrativistas, em específico, a </w:t>
      </w:r>
      <w:proofErr w:type="spellStart"/>
      <w:r>
        <w:t>Resex</w:t>
      </w:r>
      <w:proofErr w:type="spellEnd"/>
      <w:r>
        <w:t xml:space="preserve"> do Iriri (PA) e a </w:t>
      </w:r>
      <w:proofErr w:type="spellStart"/>
      <w:r>
        <w:t>Resex</w:t>
      </w:r>
      <w:proofErr w:type="spellEnd"/>
      <w:r>
        <w:t xml:space="preserve"> do </w:t>
      </w:r>
      <w:proofErr w:type="spellStart"/>
      <w:r>
        <w:t>Unini</w:t>
      </w:r>
      <w:proofErr w:type="spellEnd"/>
      <w:r>
        <w:t xml:space="preserve"> (AM). No que concerne à primeira, distante cerca de 400 quilômetros via fluvial do município de Altamira, em uma área com cerca de 400.000 ha, a </w:t>
      </w:r>
      <w:proofErr w:type="spellStart"/>
      <w:r>
        <w:t>Resex</w:t>
      </w:r>
      <w:proofErr w:type="spellEnd"/>
      <w:r>
        <w:t>, criada em 200</w:t>
      </w:r>
      <w:r>
        <w:t xml:space="preserve">6, foi compreendida como um mecanismo capaz de garantir a regularização de direitos fundiários, a proteção dos recursos naturais e a </w:t>
      </w:r>
      <w:r>
        <w:lastRenderedPageBreak/>
        <w:t xml:space="preserve">diminuição da violência contra os </w:t>
      </w:r>
      <w:proofErr w:type="spellStart"/>
      <w:r>
        <w:t>beiradeiros</w:t>
      </w:r>
      <w:proofErr w:type="spellEnd"/>
      <w:r>
        <w:t xml:space="preserve"> em um processo crescente de grilagem de terra e desmatamento na Terra do Meio</w:t>
      </w:r>
      <w:r>
        <w:t xml:space="preserve">. Instituída no mesmo ano, a </w:t>
      </w:r>
      <w:proofErr w:type="spellStart"/>
      <w:r>
        <w:t>Resex</w:t>
      </w:r>
      <w:proofErr w:type="spellEnd"/>
      <w:r>
        <w:t xml:space="preserve"> do </w:t>
      </w:r>
      <w:proofErr w:type="spellStart"/>
      <w:r>
        <w:t>Unini</w:t>
      </w:r>
      <w:proofErr w:type="spellEnd"/>
      <w:r>
        <w:t xml:space="preserve"> (AM), por sua vez, ocupa uma área de 833.352 </w:t>
      </w:r>
      <w:proofErr w:type="spellStart"/>
      <w:r>
        <w:t>ha</w:t>
      </w:r>
      <w:proofErr w:type="spellEnd"/>
      <w:r>
        <w:t xml:space="preserve"> no município de Barcelos e tem no seu histórico de formação uma ligação estreita com a criação do Parque Nacional do Jaú, na década de 1980. Efetivamente, a </w:t>
      </w:r>
      <w:proofErr w:type="spellStart"/>
      <w:r>
        <w:t>Resex</w:t>
      </w:r>
      <w:proofErr w:type="spellEnd"/>
      <w:r>
        <w:t xml:space="preserve"> f</w:t>
      </w:r>
      <w:r>
        <w:t xml:space="preserve">oi pensada como uma alternativa aos moradores da margem direita do rio </w:t>
      </w:r>
      <w:proofErr w:type="spellStart"/>
      <w:r>
        <w:t>Unini</w:t>
      </w:r>
      <w:proofErr w:type="spellEnd"/>
      <w:r>
        <w:t>, que viviam nos limites territoriais do Parque, visto que, desde então, aquela região que aglutinava um conjunto amplo de famílias caboclas tornou-se de “proteção integral”, ou se</w:t>
      </w:r>
      <w:r>
        <w:t xml:space="preserve">ja, interditado à residência humana. </w:t>
      </w:r>
    </w:p>
    <w:p w:rsidR="00145B96" w:rsidRDefault="00977A27" w:rsidP="00F23861">
      <w:pPr>
        <w:spacing w:line="360" w:lineRule="auto"/>
        <w:ind w:firstLine="720"/>
        <w:jc w:val="both"/>
      </w:pPr>
      <w:r>
        <w:t xml:space="preserve">Se as demandas fundiárias e ambientais foram minimamente solucionadas a partir da formação das </w:t>
      </w:r>
      <w:proofErr w:type="spellStart"/>
      <w:r>
        <w:t>Resex</w:t>
      </w:r>
      <w:proofErr w:type="spellEnd"/>
      <w:r>
        <w:t>, de modo a assegurar, em paralelo, às demandas globais a proteção ambiental, os direitos básicos à cidadania tardaram</w:t>
      </w:r>
      <w:r>
        <w:t xml:space="preserve"> a acontecer, para não dizer que permanecem ausentes. Correlato às duas localidades, é unânime as reivindicações por melhorias, sobretudo, no serviço básico de saúde. Dentre as reivindicações, necessidades primárias básicas, como medicamentos, profissionai</w:t>
      </w:r>
      <w:r>
        <w:t>s de saúde – técnicos de enfermagem, agente comunitária de saúde (ACS) e agente de combate às endemias (ACE) – e infraestrutura física para os atendimentos. Destaco, ainda, a demanda por políticas públicas que assegurem o deslocamento de profissionais e de</w:t>
      </w:r>
      <w:r>
        <w:t xml:space="preserve"> enfermos e ações estatais que considerem a realidade de </w:t>
      </w:r>
      <w:r>
        <w:t xml:space="preserve">comunidades dependentes das dinâmicas dos rios e distantes de centros urbanos. </w:t>
      </w:r>
    </w:p>
    <w:p w:rsidR="00F23861" w:rsidRDefault="00977A27">
      <w:pPr>
        <w:spacing w:line="360" w:lineRule="auto"/>
        <w:ind w:firstLine="720"/>
        <w:jc w:val="both"/>
      </w:pPr>
      <w:r>
        <w:t xml:space="preserve">O direito ao serviço básico de saúde da população do rio Iriri (PA) demorou, desde a formação da </w:t>
      </w:r>
      <w:proofErr w:type="spellStart"/>
      <w:r>
        <w:t>Resex</w:t>
      </w:r>
      <w:proofErr w:type="spellEnd"/>
      <w:r>
        <w:t>, em torno de uma década para se concretizar, fruto da pressão dos moradores locais, do Ministério Público Federal e de organizações não governamentais. A</w:t>
      </w:r>
      <w:r>
        <w:t xml:space="preserve"> primeira unidade do posto de saúde foi instalada em 2014, e a segunda em 2020, durante a pandemia. Em ambos os momentos históricos, </w:t>
      </w:r>
      <w:proofErr w:type="gramStart"/>
      <w:r>
        <w:t>a ação de organizações externas ambientalistas que atuam na Terra do Meio foram</w:t>
      </w:r>
      <w:proofErr w:type="gramEnd"/>
      <w:r>
        <w:t xml:space="preserve"> essenciais para concretizar a demanda da po</w:t>
      </w:r>
      <w:r>
        <w:t>pulação local, desde parcerias com a Prefeitura Municipal de Altamira. No</w:t>
      </w:r>
    </w:p>
    <w:p w:rsidR="00145B96" w:rsidRDefault="00977A27" w:rsidP="00F23861">
      <w:pPr>
        <w:spacing w:line="360" w:lineRule="auto"/>
        <w:jc w:val="both"/>
      </w:pPr>
      <w:r>
        <w:lastRenderedPageBreak/>
        <w:t xml:space="preserve"> primeiro momento, tais organizações se responsabilizaram pela infraestrutura do posto de saúde, e, durante a pandemia, por custear financeiramente, por um período determinado, os pro</w:t>
      </w:r>
      <w:r>
        <w:t xml:space="preserve">fissionais que atuariam na segunda unidade de saúde da </w:t>
      </w:r>
      <w:proofErr w:type="spellStart"/>
      <w:r>
        <w:t>Resex</w:t>
      </w:r>
      <w:proofErr w:type="spellEnd"/>
      <w:r>
        <w:t>. Tais entidades também conduziram expedições, e ainda conduzem, que garantiam assistências básicas e essenciais àquelas famílias, como atenção à saúde bucal, vacinação contra a Covid-19 e até ins</w:t>
      </w:r>
      <w:r>
        <w:t>talação de pontos de internet para viabilizar a telemedicina (G1 PA, 2020).</w:t>
      </w:r>
    </w:p>
    <w:p w:rsidR="00145B96" w:rsidRDefault="00977A27" w:rsidP="00F23861">
      <w:pPr>
        <w:spacing w:line="360" w:lineRule="auto"/>
        <w:ind w:firstLine="720"/>
        <w:jc w:val="both"/>
      </w:pPr>
      <w:r>
        <w:t xml:space="preserve">A </w:t>
      </w:r>
      <w:proofErr w:type="spellStart"/>
      <w:r>
        <w:t>Resex</w:t>
      </w:r>
      <w:proofErr w:type="spellEnd"/>
      <w:r>
        <w:t xml:space="preserve"> do </w:t>
      </w:r>
      <w:proofErr w:type="spellStart"/>
      <w:r>
        <w:t>Unini</w:t>
      </w:r>
      <w:proofErr w:type="spellEnd"/>
      <w:r>
        <w:t xml:space="preserve"> (AM), por outro lado, justamente por ter sido uma unidade de conservação planejada e criada para receber as famílias do PARNA, contém um posto de saúde em cada com</w:t>
      </w:r>
      <w:r>
        <w:t xml:space="preserve">unidade. As condições das unidades, no entanto, são precárias – sem medicamentos para os pacientes, sem infraestrutura adequada e, muitos, sem profissionais de saúde. Há, na </w:t>
      </w:r>
      <w:proofErr w:type="spellStart"/>
      <w:r>
        <w:t>Resex</w:t>
      </w:r>
      <w:proofErr w:type="spellEnd"/>
      <w:r>
        <w:t xml:space="preserve">, três </w:t>
      </w:r>
      <w:proofErr w:type="spellStart"/>
      <w:r>
        <w:rPr>
          <w:i/>
        </w:rPr>
        <w:t>ambulanchas</w:t>
      </w:r>
      <w:proofErr w:type="spellEnd"/>
      <w:r>
        <w:t xml:space="preserve"> que são responsáveis por realizar a remoção de enfermos pa</w:t>
      </w:r>
      <w:r>
        <w:t xml:space="preserve">ra as cidades de Barcelos ou Novo Airão, sendo que duas foram compradas pelos próprios moradores – a partir da articulação entre a Associação de Moradores do Rio </w:t>
      </w:r>
      <w:proofErr w:type="spellStart"/>
      <w:r>
        <w:t>Unini</w:t>
      </w:r>
      <w:proofErr w:type="spellEnd"/>
      <w:r>
        <w:t xml:space="preserve">, a Cooperativa Mista Agroextrativista do Rio </w:t>
      </w:r>
      <w:proofErr w:type="spellStart"/>
      <w:r>
        <w:t>Unini</w:t>
      </w:r>
      <w:proofErr w:type="spellEnd"/>
      <w:r>
        <w:t xml:space="preserve"> e o grupo de Manejo de Pesca do Pirar</w:t>
      </w:r>
      <w:r>
        <w:t xml:space="preserve">ucu – e a outra disponibilizada </w:t>
      </w:r>
      <w:r>
        <w:t>pela Sema</w:t>
      </w:r>
      <w:r>
        <w:rPr>
          <w:vertAlign w:val="superscript"/>
        </w:rPr>
        <w:footnoteReference w:id="4"/>
      </w:r>
      <w:r>
        <w:t>. Ainda que a Secretaria Municipal de Barcelos afirme haver UBS fluvial que atende tais comunidades, de fato, as visitas ocorrem uma ou duas vez</w:t>
      </w:r>
      <w:r w:rsidR="00F23861">
        <w:t>es</w:t>
      </w:r>
      <w:r>
        <w:t xml:space="preserve"> ao ano, cabendo aos moradores realizar a remoção dos enfermos –</w:t>
      </w:r>
      <w:r>
        <w:t xml:space="preserve"> também durante a pandemia – e</w:t>
      </w:r>
      <w:r>
        <w:rPr>
          <w:i/>
        </w:rPr>
        <w:t xml:space="preserve"> negociar </w:t>
      </w:r>
      <w:r>
        <w:t>com a prefeitura e autoridades locais o ressarcimento de combustível. Tanto no contexto pandêmico, como não pandêmico, as defasagens no sistema de saúde são amenizadas por meio da articulação de moradores que pressio</w:t>
      </w:r>
      <w:r>
        <w:t xml:space="preserve">nam e negociam com as autoridades municipais um </w:t>
      </w:r>
      <w:r>
        <w:lastRenderedPageBreak/>
        <w:t xml:space="preserve">serviço que não deveria ser negociado, mas garantido. Em paralelo, outros grupos moradores do rio </w:t>
      </w:r>
      <w:proofErr w:type="spellStart"/>
      <w:r>
        <w:t>Unini</w:t>
      </w:r>
      <w:proofErr w:type="spellEnd"/>
      <w:r>
        <w:t xml:space="preserve"> organizam novas estratégias para suplantar a ausência de direitos na saúde, que consiste no deslocamento</w:t>
      </w:r>
      <w:r>
        <w:t xml:space="preserve"> de uma identidade cabocla para uma identidade indígena. Essa identidade, que é definida historicamente e transformada de modo contínuo desde a interpelação dos sistemas culturais que nos cercam (Hall, 2014), foi adotada de forma estratégica ao notarem as </w:t>
      </w:r>
      <w:r>
        <w:t>fragilidades dos serviços prestados pela Secretaria Municipal de Saúde de Barcelos em comparação aos do Distrito Sanitário Especial Indígena (</w:t>
      </w:r>
      <w:proofErr w:type="spellStart"/>
      <w:r>
        <w:t>Dsei</w:t>
      </w:r>
      <w:proofErr w:type="spellEnd"/>
      <w:r>
        <w:t>). A título de exemplo, enquanto a visita da UBS fluvial da Secretaria Municipal de Saúde ocorre uma ou duas v</w:t>
      </w:r>
      <w:r>
        <w:t xml:space="preserve">ezes ao ano, como dito, a do </w:t>
      </w:r>
      <w:proofErr w:type="spellStart"/>
      <w:r>
        <w:t>Dsei</w:t>
      </w:r>
      <w:proofErr w:type="spellEnd"/>
      <w:r>
        <w:t xml:space="preserve"> se dá quinzenalmente nas comunidades indígenas</w:t>
      </w:r>
      <w:r>
        <w:rPr>
          <w:vertAlign w:val="superscript"/>
        </w:rPr>
        <w:footnoteReference w:id="5"/>
      </w:r>
      <w:r>
        <w:t xml:space="preserve">.  </w:t>
      </w:r>
    </w:p>
    <w:p w:rsidR="00145B96" w:rsidRDefault="00145B96">
      <w:pPr>
        <w:spacing w:line="360" w:lineRule="auto"/>
        <w:jc w:val="both"/>
      </w:pPr>
    </w:p>
    <w:p w:rsidR="00145B96" w:rsidRDefault="00977A27">
      <w:pPr>
        <w:spacing w:line="360" w:lineRule="auto"/>
        <w:jc w:val="both"/>
        <w:rPr>
          <w:b/>
        </w:rPr>
      </w:pPr>
      <w:r>
        <w:rPr>
          <w:b/>
        </w:rPr>
        <w:t>CIDADANIA DOS POVOS DA FLORESTA: NOTAS CONCLUSIVAS</w:t>
      </w:r>
    </w:p>
    <w:p w:rsidR="00145B96" w:rsidRDefault="00977A27" w:rsidP="00F23861">
      <w:pPr>
        <w:spacing w:line="360" w:lineRule="auto"/>
        <w:ind w:firstLine="720"/>
        <w:jc w:val="both"/>
      </w:pPr>
      <w:r>
        <w:t xml:space="preserve">Estas notas conclusivas, que não pretendem encerrar um debate, nem mesmo firmar resultados concretos frente o objetivo </w:t>
      </w:r>
      <w:r>
        <w:t xml:space="preserve">proposto, mas </w:t>
      </w:r>
      <w:r w:rsidR="00F23861">
        <w:t>p</w:t>
      </w:r>
      <w:r>
        <w:t xml:space="preserve">ossibilitar desdobramentos reflexivos para amadurecer uma ideia inicial, tenciono ponderar a respeito das bases que alicerçam os pilares de uma cidadania dos povos da floresta. </w:t>
      </w:r>
    </w:p>
    <w:p w:rsidR="00145B96" w:rsidRDefault="00977A27">
      <w:pPr>
        <w:spacing w:line="360" w:lineRule="auto"/>
        <w:ind w:firstLine="720"/>
        <w:jc w:val="both"/>
      </w:pPr>
      <w:r>
        <w:t>Pode-se dizer, pelo ciclo permanente de ausência de direi</w:t>
      </w:r>
      <w:r>
        <w:t>tos e apesar da visibilidade e importância da região amazônica na atualidade, que há uma continuidade dos princípios coloniais que permeiam este território desde sua formação histórica. Essas posturas coloniais não são mais alicerçadas, no entanto, no exer</w:t>
      </w:r>
      <w:r>
        <w:t xml:space="preserve">cício de violência física ou simbólica, desde massacres de um povo portador de uma “cultura pobre, primitiva, tribal e, portanto, inferior” (Loureiro, 2002, p. 114), mas ocultadas no âmago de discursos de </w:t>
      </w:r>
      <w:r>
        <w:lastRenderedPageBreak/>
        <w:t>sustentabilidade e pensamentos ecológicos que envol</w:t>
      </w:r>
      <w:r>
        <w:t>vem, por exemplo, reuniões multilaterais que debatem medidas para frear as mudanças climáticas desconsiderando as vozes dos povos indígenas e comunidades ribeirinhas</w:t>
      </w:r>
      <w:r>
        <w:rPr>
          <w:vertAlign w:val="superscript"/>
        </w:rPr>
        <w:footnoteReference w:id="6"/>
      </w:r>
      <w:r>
        <w:t>. No âmbito dos poderes públicos locais, essas posturas estão pautadas na justificativa de</w:t>
      </w:r>
      <w:r>
        <w:t xml:space="preserve"> ausência de recursos financeiros que viabilizam logísticas para deslocar profissionais à </w:t>
      </w:r>
      <w:proofErr w:type="spellStart"/>
      <w:r>
        <w:t>Resex</w:t>
      </w:r>
      <w:proofErr w:type="spellEnd"/>
      <w:r>
        <w:t xml:space="preserve"> e/ou para remover enfermos para um atendimento na cidade; na partilha de responsabilidades com as famílias locais (cabe aos moradores fazerem a remoção de doent</w:t>
      </w:r>
      <w:r>
        <w:t xml:space="preserve">es e conceder as próprias casas para implementar posto de saúde na comunidade); e na formação de uma lógica contraditória de imposição do </w:t>
      </w:r>
      <w:r>
        <w:rPr>
          <w:i/>
        </w:rPr>
        <w:t>favor</w:t>
      </w:r>
      <w:r>
        <w:t xml:space="preserve"> que, conforme relatos de campo, encontrou terreno fértil no período pandêmico</w:t>
      </w:r>
      <w:r>
        <w:rPr>
          <w:vertAlign w:val="superscript"/>
        </w:rPr>
        <w:footnoteReference w:id="7"/>
      </w:r>
      <w:r>
        <w:t xml:space="preserve">. </w:t>
      </w:r>
    </w:p>
    <w:p w:rsidR="00145B96" w:rsidRDefault="00977A27">
      <w:pPr>
        <w:spacing w:line="360" w:lineRule="auto"/>
        <w:ind w:firstLine="720"/>
        <w:jc w:val="both"/>
      </w:pPr>
      <w:r>
        <w:t>Isto posto, o acesso à cid</w:t>
      </w:r>
      <w:r>
        <w:t xml:space="preserve">adania pelos povos da floresta não é visto como um direito reconhecido, mas sim privilégio a ser conquistado e que depende – seja com base em suportes financeiros, técnicos e políticos – do apoio de organizações externas e da “benevolência” e “solicitude” </w:t>
      </w:r>
      <w:r>
        <w:t>de atores políticos locais. Resta aos povos da floresta, portanto, se movimentarem e organizarem estratégias políticas para estreitar distanciamentos entre o reconhecimento da cidadania e as garantias formais de direito pelo Estado.</w:t>
      </w:r>
    </w:p>
    <w:p w:rsidR="00145B96" w:rsidRDefault="00977A27">
      <w:pPr>
        <w:spacing w:line="360" w:lineRule="auto"/>
        <w:ind w:firstLine="720"/>
        <w:jc w:val="both"/>
      </w:pPr>
      <w:r>
        <w:t xml:space="preserve"> Assim, não obstante perceber que a condição de cidadania deste grupo está condicionada à preservação da natureza visto que ela toma corpo em um contexto de emergência da questão ambiental, portanto, uma compensação às </w:t>
      </w:r>
      <w:r>
        <w:lastRenderedPageBreak/>
        <w:t>práticas ditas sustentáveis com o mei</w:t>
      </w:r>
      <w:r>
        <w:t>o ambiente, é mister reconhecer que ela está em disputa, sendo constantemente tensionada pelos agentes locais que dinamizam o campo dos direitos sociais a partir da compreensão das relações políticas, econômicas e simbólicas postas em dado período históric</w:t>
      </w:r>
      <w:r>
        <w:t>o. Não à toa, quando o governo estadual do Pará, de Helder Barbalho (MDB), propôs a Lei 10.820/24, que instituiu o ensino à distância em comunidades indígenas, as forças populares tradicionais, além de ocupar a Secretaria de Educação do Pará e bloquear rod</w:t>
      </w:r>
      <w:r>
        <w:t>ovias paraenses, mobilizaram a visibilidade da COP30 como capital político para pressionar o governador, fazendo-o recuar da decisão</w:t>
      </w:r>
      <w:r>
        <w:rPr>
          <w:vertAlign w:val="superscript"/>
        </w:rPr>
        <w:footnoteReference w:id="8"/>
      </w:r>
      <w:r>
        <w:t xml:space="preserve">. </w:t>
      </w:r>
    </w:p>
    <w:p w:rsidR="00145B96" w:rsidRDefault="00977A27" w:rsidP="00F23861">
      <w:pPr>
        <w:spacing w:line="360" w:lineRule="auto"/>
        <w:ind w:firstLine="720"/>
        <w:jc w:val="both"/>
      </w:pPr>
      <w:r>
        <w:t xml:space="preserve">Por essa via, o processo de </w:t>
      </w:r>
      <w:proofErr w:type="spellStart"/>
      <w:r>
        <w:rPr>
          <w:i/>
        </w:rPr>
        <w:t>ambientalização</w:t>
      </w:r>
      <w:proofErr w:type="spellEnd"/>
      <w:r>
        <w:t xml:space="preserve"> da Amazônia, momento histórico em que Estado e instituições externas desde u</w:t>
      </w:r>
      <w:r>
        <w:t>m conjunto de políticas, regramentos e dispositivos passam a dinamizar a região e a controlar os corpos amazônicos, não rompeu de modo efetivo com as desigualdades locais, as injustiças socioambientais, nem mesmo com as defasagens de direitos sociais básic</w:t>
      </w:r>
      <w:r>
        <w:t xml:space="preserve">os. O cerne dessa permanente ausência de </w:t>
      </w:r>
      <w:r>
        <w:t xml:space="preserve">direitos sociais está em um </w:t>
      </w:r>
      <w:r>
        <w:rPr>
          <w:i/>
        </w:rPr>
        <w:t>habitar colonial</w:t>
      </w:r>
      <w:r>
        <w:t xml:space="preserve"> (Ferdinand, 2022) que se estende ao longo do tempo cimentado, hoje, por um Estado e prescrições globais que defendem pautas ambientalistas para a proteção de uma “humanidade geral”, mas que ignoram, de outro modo, o sofrimento de povos </w:t>
      </w:r>
      <w:proofErr w:type="spellStart"/>
      <w:r>
        <w:t>racializados</w:t>
      </w:r>
      <w:proofErr w:type="spellEnd"/>
      <w:r>
        <w:t xml:space="preserve"> que, h</w:t>
      </w:r>
      <w:r>
        <w:t xml:space="preserve">istoricamente, estiveram às margens, nas franjas da sociedade, nos </w:t>
      </w:r>
      <w:r>
        <w:rPr>
          <w:i/>
        </w:rPr>
        <w:t>porões do mundo</w:t>
      </w:r>
      <w:r>
        <w:t>.</w:t>
      </w:r>
    </w:p>
    <w:p w:rsidR="00145B96" w:rsidRDefault="00977A27" w:rsidP="00F23861">
      <w:pPr>
        <w:spacing w:line="360" w:lineRule="auto"/>
        <w:ind w:firstLine="720"/>
        <w:jc w:val="both"/>
      </w:pPr>
      <w:r>
        <w:t xml:space="preserve">Mas, se por um lado, este é um território que produz controle e </w:t>
      </w:r>
      <w:proofErr w:type="spellStart"/>
      <w:r>
        <w:t>governamentalidade</w:t>
      </w:r>
      <w:proofErr w:type="spellEnd"/>
      <w:r>
        <w:t xml:space="preserve"> (Foucault, 2008), firmado em um </w:t>
      </w:r>
      <w:r>
        <w:rPr>
          <w:i/>
        </w:rPr>
        <w:t>habitar colonial</w:t>
      </w:r>
      <w:r>
        <w:t xml:space="preserve"> que extrapola tempo e espaço (Ferdinand,</w:t>
      </w:r>
      <w:r>
        <w:t xml:space="preserve"> 2022), é também um espaço onde há corpos que resistem, que subvertem e que confrontam saberes-poderes desde múltiplos movimentos, deslocamentos e agenciamentos. A partir de uma rede multifacetada de resistências estratégicas, objetiva-se suplantar as tecn</w:t>
      </w:r>
      <w:r>
        <w:t xml:space="preserve">ologias </w:t>
      </w:r>
      <w:r>
        <w:lastRenderedPageBreak/>
        <w:t xml:space="preserve">de poder e as fraturas ambientais e coloniais, seja em situações cotidianas, de pandemia ou de emergência climática. Esses corpos, então, </w:t>
      </w:r>
      <w:proofErr w:type="spellStart"/>
      <w:r>
        <w:t>tensionam</w:t>
      </w:r>
      <w:proofErr w:type="spellEnd"/>
      <w:r>
        <w:t xml:space="preserve"> uma normalidade firmada no não reconhecimento destes como sujeitos de direito, quer por meio do desl</w:t>
      </w:r>
      <w:r>
        <w:t xml:space="preserve">ocamento identitário, quer por inovações na prevenção e cuidado durante a pandemia (Cardoso; Martins; </w:t>
      </w:r>
      <w:proofErr w:type="spellStart"/>
      <w:r>
        <w:t>Parry</w:t>
      </w:r>
      <w:proofErr w:type="spellEnd"/>
      <w:r>
        <w:t>, 2023), quer por reivindicação de direito à vozes e poderes iguais que chefes de Estado na COP. Por fim, em contraponto às análises de Marshall (202</w:t>
      </w:r>
      <w:r>
        <w:t xml:space="preserve">1), que conceitua a cidadania como um </w:t>
      </w:r>
      <w:r>
        <w:rPr>
          <w:i/>
        </w:rPr>
        <w:t>status</w:t>
      </w:r>
      <w:r>
        <w:t xml:space="preserve"> outorgado pelo Estado aos membros plenos da comunidade, as experiências de povos da floresta de comunidades remotas demonstram não só os limites de cidadania e de direitos explicados pelo permanência de olhares </w:t>
      </w:r>
      <w:r>
        <w:t xml:space="preserve">coloniais, mas também aprendizados decisivos em situações de escassez desde a produção de agentes políticos e, ainda, a possibilidade e necessidade de brotar novos caminhos e futuros possíveis. </w:t>
      </w:r>
    </w:p>
    <w:p w:rsidR="00145B96" w:rsidRDefault="00145B96">
      <w:pPr>
        <w:spacing w:line="360" w:lineRule="auto"/>
        <w:jc w:val="both"/>
      </w:pPr>
    </w:p>
    <w:p w:rsidR="00145B96" w:rsidRDefault="00977A27">
      <w:pPr>
        <w:spacing w:line="360" w:lineRule="auto"/>
        <w:jc w:val="both"/>
        <w:rPr>
          <w:b/>
        </w:rPr>
      </w:pPr>
      <w:r>
        <w:rPr>
          <w:b/>
        </w:rPr>
        <w:t>REFERÊNCIAS</w:t>
      </w:r>
    </w:p>
    <w:p w:rsidR="00145B96" w:rsidRDefault="00977A27">
      <w:pPr>
        <w:jc w:val="both"/>
      </w:pPr>
      <w:r>
        <w:t>ALMEIDA, M.W.B. Direitos à floresta e ambi</w:t>
      </w:r>
      <w:r>
        <w:t>entalismo: seringueiros e suas lutas. Revista Brasileira de Ciências Sociais, v. 19, n. 55, p. 33-53. 2004.</w:t>
      </w:r>
    </w:p>
    <w:p w:rsidR="00145B96" w:rsidRDefault="00977A27">
      <w:pPr>
        <w:jc w:val="both"/>
      </w:pPr>
      <w:r>
        <w:t xml:space="preserve">ALLEGRETTI, M. A construção social de políticas públicas: Chico Mendes e o movimento dos seringueiros. </w:t>
      </w:r>
      <w:proofErr w:type="gramStart"/>
      <w:r>
        <w:t>Desenvolvimento e Meio Ambiente</w:t>
      </w:r>
      <w:proofErr w:type="gramEnd"/>
      <w:r>
        <w:t>, n. 18, p. 39</w:t>
      </w:r>
      <w:r>
        <w:t>-59, jul./dez. 2008.</w:t>
      </w:r>
    </w:p>
    <w:p w:rsidR="00145B96" w:rsidRDefault="00977A27">
      <w:pPr>
        <w:jc w:val="both"/>
      </w:pPr>
      <w:r>
        <w:t xml:space="preserve">CARDOSO, J. P; MARTINS, R. C; LUKE, P. Cidadania dos povos da floresta e COVID-19: disputas e articulações no enfrentamento à pandemia na </w:t>
      </w:r>
      <w:proofErr w:type="spellStart"/>
      <w:r>
        <w:t>Resex</w:t>
      </w:r>
      <w:proofErr w:type="spellEnd"/>
      <w:r>
        <w:t xml:space="preserve"> do Iriri (PA). Raízes: Revista de Ciências Sociais e Econômicas, v. 43, n.2, p. 206–226, 20</w:t>
      </w:r>
      <w:r>
        <w:t xml:space="preserve">23. </w:t>
      </w:r>
      <w:hyperlink r:id="rId10">
        <w:r>
          <w:rPr>
            <w:color w:val="1155CC"/>
            <w:u w:val="single"/>
          </w:rPr>
          <w:t>https://doi.org/10.37370/raizes.2023.v43.840</w:t>
        </w:r>
      </w:hyperlink>
    </w:p>
    <w:p w:rsidR="00145B96" w:rsidRDefault="00977A27">
      <w:pPr>
        <w:jc w:val="both"/>
      </w:pPr>
      <w:r>
        <w:t xml:space="preserve">FOUCAULT, M. Segurança, Território, População. Curso dado no </w:t>
      </w:r>
      <w:proofErr w:type="spellStart"/>
      <w:r>
        <w:t>Collège</w:t>
      </w:r>
      <w:proofErr w:type="spellEnd"/>
      <w:r>
        <w:t xml:space="preserve"> de France. São Paulo: Martins Fontes, 2008.</w:t>
      </w:r>
    </w:p>
    <w:p w:rsidR="00145B96" w:rsidRDefault="00977A27">
      <w:pPr>
        <w:jc w:val="both"/>
      </w:pPr>
      <w:r>
        <w:t xml:space="preserve">FOUCAULT. </w:t>
      </w:r>
      <w:proofErr w:type="gramStart"/>
      <w:r>
        <w:t>M. História</w:t>
      </w:r>
      <w:proofErr w:type="gramEnd"/>
      <w:r>
        <w:t xml:space="preserve"> da Sexua</w:t>
      </w:r>
      <w:r>
        <w:t>lidade 1: a vontade de saber. 12 ed. Rio de Janeiro/São Paulo: Paz e Terra, 2021.</w:t>
      </w:r>
    </w:p>
    <w:p w:rsidR="00145B96" w:rsidRDefault="00977A27">
      <w:pPr>
        <w:jc w:val="both"/>
      </w:pPr>
      <w:r>
        <w:t xml:space="preserve">G1 PA. Projeto de telemedicina atende comunidades ribeirinhas e indígenas na Terra do Meio, sudoeste do Pará. G1. Belém, 11 set 2020. Disponível em: </w:t>
      </w:r>
      <w:hyperlink r:id="rId11">
        <w:r>
          <w:rPr>
            <w:color w:val="1155CC"/>
            <w:u w:val="single"/>
          </w:rPr>
          <w:t>https://g1.globo.com/pa/para/noticia/2020/09/11/projeto-de-telemedicina</w:t>
        </w:r>
      </w:hyperlink>
      <w:r>
        <w:t xml:space="preserve">-atende-comunidades-ribeirinhas-e-indigenas-na-terra-do-meio-sudoeste-do-para.ghtml. Acesso em: 10 </w:t>
      </w:r>
      <w:proofErr w:type="spellStart"/>
      <w:r>
        <w:t>mai</w:t>
      </w:r>
      <w:proofErr w:type="spellEnd"/>
      <w:r>
        <w:t xml:space="preserve"> 2025.</w:t>
      </w:r>
    </w:p>
    <w:p w:rsidR="00145B96" w:rsidRDefault="00977A27">
      <w:pPr>
        <w:jc w:val="both"/>
      </w:pPr>
      <w:r>
        <w:t xml:space="preserve">HALL, S. </w:t>
      </w:r>
      <w:r>
        <w:t xml:space="preserve">A identidade cultural na pós-modernidade. Rio de Janeiro: Lamparina, 2014. </w:t>
      </w:r>
    </w:p>
    <w:p w:rsidR="00145B96" w:rsidRDefault="00977A27">
      <w:pPr>
        <w:jc w:val="both"/>
      </w:pPr>
      <w:r>
        <w:lastRenderedPageBreak/>
        <w:t>LOUREIRO, V. R. Amazônia: uma história de perdas e danos, um futuro a (</w:t>
      </w:r>
      <w:proofErr w:type="spellStart"/>
      <w:r>
        <w:t>re</w:t>
      </w:r>
      <w:proofErr w:type="spellEnd"/>
      <w:r>
        <w:t>)construir. Estudos Avançados, v. 16, n. 45, p. 107 – 121, 2002.</w:t>
      </w:r>
    </w:p>
    <w:p w:rsidR="00145B96" w:rsidRDefault="00977A27">
      <w:pPr>
        <w:jc w:val="both"/>
      </w:pPr>
      <w:r>
        <w:t xml:space="preserve">MARSHALL, T.H. Cidadania e classe social. </w:t>
      </w:r>
      <w:r>
        <w:t>São Paulo: Editora Unesp, 2021.</w:t>
      </w:r>
    </w:p>
    <w:p w:rsidR="00145B96" w:rsidRDefault="00977A27">
      <w:pPr>
        <w:jc w:val="both"/>
      </w:pPr>
      <w:r>
        <w:t xml:space="preserve">MCCORMICK, John. Rumo ao paraíso: a história do movimento ambientalista. Rio de Janeiro: </w:t>
      </w:r>
      <w:proofErr w:type="spellStart"/>
      <w:r>
        <w:t>Relume</w:t>
      </w:r>
      <w:proofErr w:type="spellEnd"/>
      <w:r>
        <w:t xml:space="preserve"> </w:t>
      </w:r>
      <w:proofErr w:type="spellStart"/>
      <w:r>
        <w:t>Dumará</w:t>
      </w:r>
      <w:proofErr w:type="spellEnd"/>
      <w:r>
        <w:t>, 1992.</w:t>
      </w:r>
    </w:p>
    <w:p w:rsidR="00145B96" w:rsidRDefault="00977A27">
      <w:pPr>
        <w:jc w:val="both"/>
      </w:pPr>
      <w:r>
        <w:t>RIBEIRO, Wagner Costa. A ordem ambiental internacional. 2.ed. São Paulo: Contexto, 2010.</w:t>
      </w:r>
    </w:p>
    <w:p w:rsidR="00145B96" w:rsidRDefault="00977A27">
      <w:pPr>
        <w:jc w:val="both"/>
      </w:pPr>
      <w:r>
        <w:t xml:space="preserve">SANTOS, L.F.S. O </w:t>
      </w:r>
      <w:proofErr w:type="spellStart"/>
      <w:r>
        <w:t>panóptico</w:t>
      </w:r>
      <w:proofErr w:type="spellEnd"/>
      <w:r>
        <w:t xml:space="preserve"> verde: a invenção ambiental da Amazônia. 2 ed. Manaus: Editora Valer, 2020.</w:t>
      </w:r>
    </w:p>
    <w:p w:rsidR="00145B96" w:rsidRDefault="00977A27">
      <w:pPr>
        <w:jc w:val="both"/>
      </w:pPr>
      <w:r>
        <w:t xml:space="preserve">SILVA, J. B. da; SIMONIAN, L. T. L. População tradicional, Reservas Extrativistas e racionalidade estatal na Amazônia brasileira. </w:t>
      </w:r>
      <w:proofErr w:type="gramStart"/>
      <w:r>
        <w:t xml:space="preserve">Desenvolvimento e Meio </w:t>
      </w:r>
      <w:r>
        <w:t>Ambiente</w:t>
      </w:r>
      <w:proofErr w:type="gramEnd"/>
      <w:r>
        <w:t>, 33, 163-175, 2015.</w:t>
      </w:r>
    </w:p>
    <w:p w:rsidR="00145B96" w:rsidRDefault="00977A27">
      <w:pPr>
        <w:jc w:val="both"/>
      </w:pPr>
      <w:r>
        <w:t>WILLIAMS, R. Cultura e materialismo. Tradução de André Glaser. São Paulo, Editora Unesp, 2011.</w:t>
      </w:r>
    </w:p>
    <w:p w:rsidR="00145B96" w:rsidRDefault="00145B96">
      <w:pPr>
        <w:spacing w:line="360" w:lineRule="auto"/>
        <w:jc w:val="both"/>
      </w:pPr>
    </w:p>
    <w:p w:rsidR="00145B96" w:rsidRDefault="00145B96">
      <w:pPr>
        <w:spacing w:line="360" w:lineRule="auto"/>
        <w:jc w:val="both"/>
      </w:pPr>
    </w:p>
    <w:p w:rsidR="00145B96" w:rsidRDefault="00145B96">
      <w:pPr>
        <w:spacing w:line="360" w:lineRule="auto"/>
        <w:jc w:val="both"/>
      </w:pPr>
    </w:p>
    <w:p w:rsidR="00145B96" w:rsidRDefault="00145B96"/>
    <w:sectPr w:rsidR="00145B96">
      <w:headerReference w:type="default" r:id="rId12"/>
      <w:footerReference w:type="default" r:id="rId13"/>
      <w:pgSz w:w="11906" w:h="16838"/>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A27" w:rsidRDefault="00977A27">
      <w:r>
        <w:separator/>
      </w:r>
    </w:p>
  </w:endnote>
  <w:endnote w:type="continuationSeparator" w:id="0">
    <w:p w:rsidR="00977A27" w:rsidRDefault="0097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ntonio">
    <w:altName w:val="Cambria"/>
    <w:panose1 w:val="00000000000000000000"/>
    <w:charset w:val="00"/>
    <w:family w:val="roman"/>
    <w:notTrueType/>
    <w:pitch w:val="default"/>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96" w:rsidRDefault="00977A27">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-10065384</wp:posOffset>
          </wp:positionV>
          <wp:extent cx="7566660" cy="2136140"/>
          <wp:effectExtent l="0" t="0" r="0" b="0"/>
          <wp:wrapSquare wrapText="bothSides" distT="0" distB="0" distL="114300" distR="114300"/>
          <wp:docPr id="2128089465" name="image1.png" descr="Uma imagem contendo 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Texto&#10;&#10;O conteúdo gerado por IA pode estar incorreto."/>
                  <pic:cNvPicPr preferRelativeResize="0"/>
                </pic:nvPicPr>
                <pic:blipFill>
                  <a:blip r:embed="rId1"/>
                  <a:srcRect/>
                  <a:stretch>
                    <a:fillRect/>
                  </a:stretch>
                </pic:blipFill>
                <pic:spPr>
                  <a:xfrm>
                    <a:off x="0" y="0"/>
                    <a:ext cx="7566660" cy="21361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A27" w:rsidRDefault="00977A27">
      <w:r>
        <w:separator/>
      </w:r>
    </w:p>
  </w:footnote>
  <w:footnote w:type="continuationSeparator" w:id="0">
    <w:p w:rsidR="00977A27" w:rsidRDefault="00977A27">
      <w:r>
        <w:continuationSeparator/>
      </w:r>
    </w:p>
  </w:footnote>
  <w:footnote w:id="1">
    <w:p w:rsidR="00145B96" w:rsidRDefault="00977A27">
      <w:pPr>
        <w:widowControl w:val="0"/>
        <w:pBdr>
          <w:top w:val="nil"/>
          <w:left w:val="nil"/>
          <w:bottom w:val="nil"/>
          <w:right w:val="nil"/>
          <w:between w:val="nil"/>
        </w:pBdr>
        <w:rPr>
          <w:rFonts w:ascii="Avenir" w:eastAsia="Avenir" w:hAnsi="Avenir" w:cs="Avenir"/>
          <w:color w:val="000000"/>
          <w:sz w:val="20"/>
          <w:szCs w:val="20"/>
        </w:rPr>
      </w:pPr>
      <w:r>
        <w:rPr>
          <w:vertAlign w:val="superscript"/>
        </w:rPr>
        <w:footnoteRef/>
      </w:r>
      <w:r>
        <w:rPr>
          <w:rFonts w:ascii="Avenir" w:eastAsia="Avenir" w:hAnsi="Avenir" w:cs="Avenir"/>
          <w:sz w:val="20"/>
          <w:szCs w:val="20"/>
        </w:rPr>
        <w:t xml:space="preserve"> Pesquisadora de Pós-doutorado no Programa de Pós-Graduação em Sociologia da</w:t>
      </w:r>
      <w:r>
        <w:rPr>
          <w:rFonts w:ascii="Avenir" w:eastAsia="Avenir" w:hAnsi="Avenir" w:cs="Avenir"/>
          <w:color w:val="000000"/>
          <w:sz w:val="20"/>
          <w:szCs w:val="20"/>
        </w:rPr>
        <w:t xml:space="preserve"> Universidade Federal de São Carlos, São Carlos (SP). </w:t>
      </w:r>
      <w:hyperlink r:id="rId1">
        <w:r>
          <w:rPr>
            <w:rFonts w:ascii="Avenir" w:eastAsia="Avenir" w:hAnsi="Avenir" w:cs="Avenir"/>
            <w:color w:val="1155CC"/>
            <w:sz w:val="20"/>
            <w:szCs w:val="20"/>
            <w:u w:val="single"/>
          </w:rPr>
          <w:t>jessicapires.cardoso@gmail.com</w:t>
        </w:r>
      </w:hyperlink>
      <w:r>
        <w:rPr>
          <w:rFonts w:ascii="Avenir" w:eastAsia="Avenir" w:hAnsi="Avenir" w:cs="Avenir"/>
          <w:color w:val="000000"/>
          <w:sz w:val="20"/>
          <w:szCs w:val="20"/>
        </w:rPr>
        <w:t xml:space="preserve"> </w:t>
      </w:r>
    </w:p>
  </w:footnote>
  <w:footnote w:id="2">
    <w:p w:rsidR="00145B96" w:rsidRDefault="00977A27">
      <w:pPr>
        <w:jc w:val="both"/>
        <w:rPr>
          <w:sz w:val="16"/>
          <w:szCs w:val="16"/>
        </w:rPr>
      </w:pPr>
      <w:r>
        <w:rPr>
          <w:vertAlign w:val="superscript"/>
        </w:rPr>
        <w:footnoteRef/>
      </w:r>
      <w:r>
        <w:rPr>
          <w:sz w:val="20"/>
          <w:szCs w:val="20"/>
        </w:rPr>
        <w:t xml:space="preserve"> </w:t>
      </w:r>
      <w:r>
        <w:rPr>
          <w:sz w:val="20"/>
          <w:szCs w:val="20"/>
        </w:rPr>
        <w:t xml:space="preserve">O estudo faz parte da chamada </w:t>
      </w:r>
      <w:r w:rsidRPr="00F23861">
        <w:rPr>
          <w:i/>
          <w:sz w:val="20"/>
          <w:szCs w:val="20"/>
        </w:rPr>
        <w:t xml:space="preserve">Recovery, </w:t>
      </w:r>
      <w:proofErr w:type="spellStart"/>
      <w:r w:rsidRPr="00F23861">
        <w:rPr>
          <w:i/>
          <w:sz w:val="20"/>
          <w:szCs w:val="20"/>
        </w:rPr>
        <w:t>Renewal</w:t>
      </w:r>
      <w:proofErr w:type="spellEnd"/>
      <w:r w:rsidRPr="00F23861">
        <w:rPr>
          <w:i/>
          <w:sz w:val="20"/>
          <w:szCs w:val="20"/>
        </w:rPr>
        <w:t xml:space="preserve"> </w:t>
      </w:r>
      <w:proofErr w:type="spellStart"/>
      <w:r w:rsidRPr="00F23861">
        <w:rPr>
          <w:i/>
          <w:sz w:val="20"/>
          <w:szCs w:val="20"/>
        </w:rPr>
        <w:t>and</w:t>
      </w:r>
      <w:proofErr w:type="spellEnd"/>
      <w:r w:rsidRPr="00F23861">
        <w:rPr>
          <w:i/>
          <w:sz w:val="20"/>
          <w:szCs w:val="20"/>
        </w:rPr>
        <w:t xml:space="preserve"> </w:t>
      </w:r>
      <w:proofErr w:type="spellStart"/>
      <w:r w:rsidRPr="00F23861">
        <w:rPr>
          <w:i/>
          <w:sz w:val="20"/>
          <w:szCs w:val="20"/>
        </w:rPr>
        <w:t>Resilience</w:t>
      </w:r>
      <w:proofErr w:type="spellEnd"/>
      <w:r w:rsidRPr="00F23861">
        <w:rPr>
          <w:i/>
          <w:sz w:val="20"/>
          <w:szCs w:val="20"/>
        </w:rPr>
        <w:t xml:space="preserve"> in a Post-</w:t>
      </w:r>
      <w:proofErr w:type="spellStart"/>
      <w:r w:rsidRPr="00F23861">
        <w:rPr>
          <w:i/>
          <w:sz w:val="20"/>
          <w:szCs w:val="20"/>
        </w:rPr>
        <w:t>Pandemic</w:t>
      </w:r>
      <w:proofErr w:type="spellEnd"/>
      <w:r w:rsidRPr="00F23861">
        <w:rPr>
          <w:i/>
          <w:sz w:val="20"/>
          <w:szCs w:val="20"/>
        </w:rPr>
        <w:t xml:space="preserve"> World</w:t>
      </w:r>
      <w:r>
        <w:rPr>
          <w:sz w:val="20"/>
          <w:szCs w:val="20"/>
        </w:rPr>
        <w:t xml:space="preserve"> (RRR), da </w:t>
      </w:r>
      <w:proofErr w:type="spellStart"/>
      <w:r w:rsidRPr="00F23861">
        <w:rPr>
          <w:i/>
          <w:sz w:val="20"/>
          <w:szCs w:val="20"/>
        </w:rPr>
        <w:t>Trans-Atlantic</w:t>
      </w:r>
      <w:proofErr w:type="spellEnd"/>
      <w:r w:rsidRPr="00F23861">
        <w:rPr>
          <w:i/>
          <w:sz w:val="20"/>
          <w:szCs w:val="20"/>
        </w:rPr>
        <w:t xml:space="preserve"> Platform, Social </w:t>
      </w:r>
      <w:proofErr w:type="spellStart"/>
      <w:r w:rsidRPr="00F23861">
        <w:rPr>
          <w:i/>
          <w:sz w:val="20"/>
          <w:szCs w:val="20"/>
        </w:rPr>
        <w:t>Sciences</w:t>
      </w:r>
      <w:proofErr w:type="spellEnd"/>
      <w:r w:rsidRPr="00F23861">
        <w:rPr>
          <w:i/>
          <w:sz w:val="20"/>
          <w:szCs w:val="20"/>
        </w:rPr>
        <w:t xml:space="preserve"> </w:t>
      </w:r>
      <w:proofErr w:type="spellStart"/>
      <w:r w:rsidRPr="00F23861">
        <w:rPr>
          <w:i/>
          <w:sz w:val="20"/>
          <w:szCs w:val="20"/>
        </w:rPr>
        <w:t>and</w:t>
      </w:r>
      <w:proofErr w:type="spellEnd"/>
      <w:r w:rsidRPr="00F23861">
        <w:rPr>
          <w:i/>
          <w:sz w:val="20"/>
          <w:szCs w:val="20"/>
        </w:rPr>
        <w:t xml:space="preserve"> </w:t>
      </w:r>
      <w:proofErr w:type="spellStart"/>
      <w:r w:rsidRPr="00F23861">
        <w:rPr>
          <w:i/>
          <w:sz w:val="20"/>
          <w:szCs w:val="20"/>
        </w:rPr>
        <w:t>Humanities</w:t>
      </w:r>
      <w:proofErr w:type="spellEnd"/>
      <w:r>
        <w:rPr>
          <w:sz w:val="20"/>
          <w:szCs w:val="20"/>
        </w:rPr>
        <w:t>,  e conta com financiamentos da Fundação de Amparo à Pesquisa no Estado de São Paulo (FAPESP, Brasil),</w:t>
      </w:r>
      <w:r>
        <w:rPr>
          <w:sz w:val="20"/>
          <w:szCs w:val="20"/>
        </w:rPr>
        <w:t xml:space="preserve"> do </w:t>
      </w:r>
      <w:proofErr w:type="spellStart"/>
      <w:r w:rsidRPr="00F23861">
        <w:rPr>
          <w:i/>
          <w:sz w:val="20"/>
          <w:szCs w:val="20"/>
        </w:rPr>
        <w:t>Economic</w:t>
      </w:r>
      <w:proofErr w:type="spellEnd"/>
      <w:r w:rsidRPr="00F23861">
        <w:rPr>
          <w:i/>
          <w:sz w:val="20"/>
          <w:szCs w:val="20"/>
        </w:rPr>
        <w:t xml:space="preserve"> </w:t>
      </w:r>
      <w:proofErr w:type="spellStart"/>
      <w:r w:rsidRPr="00F23861">
        <w:rPr>
          <w:i/>
          <w:sz w:val="20"/>
          <w:szCs w:val="20"/>
        </w:rPr>
        <w:t>and</w:t>
      </w:r>
      <w:proofErr w:type="spellEnd"/>
      <w:r w:rsidRPr="00F23861">
        <w:rPr>
          <w:i/>
          <w:sz w:val="20"/>
          <w:szCs w:val="20"/>
        </w:rPr>
        <w:t xml:space="preserve"> Social </w:t>
      </w:r>
      <w:proofErr w:type="spellStart"/>
      <w:r w:rsidRPr="00F23861">
        <w:rPr>
          <w:i/>
          <w:sz w:val="20"/>
          <w:szCs w:val="20"/>
        </w:rPr>
        <w:t>Research</w:t>
      </w:r>
      <w:proofErr w:type="spellEnd"/>
      <w:r w:rsidRPr="00F23861">
        <w:rPr>
          <w:i/>
          <w:sz w:val="20"/>
          <w:szCs w:val="20"/>
        </w:rPr>
        <w:t xml:space="preserve"> </w:t>
      </w:r>
      <w:proofErr w:type="spellStart"/>
      <w:r w:rsidRPr="00F23861">
        <w:rPr>
          <w:i/>
          <w:sz w:val="20"/>
          <w:szCs w:val="20"/>
        </w:rPr>
        <w:t>Council</w:t>
      </w:r>
      <w:proofErr w:type="spellEnd"/>
      <w:r>
        <w:rPr>
          <w:sz w:val="20"/>
          <w:szCs w:val="20"/>
        </w:rPr>
        <w:t xml:space="preserve"> (ESRC, Reino Unido) e da </w:t>
      </w:r>
      <w:proofErr w:type="spellStart"/>
      <w:r w:rsidRPr="0099368F">
        <w:rPr>
          <w:i/>
          <w:sz w:val="20"/>
          <w:szCs w:val="20"/>
        </w:rPr>
        <w:t>National</w:t>
      </w:r>
      <w:proofErr w:type="spellEnd"/>
      <w:r w:rsidRPr="0099368F">
        <w:rPr>
          <w:i/>
          <w:sz w:val="20"/>
          <w:szCs w:val="20"/>
        </w:rPr>
        <w:t xml:space="preserve"> Science Foundation</w:t>
      </w:r>
      <w:r>
        <w:rPr>
          <w:sz w:val="20"/>
          <w:szCs w:val="20"/>
        </w:rPr>
        <w:t xml:space="preserve"> (NSF, Estados Unidos).</w:t>
      </w:r>
    </w:p>
  </w:footnote>
  <w:footnote w:id="3">
    <w:p w:rsidR="00145B96" w:rsidRDefault="00977A27">
      <w:pPr>
        <w:rPr>
          <w:sz w:val="20"/>
          <w:szCs w:val="20"/>
        </w:rPr>
      </w:pPr>
      <w:r>
        <w:rPr>
          <w:vertAlign w:val="superscript"/>
        </w:rPr>
        <w:footnoteRef/>
      </w:r>
      <w:r>
        <w:rPr>
          <w:sz w:val="20"/>
          <w:szCs w:val="20"/>
        </w:rPr>
        <w:t xml:space="preserve"> Altamira (PA) com 159.533,306 km</w:t>
      </w:r>
      <w:proofErr w:type="gramStart"/>
      <w:r>
        <w:rPr>
          <w:sz w:val="20"/>
          <w:szCs w:val="20"/>
        </w:rPr>
        <w:t>²  e</w:t>
      </w:r>
      <w:proofErr w:type="gramEnd"/>
      <w:r>
        <w:rPr>
          <w:sz w:val="20"/>
          <w:szCs w:val="20"/>
        </w:rPr>
        <w:t xml:space="preserve"> Barcelos com 122.461,08 km².</w:t>
      </w:r>
    </w:p>
  </w:footnote>
  <w:footnote w:id="4">
    <w:p w:rsidR="00145B96" w:rsidRDefault="00977A27">
      <w:pPr>
        <w:jc w:val="both"/>
        <w:rPr>
          <w:sz w:val="20"/>
          <w:szCs w:val="20"/>
        </w:rPr>
      </w:pPr>
      <w:r>
        <w:rPr>
          <w:vertAlign w:val="superscript"/>
        </w:rPr>
        <w:footnoteRef/>
      </w:r>
      <w:r>
        <w:rPr>
          <w:sz w:val="20"/>
          <w:szCs w:val="20"/>
        </w:rPr>
        <w:t xml:space="preserve"> A </w:t>
      </w:r>
      <w:proofErr w:type="spellStart"/>
      <w:r>
        <w:rPr>
          <w:i/>
          <w:sz w:val="20"/>
          <w:szCs w:val="20"/>
        </w:rPr>
        <w:t>ambulancha</w:t>
      </w:r>
      <w:proofErr w:type="spellEnd"/>
      <w:r>
        <w:rPr>
          <w:sz w:val="20"/>
          <w:szCs w:val="20"/>
        </w:rPr>
        <w:t xml:space="preserve"> disponibilizada pela Secretaria Estadual do Meio Ambient</w:t>
      </w:r>
      <w:r>
        <w:rPr>
          <w:sz w:val="20"/>
          <w:szCs w:val="20"/>
        </w:rPr>
        <w:t xml:space="preserve">e foi repassada para a comunidade Vila Nunes, que está inserida na RDS do </w:t>
      </w:r>
      <w:proofErr w:type="spellStart"/>
      <w:r>
        <w:rPr>
          <w:sz w:val="20"/>
          <w:szCs w:val="20"/>
        </w:rPr>
        <w:t>Amanã</w:t>
      </w:r>
      <w:proofErr w:type="spellEnd"/>
      <w:r>
        <w:rPr>
          <w:sz w:val="20"/>
          <w:szCs w:val="20"/>
        </w:rPr>
        <w:t xml:space="preserve">, mas participa do Conselho Deliberativo e das atividades da </w:t>
      </w:r>
      <w:proofErr w:type="spellStart"/>
      <w:r>
        <w:rPr>
          <w:sz w:val="20"/>
          <w:szCs w:val="20"/>
        </w:rPr>
        <w:t>Resex</w:t>
      </w:r>
      <w:proofErr w:type="spellEnd"/>
      <w:r>
        <w:rPr>
          <w:sz w:val="20"/>
          <w:szCs w:val="20"/>
        </w:rPr>
        <w:t xml:space="preserve"> do </w:t>
      </w:r>
      <w:proofErr w:type="spellStart"/>
      <w:r>
        <w:rPr>
          <w:sz w:val="20"/>
          <w:szCs w:val="20"/>
        </w:rPr>
        <w:t>Unini</w:t>
      </w:r>
      <w:proofErr w:type="spellEnd"/>
      <w:r>
        <w:rPr>
          <w:sz w:val="20"/>
          <w:szCs w:val="20"/>
        </w:rPr>
        <w:t xml:space="preserve">. Essa dinâmica se justifica pela proximidade física da </w:t>
      </w:r>
      <w:proofErr w:type="spellStart"/>
      <w:r>
        <w:rPr>
          <w:sz w:val="20"/>
          <w:szCs w:val="20"/>
        </w:rPr>
        <w:t>Resex</w:t>
      </w:r>
      <w:proofErr w:type="spellEnd"/>
      <w:r>
        <w:rPr>
          <w:sz w:val="20"/>
          <w:szCs w:val="20"/>
        </w:rPr>
        <w:t xml:space="preserve"> e distanciamento da RDS. A gestão da </w:t>
      </w:r>
      <w:proofErr w:type="spellStart"/>
      <w:r>
        <w:rPr>
          <w:sz w:val="20"/>
          <w:szCs w:val="20"/>
        </w:rPr>
        <w:t>Res</w:t>
      </w:r>
      <w:r>
        <w:rPr>
          <w:sz w:val="20"/>
          <w:szCs w:val="20"/>
        </w:rPr>
        <w:t>ex</w:t>
      </w:r>
      <w:proofErr w:type="spellEnd"/>
      <w:r>
        <w:rPr>
          <w:sz w:val="20"/>
          <w:szCs w:val="20"/>
        </w:rPr>
        <w:t xml:space="preserve">, por ser uma unidade de conservação federal, está sob responsabilidade do </w:t>
      </w:r>
      <w:proofErr w:type="spellStart"/>
      <w:r>
        <w:rPr>
          <w:sz w:val="20"/>
          <w:szCs w:val="20"/>
        </w:rPr>
        <w:t>ICMBio</w:t>
      </w:r>
      <w:proofErr w:type="spellEnd"/>
      <w:r>
        <w:rPr>
          <w:sz w:val="20"/>
          <w:szCs w:val="20"/>
        </w:rPr>
        <w:t>, que não atua diretamente na dimensão da garantia dos direitos sociais, mas na gestão territorial e preservação da biodiversidade.</w:t>
      </w:r>
    </w:p>
  </w:footnote>
  <w:footnote w:id="5">
    <w:p w:rsidR="00145B96" w:rsidRDefault="00977A27">
      <w:pPr>
        <w:jc w:val="both"/>
        <w:rPr>
          <w:sz w:val="20"/>
          <w:szCs w:val="20"/>
        </w:rPr>
      </w:pPr>
      <w:r>
        <w:rPr>
          <w:vertAlign w:val="superscript"/>
        </w:rPr>
        <w:footnoteRef/>
      </w:r>
      <w:r>
        <w:rPr>
          <w:sz w:val="20"/>
          <w:szCs w:val="20"/>
        </w:rPr>
        <w:t xml:space="preserve"> Atualmente, há, na </w:t>
      </w:r>
      <w:proofErr w:type="spellStart"/>
      <w:r>
        <w:rPr>
          <w:sz w:val="20"/>
          <w:szCs w:val="20"/>
        </w:rPr>
        <w:t>Resex</w:t>
      </w:r>
      <w:proofErr w:type="spellEnd"/>
      <w:r>
        <w:rPr>
          <w:sz w:val="20"/>
          <w:szCs w:val="20"/>
        </w:rPr>
        <w:t xml:space="preserve"> do </w:t>
      </w:r>
      <w:proofErr w:type="spellStart"/>
      <w:r>
        <w:rPr>
          <w:sz w:val="20"/>
          <w:szCs w:val="20"/>
        </w:rPr>
        <w:t>Unini</w:t>
      </w:r>
      <w:proofErr w:type="spellEnd"/>
      <w:r>
        <w:rPr>
          <w:sz w:val="20"/>
          <w:szCs w:val="20"/>
        </w:rPr>
        <w:t>, três</w:t>
      </w:r>
      <w:r>
        <w:rPr>
          <w:sz w:val="20"/>
          <w:szCs w:val="20"/>
        </w:rPr>
        <w:t xml:space="preserve"> comunidades indígenas na </w:t>
      </w:r>
      <w:proofErr w:type="spellStart"/>
      <w:r>
        <w:rPr>
          <w:sz w:val="20"/>
          <w:szCs w:val="20"/>
        </w:rPr>
        <w:t>Resex</w:t>
      </w:r>
      <w:proofErr w:type="spellEnd"/>
      <w:r>
        <w:rPr>
          <w:sz w:val="20"/>
          <w:szCs w:val="20"/>
        </w:rPr>
        <w:t>, com uma articulação crescente das famílias para retirar o Registro Administrativo de Nascimento Indígena para, assim, conseguir alterar a modalidade de comunidade ribeirinha para</w:t>
      </w:r>
      <w:r>
        <w:rPr>
          <w:color w:val="9900FF"/>
          <w:sz w:val="20"/>
          <w:szCs w:val="20"/>
        </w:rPr>
        <w:t xml:space="preserve"> </w:t>
      </w:r>
      <w:r>
        <w:rPr>
          <w:sz w:val="20"/>
          <w:szCs w:val="20"/>
        </w:rPr>
        <w:t xml:space="preserve">comunidade ribeirinha-indígena.  </w:t>
      </w:r>
    </w:p>
  </w:footnote>
  <w:footnote w:id="6">
    <w:p w:rsidR="00145B96" w:rsidRDefault="00977A27">
      <w:pPr>
        <w:jc w:val="both"/>
        <w:rPr>
          <w:sz w:val="20"/>
          <w:szCs w:val="20"/>
        </w:rPr>
      </w:pPr>
      <w:r>
        <w:rPr>
          <w:vertAlign w:val="superscript"/>
        </w:rPr>
        <w:footnoteRef/>
      </w:r>
      <w:r>
        <w:rPr>
          <w:sz w:val="20"/>
          <w:szCs w:val="20"/>
        </w:rPr>
        <w:t xml:space="preserve"> Conforme</w:t>
      </w:r>
      <w:r>
        <w:rPr>
          <w:sz w:val="20"/>
          <w:szCs w:val="20"/>
        </w:rPr>
        <w:t xml:space="preserve"> reportagem: https://www.brasildefato.com.br/2025/04/07/lideres-indigenas-reivindicam-mesmo-peso-que-chefes-de-estado-na-cop30/</w:t>
      </w:r>
    </w:p>
  </w:footnote>
  <w:footnote w:id="7">
    <w:p w:rsidR="00145B96" w:rsidRDefault="00977A27">
      <w:pPr>
        <w:jc w:val="both"/>
        <w:rPr>
          <w:sz w:val="20"/>
          <w:szCs w:val="20"/>
        </w:rPr>
      </w:pPr>
      <w:r>
        <w:rPr>
          <w:vertAlign w:val="superscript"/>
        </w:rPr>
        <w:footnoteRef/>
      </w:r>
      <w:r>
        <w:rPr>
          <w:sz w:val="20"/>
          <w:szCs w:val="20"/>
        </w:rPr>
        <w:t xml:space="preserve"> A imposição do</w:t>
      </w:r>
      <w:r>
        <w:rPr>
          <w:i/>
          <w:sz w:val="20"/>
          <w:szCs w:val="20"/>
        </w:rPr>
        <w:t xml:space="preserve"> favor </w:t>
      </w:r>
      <w:r>
        <w:rPr>
          <w:sz w:val="20"/>
          <w:szCs w:val="20"/>
        </w:rPr>
        <w:t xml:space="preserve">foi percebida, sobretudo, na vila de </w:t>
      </w:r>
      <w:proofErr w:type="spellStart"/>
      <w:r>
        <w:rPr>
          <w:sz w:val="20"/>
          <w:szCs w:val="20"/>
        </w:rPr>
        <w:t>Maribel</w:t>
      </w:r>
      <w:proofErr w:type="spellEnd"/>
      <w:r>
        <w:rPr>
          <w:sz w:val="20"/>
          <w:szCs w:val="20"/>
        </w:rPr>
        <w:t>, comunidade ribeirinha que se encontra fora dos limites terr</w:t>
      </w:r>
      <w:r>
        <w:rPr>
          <w:sz w:val="20"/>
          <w:szCs w:val="20"/>
        </w:rPr>
        <w:t xml:space="preserve">itoriais da </w:t>
      </w:r>
      <w:proofErr w:type="spellStart"/>
      <w:r>
        <w:rPr>
          <w:sz w:val="20"/>
          <w:szCs w:val="20"/>
        </w:rPr>
        <w:t>Resex</w:t>
      </w:r>
      <w:proofErr w:type="spellEnd"/>
      <w:r>
        <w:rPr>
          <w:sz w:val="20"/>
          <w:szCs w:val="20"/>
        </w:rPr>
        <w:t xml:space="preserve"> do Iriri (PA) e de dentro da Terra Indígena Cachoeira Seca. Apesar de seguirem os modos de vida </w:t>
      </w:r>
      <w:proofErr w:type="spellStart"/>
      <w:r>
        <w:rPr>
          <w:sz w:val="20"/>
          <w:szCs w:val="20"/>
        </w:rPr>
        <w:t>beiradeiros</w:t>
      </w:r>
      <w:proofErr w:type="spellEnd"/>
      <w:r>
        <w:rPr>
          <w:sz w:val="20"/>
          <w:szCs w:val="20"/>
        </w:rPr>
        <w:t xml:space="preserve"> e estarem na região desde o ciclo da borracha, essas famílias passaram a ser compreendidas, desde a demarcação da TI, como invasor</w:t>
      </w:r>
      <w:r>
        <w:rPr>
          <w:sz w:val="20"/>
          <w:szCs w:val="20"/>
        </w:rPr>
        <w:t xml:space="preserve">as e que, por isso, devem ser </w:t>
      </w:r>
      <w:proofErr w:type="spellStart"/>
      <w:r>
        <w:rPr>
          <w:sz w:val="20"/>
          <w:szCs w:val="20"/>
        </w:rPr>
        <w:t>desintrusadas</w:t>
      </w:r>
      <w:proofErr w:type="spellEnd"/>
      <w:r>
        <w:rPr>
          <w:sz w:val="20"/>
          <w:szCs w:val="20"/>
        </w:rPr>
        <w:t>. Os poucos avanços que tiveram na vila são frutos do movimento das lideranças locais que se depararam, ao longo do tempo, com o argumento de que as autoridades locais (do município de Altamira e de Uruará – cidad</w:t>
      </w:r>
      <w:r>
        <w:rPr>
          <w:sz w:val="20"/>
          <w:szCs w:val="20"/>
        </w:rPr>
        <w:t xml:space="preserve">e mais próxima) faziam um favor à </w:t>
      </w:r>
      <w:proofErr w:type="spellStart"/>
      <w:r>
        <w:rPr>
          <w:sz w:val="20"/>
          <w:szCs w:val="20"/>
        </w:rPr>
        <w:t>Maribel</w:t>
      </w:r>
      <w:proofErr w:type="spellEnd"/>
      <w:r>
        <w:rPr>
          <w:sz w:val="20"/>
          <w:szCs w:val="20"/>
        </w:rPr>
        <w:t xml:space="preserve">. O primeiro posto de saúde foi instalado durante a pandemia. </w:t>
      </w:r>
    </w:p>
  </w:footnote>
  <w:footnote w:id="8">
    <w:p w:rsidR="00145B96" w:rsidRDefault="00977A27">
      <w:pPr>
        <w:jc w:val="both"/>
        <w:rPr>
          <w:sz w:val="20"/>
          <w:szCs w:val="20"/>
        </w:rPr>
      </w:pPr>
      <w:r>
        <w:rPr>
          <w:vertAlign w:val="superscript"/>
        </w:rPr>
        <w:footnoteRef/>
      </w:r>
      <w:r>
        <w:rPr>
          <w:sz w:val="20"/>
          <w:szCs w:val="20"/>
        </w:rPr>
        <w:t xml:space="preserve"> Conforme reportagem: https://www.brasildefato.com.br/2025/02/05/governo-barbalho-recua-e-vai-revogar-lei-que-instituiu-educacao-remota-em-comunidades-</w:t>
      </w:r>
      <w:r>
        <w:rPr>
          <w:sz w:val="20"/>
          <w:szCs w:val="20"/>
        </w:rPr>
        <w:t>indigenas/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B96" w:rsidRDefault="00145B9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96"/>
    <w:rsid w:val="00145B96"/>
    <w:rsid w:val="00977A27"/>
    <w:rsid w:val="0099368F"/>
    <w:rsid w:val="00F238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328B3"/>
  <w15:docId w15:val="{0BC27E07-52D2-439C-8B71-F15BB2416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semiHidden/>
    <w:unhideWhenUsed/>
    <w:qFormat/>
    <w:rsid w:val="00D46408"/>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pPr>
      <w:spacing w:after="160"/>
    </w:pPr>
    <w:rPr>
      <w:color w:val="595959"/>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sz w:val="22"/>
      <w:szCs w:val="22"/>
      <w:lang w:val="en-US" w:eastAsia="zh-CN"/>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rPr>
  </w:style>
  <w:style w:type="character" w:styleId="Refdenotaderodap">
    <w:name w:val="footnote reference"/>
    <w:basedOn w:val="Fontepargpadro"/>
    <w:uiPriority w:val="99"/>
    <w:semiHidden/>
    <w:unhideWhenUsed/>
    <w:rsid w:val="00216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1.globo.com/pa/para/noticia/2020/09/11/projeto-de-telemedicin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i.org/10.37370/raizes.2023.v43.84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mailto:jessicapires.cardoso@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07SuaF7l/wc1yTOuLq0GuNAtMg==">CgMxLjA4AHIhMWJ6VGVieTVnNV9wR2pRa1FDRmNCenp1ZWRqdjhEdWZt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3867</Words>
  <Characters>20882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Jessica Pires Cardoso</cp:lastModifiedBy>
  <cp:revision>2</cp:revision>
  <dcterms:created xsi:type="dcterms:W3CDTF">2025-05-10T23:22:00Z</dcterms:created>
  <dcterms:modified xsi:type="dcterms:W3CDTF">2025-05-10T23:22:00Z</dcterms:modified>
</cp:coreProperties>
</file>