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REPRESENTAÇÕES SOCIAIS/PROFISSIONAIS DOS/AS PROFESSORES/AS SOBRE SUAS PRÁTICAS EM CONTEXTOS DE PANDEMIA E PÓS-PANDEMIA: CONFORMIDADE OU RESISTÊNCIA?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o alinhamento da educação brasileira aos ditames do Banco Mundial, nunca se viu tamanha aceleração das reformas quanto ao que ocorre a partir do “golpe institucional de 2016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”. A partir desse momento, evidencia-se o caráter de redução de gastos e de investimentos na educação, implantação do novo ensino médio, implementação da Base Nacional Curricular-BNCC (Brasil, 2017) e de diretrizes para a formação de professores.  Os impactos têm gerado a necessidade de se repensar os desafios para as mudanças e melhorias das práticas pedagógicas nos contextos de pandemia e pós-pandemia e suas implicações na geração de conformidade ou resistência.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Nessa direção, o texto, em primeiro lugar, indica alguns dos desafios e perspectivas das práticas em tempos neoliberais pandêmicos. Em uma segunda etapa, contextualiza a pesquisa, trazendo uma síntese dos dados.  E, em um terceiro momento, apresenta e discute se as representações sociais/profissionais dos/as professores/as, que atuam em escolas públicas da Baixada Santista, caminham na direção da conformidade ou da resistência.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forma de compreensão das representações sociais/profissionais abordaremos aqui, em princípio, elementos da Teoria das Representações Sociais, de Serge Moscovici (1978), e da Teoria da Ação, de Bourdieu (1997, 1998a, 1998b). Abdalla (2017), de acordo com Blin (1997), ajuda-nos a compreender essas teorias, esclarecendo que as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representações profissionais</w:t>
      </w:r>
      <w:r w:rsidDel="00000000" w:rsidR="00000000" w:rsidRPr="00000000">
        <w:rPr>
          <w:rFonts w:ascii="Arial" w:cs="Arial" w:eastAsia="Arial" w:hAnsi="Arial"/>
          <w:rtl w:val="0"/>
        </w:rPr>
        <w:t xml:space="preserve"> “s</w:t>
      </w:r>
      <w:r w:rsidDel="00000000" w:rsidR="00000000" w:rsidRPr="00000000">
        <w:rPr>
          <w:rFonts w:ascii="Arial" w:cs="Arial" w:eastAsia="Arial" w:hAnsi="Arial"/>
          <w:sz w:val="27"/>
          <w:szCs w:val="27"/>
          <w:highlight w:val="white"/>
          <w:rtl w:val="0"/>
        </w:rPr>
        <w:t xml:space="preserve">ão as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representações sociais que se referem aos papéis profissionais e dependem, sobretudo, da natureza social dos sujeitos e das características da situação de interação vivenciada” (Abdalla, 2017, p. 176).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  <w:highlight w:val="white"/>
        </w:rPr>
      </w:pPr>
      <w:bookmarkStart w:colFirst="0" w:colLast="0" w:name="_heading=h.rok14gsy3jnx" w:id="0"/>
      <w:bookmarkEnd w:id="0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Quando se pensa em movimentos de resistência que aconteceram nos contextos da pandemia e da pós-pandemia, em especial, pelos retrocessos das políticas públicas educacionais, há que se refletir, também, sobre como superar tantos desafios sociais e profissionais. Nesta perspectiva, Bourdieu (1997, p. 63) nos ajuda a pensar sobre o “[...] estado do sistema de possibilidades [...], que são oferecidas pela história e que determinam o que é possível e impossível de fazer ou de pensar em um dado momento do tempo, em um campo determinado [...]”. É, neste tempo de crise, que é preciso reconhecer as saídas e impulsionar a educação pública a fim de que se possa defender os direitos de todos.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Também foi possível, com Moscovici (1978, p.26), reconhecer a noção de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representação social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como “[...] uma modalidade de conhecimento particular que tem por função a elaboração de comportamentos e a comunicação entre indivíduos”.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acordo este autor, a representação social se mostra como um conjunto de “proposições, de reações e de avaliações que tocam pontos particulares, ditos aqui e ali”. E Moscovici (1978, p. 62) ainda afirma que “[...] essas proposições, relações e avaliações são organizadas de maneira diferente conforme as classes, as culturas ou os grupos [...]”. 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disso, foi necessário compreender, com Moscovici (2012), as dimensões das representações sociais, que se configuram na: atitude, informação e campo de representação ou imagem. Nesse sentido, o campo de representação/imagem vem das tensões internas das quais se originam as percepções e os conceitos que vão determinar as práticas pedagógicas e suas implicações de conformidade ou resistência. 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Compreendemos, assim, que as práticas dos/as professores/as estão permeadas em interações complexas, em especial, ao tratarmos de contextos tão sofridos, como os da pandemia e pós-pandemia. Em nosso caso, os anos de pandemia e pós-pandemia e as ações das políticas educacionais neoliberais impostas à escola e a seus professores/as e estudantes fizeram com que a mesma se tornasse um espaço onde os conflitos sociais deságuam. 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sabendo da responsabilidade que as práticas exigem dos professores, Abdalla (2006, p.24) ajuda-nos a pensar sobre alguns aspectos: i) o primeiro deles se sustenta na força da representação, como espaço possível de enfrentar os desafios da profissão; e ii) o segundo aposta na importância do envolvimento do/a professor/a com a escola, como espaço possível para expressar suas necessidades e possibilitar a formação/construção de sua identidade profissional. Destacaremos, em seguida, uma síntese dos dados e alguns achados.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bookmarkStart w:colFirst="0" w:colLast="0" w:name="_heading=h.hvfyrywf813v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Os sujeitos participantes da pesquisa são os/as professores/as dos anos finais do Ensino Fundamental das escolas que pertencem às redes de ensino municipais da Baixada Santista. Entendemos que investigar esses/as professores/as seria uma maneira de compreender seus movimentos e suas concepções enquanto docentes que são. Dentre essas concepções, consideramos importante conhecer sobre suas trajetórias formativas, suas escolhas profissionais, suas práticas e como se veem ou quais são os sentimentos enquanto profissionais da educação. A intenção é a de identificar as representações sociais/profissionais desses/as professores/as sobre suas próprias práticas, nestes tempos tão difíceis e os desafios a serem enfrentados, conforme dados do Questionário e das entrevistas. 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 sentido, 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Questionário </w:t>
      </w:r>
      <w:r w:rsidDel="00000000" w:rsidR="00000000" w:rsidRPr="00000000">
        <w:rPr>
          <w:rFonts w:ascii="Arial" w:cs="Arial" w:eastAsia="Arial" w:hAnsi="Arial"/>
          <w:rtl w:val="0"/>
        </w:rPr>
        <w:t xml:space="preserve">foi um caminho possível para conhecer os sujeitos de forma mais específica, buscando abordar, em especial: a) as representações dos/as professores/as dos anos finais do ensino fundamental da Baixada Santista sobre a sua identidade profissional; e b) os efeitos das políticas educacionais e as ações da pandemia sobre suas práticas e na vida escolar dos estudantes.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coleta de dados ocorreu por meio de Questionário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on-line </w:t>
      </w:r>
      <w:r w:rsidDel="00000000" w:rsidR="00000000" w:rsidRPr="00000000">
        <w:rPr>
          <w:rFonts w:ascii="Arial" w:cs="Arial" w:eastAsia="Arial" w:hAnsi="Arial"/>
          <w:rtl w:val="0"/>
        </w:rPr>
        <w:t xml:space="preserve">autoaplicado, disponibilizado na Plataforma Google Forms. Os dados foram coletados no final de 2021 e início do ano de 2022. A amostra da pesquisa foi constituída por 30 professores/as das redes públicas da Educação Básica da Região Metropolitana da Baixada Santista, que aceitaram participar do Questionário, e 10 docentes que aceitaram participar da entrevista, que foi realizada no início de 2024.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longo do trabalho, tentamos, de acordo com Bourdieu (1998b), trabalharmos na compressão das lógicas de conformidade ou de resistência (influenciando a atitude docente frente ao seu trabalho). Dessa forma, os resultados caminham no sentido de que há nas falas dos/as professores/as, o apontamento para uma resistência. Como aponta Bourdieu (1998a, p.256), ao dizer que “ao oferecer ao docente a possibilidade de jogar com as regras institucionais”, está se impondo a ele “o reconhecimento da regra” e “a autoridade da instituição”, colocando-o, assim, a “serviço da instituição e, ademais, a serviço das funções sociais da instituição”.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bookmarkStart w:colFirst="0" w:colLast="0" w:name="_heading=h.5ukxgky5lpgf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Assim, aparece a resistência frente às condições de trabalho (baixos salários, falta de valorização, condições materiais precárias, ausência de plano de carreira e intensa jornada de trabalho) e às políticas públicas, principalmente relativas à formação inicial, com forte viés neoliberal (os ataques à escola pública). Também, não podemos deixar de indicar os problemas advindos das imposições do monitoramento exercido pelo conservadorismo de algumas famílias. Bourdieu (1997) diria que há razões práticas para os/as professores/as agirem como agem. Ou seja, constroem “[...] uma representação do espaço social capaz de dar conta da distribuição dos poderes, dos privilégios e também dos estilos de vida” (Bourdieu, 1997, p.32).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Nesta perspectiva, Abdalla (2008, p. 29) considera importante “compreender as representações sociais constituídas por meio das ‘lógicas de conformidade e/ou de confrontação’ que desvendam, a nosso ver, este ‘caráter estruturante’ das identidades sociais e/ou profissionais” (grifos da autora).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right="16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fim, enfatizamos que houve inúmeros desafios para o trabalho docente durante o período da pandemia. Além dos desenvolvidos, aqui neste texto, os/as professores/as tiveram que enfrentar o isolamento social, o distanciamento, aprender a lidar com as tecnologias de forma rápida e, ainda, implantar a “busca ativa” de estudantes. Dessa forma, foi muito importante que tivessem estratégias de ação e de superação para enfrentar essas situações no dia a dia da profissão em defesa de resistências mais propositivas.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  <w:b w:val="1"/>
        </w:rPr>
      </w:pPr>
      <w:bookmarkStart w:colFirst="0" w:colLast="0" w:name="_heading=h.jby3fty8159g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242"/>
        </w:tabs>
        <w:spacing w:after="0" w:before="2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ABDALLA, Maria de Fátima Barbosa.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senso prático de ser e estar na profissão.</w:t>
      </w:r>
      <w:r w:rsidDel="00000000" w:rsidR="00000000" w:rsidRPr="00000000">
        <w:rPr>
          <w:rFonts w:ascii="Arial" w:cs="Arial" w:eastAsia="Arial" w:hAnsi="Arial"/>
          <w:rtl w:val="0"/>
        </w:rPr>
        <w:t xml:space="preserve"> São Paulo: Cortez, 2006.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242"/>
        </w:tabs>
        <w:spacing w:after="0" w:before="2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ABDALLA, Maria de Fátima Barbosa. O sentido do trabalho docente e a profissionalização: representações sociais dos professores formadores.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Final de Pós-Doutorado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Paulo: Pontifícia Universidade Católica/PUC-SP, 2008.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242"/>
        </w:tabs>
        <w:spacing w:after="0" w:before="2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ABDALLA, Maria de Fátima Barbosa. Formação, profissionalidade e representações profissionais dos professores: concepções em jogo.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Revista da Educação da PUC- Campinas</w:t>
      </w:r>
      <w:r w:rsidDel="00000000" w:rsidR="00000000" w:rsidRPr="00000000">
        <w:rPr>
          <w:rFonts w:ascii="Arial" w:cs="Arial" w:eastAsia="Arial" w:hAnsi="Arial"/>
          <w:rtl w:val="0"/>
        </w:rPr>
        <w:t xml:space="preserve">. Campinas, v.22, n.2, p 171-190, mai./ago. 2017.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242"/>
        </w:tabs>
        <w:spacing w:after="0" w:before="2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BLIN, Jean-François.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Représentations, pratiques et identités professionnelles.</w:t>
      </w:r>
      <w:r w:rsidDel="00000000" w:rsidR="00000000" w:rsidRPr="00000000">
        <w:rPr>
          <w:rFonts w:ascii="Arial" w:cs="Arial" w:eastAsia="Arial" w:hAnsi="Arial"/>
          <w:rtl w:val="0"/>
        </w:rPr>
        <w:t xml:space="preserve"> Paris: L’Harmattan, 1997.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242"/>
        </w:tabs>
        <w:spacing w:after="0" w:before="2" w:line="360" w:lineRule="auto"/>
        <w:ind w:right="16"/>
        <w:jc w:val="both"/>
        <w:rPr>
          <w:rFonts w:ascii="Arial" w:cs="Arial" w:eastAsia="Arial" w:hAnsi="Arial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701" w:top="1701" w:left="1701" w:right="1701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BRASIL. Ministério da Educação. Base Nacional Comum Curricular.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Resolução CNE/CP n, 2, de 22 de dezembro de 201</w:t>
      </w:r>
      <w:r w:rsidDel="00000000" w:rsidR="00000000" w:rsidRPr="00000000">
        <w:rPr>
          <w:rFonts w:ascii="Arial" w:cs="Arial" w:eastAsia="Arial" w:hAnsi="Arial"/>
          <w:rtl w:val="0"/>
        </w:rPr>
        <w:t xml:space="preserve">7. Institui e orienta a implantação da Base Nacional Comum Curricular, a ser respeitada obrigatoriamente ao longo das etapas e respectivas modalidades no âmbito da Educação Básica. Diário Oficial da União, Brasília, 22 de dezembro de 2017, Seção 1, p. 41- 44.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BOURDIEU, Pierre.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Razões práticas:</w:t>
      </w:r>
      <w:r w:rsidDel="00000000" w:rsidR="00000000" w:rsidRPr="00000000">
        <w:rPr>
          <w:rFonts w:ascii="Arial" w:cs="Arial" w:eastAsia="Arial" w:hAnsi="Arial"/>
          <w:rtl w:val="0"/>
        </w:rPr>
        <w:t xml:space="preserve"> sobre a teoria da ação. Campinas: Papirus, 1997a [2018], [recurso eletrônico].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BOURDIEU, Pierre.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economia das trocas simbólica</w:t>
      </w:r>
      <w:r w:rsidDel="00000000" w:rsidR="00000000" w:rsidRPr="00000000">
        <w:rPr>
          <w:rFonts w:ascii="Arial" w:cs="Arial" w:eastAsia="Arial" w:hAnsi="Arial"/>
          <w:rtl w:val="0"/>
        </w:rPr>
        <w:t xml:space="preserve">s. 5. ed. São Paulo: Perspectiva, 1998a. 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BOURDIEU, Pierre.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poder simbólico</w:t>
      </w:r>
      <w:r w:rsidDel="00000000" w:rsidR="00000000" w:rsidRPr="00000000">
        <w:rPr>
          <w:rFonts w:ascii="Arial" w:cs="Arial" w:eastAsia="Arial" w:hAnsi="Arial"/>
          <w:rtl w:val="0"/>
        </w:rPr>
        <w:t xml:space="preserve">. 2. ed. Rio de Janeiro: Bertrand Brasil, 1998b.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MOSCOVICI, Serge.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representação social da psicanálise</w:t>
      </w:r>
      <w:r w:rsidDel="00000000" w:rsidR="00000000" w:rsidRPr="00000000">
        <w:rPr>
          <w:rFonts w:ascii="Arial" w:cs="Arial" w:eastAsia="Arial" w:hAnsi="Arial"/>
          <w:rtl w:val="0"/>
        </w:rPr>
        <w:t xml:space="preserve">. Rio de Janeiro: Zahar, 1978.</w:t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MOSCOVICI, Serge.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psicanálise, sua imagem e seu público</w:t>
      </w:r>
      <w:r w:rsidDel="00000000" w:rsidR="00000000" w:rsidRPr="00000000">
        <w:rPr>
          <w:rFonts w:ascii="Arial" w:cs="Arial" w:eastAsia="Arial" w:hAnsi="Arial"/>
          <w:rtl w:val="0"/>
        </w:rPr>
        <w:t xml:space="preserve">. Petrópolis: Vozes, 2012.</w:t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0" w:right="16.06299212598571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SANTOS, Vinício de Macedo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Educação pública brasileira: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lengua de maderna </w:t>
      </w:r>
      <w:r w:rsidDel="00000000" w:rsidR="00000000" w:rsidRPr="00000000">
        <w:rPr>
          <w:rFonts w:ascii="Arial" w:cs="Arial" w:eastAsia="Arial" w:hAnsi="Arial"/>
          <w:rtl w:val="0"/>
        </w:rPr>
        <w:t xml:space="preserve">e políticas de apagamento. In: BOTO, C., SANTOS, V. M.; SLVA, V. B.; OLIVEIRA, Z. V.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escola pública em crise</w:t>
      </w:r>
      <w:r w:rsidDel="00000000" w:rsidR="00000000" w:rsidRPr="00000000">
        <w:rPr>
          <w:rFonts w:ascii="Arial" w:cs="Arial" w:eastAsia="Arial" w:hAnsi="Arial"/>
          <w:rtl w:val="0"/>
        </w:rPr>
        <w:t xml:space="preserve">: inflexões, apagamentos e desafios. São Paulo: FEUSP, 2020. p.271-288.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right="16.06299212598571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right="1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701" w:top="1701" w:left="1701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8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golpe institucional de 2016 representou uma repactuação de forças econômicas, políticas e midiáticas a partir da qual se estabeleceu o recrudescimento da política econômica neoliberal, com impactos sérios sobre as políticas sociais e a orientação das ações do Estado, atingindo gravemente a Educação (Santos, 2020, p, 303).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b w:val="1"/>
        <w:color w:val="0a3041"/>
      </w:rPr>
    </w:pPr>
    <w:r w:rsidDel="00000000" w:rsidR="00000000" w:rsidRPr="00000000">
      <w:rPr>
        <w:rFonts w:ascii="Arial" w:cs="Arial" w:eastAsia="Arial" w:hAnsi="Arial"/>
        <w:b w:val="1"/>
        <w:color w:val="0a3041"/>
        <w:sz w:val="28"/>
        <w:szCs w:val="28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-322988</wp:posOffset>
          </wp:positionV>
          <wp:extent cx="2571357" cy="1219343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80" w:before="360"/>
      <w:outlineLvl w:val="0"/>
    </w:pPr>
    <w:rPr>
      <w:rFonts w:ascii="Play" w:cs="Play" w:eastAsia="Play" w:hAnsi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/>
      <w:outlineLvl w:val="1"/>
    </w:pPr>
    <w:rPr>
      <w:rFonts w:ascii="Play" w:cs="Play" w:eastAsia="Play" w:hAnsi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16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/>
      <w:outlineLvl w:val="3"/>
    </w:pPr>
    <w:rPr>
      <w:i w:val="1"/>
      <w:color w:val="0f476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8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i w:val="1"/>
      <w:color w:val="595959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DWt03dNVw7yQ7OS942cql7Kow==">CgMxLjAyDmgucm9rMTRnc3kzam54Mg5oLmh2ZnlyeXdmODEzdjIOaC41dWt4Z2t5NWxwZ2YyDmguamJ5M2Z0eTgxNTlnOAByITFCVm9GYk9CNUt5UmpFemdTTFBsYXZ1R01seExhWGxoQw==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2025-04-07T15:29:00Z</dcterms:created>
  <dc:creator>Maria de Fátima Barbosa Abdalla</dc:creator>
</cp:coreProperties>
</file>