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B1854" w:rsidRDefault="00A95A01" w:rsidP="00A95A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MANEJO DA SÍNDROME DE HELLP: UMA REVISÃO DE LITERATURA  </w:t>
      </w:r>
    </w:p>
    <w:p w14:paraId="00000002" w14:textId="77777777" w:rsidR="003B1854" w:rsidRDefault="003B1854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B1854" w:rsidRDefault="00A95A01" w:rsidP="00A95A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Rafaella Almeida Oliveira, Mônica Marques Brandão Inácio1</w:t>
      </w:r>
    </w:p>
    <w:p w14:paraId="00000004" w14:textId="77777777" w:rsidR="003B1854" w:rsidRDefault="003B1854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B1854" w:rsidRDefault="00A95A01" w:rsidP="00A95A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Universitário de Goiatuba - UniCerrado1</w:t>
      </w:r>
    </w:p>
    <w:p w14:paraId="00000006" w14:textId="77777777" w:rsidR="003B1854" w:rsidRDefault="00A95A01" w:rsidP="00A95A0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rafaellaalmeida96@icloud.com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7" w14:textId="77777777" w:rsidR="003B1854" w:rsidRDefault="003B1854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49EDD55" w:rsidR="003B1854" w:rsidRDefault="00A95A01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 A síndrome HELLP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Haemolysis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enzymes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Platelets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é identificada pelas iniciais de palavras em inglês referentes à hemólise (He), às enzimas hepáticas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plaquetopenia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tratamento da síndrome HELLP consi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 na interrupção da gravidez, geralmente resultando na resolução das manifestações clínicas e analíticas.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presente estudo tem como propósito analisar e descrever o manejo da síndrome de HELLP, uma urgência obstétrica.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 Pesquisa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tipo revisão bibliográfica envolvendo a utilização do estudo de artigos científicos pesquisados na base de dados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Medicine (PUBMED) e Brasil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Eletronic Library Online (SCIELO), entre os períodos de 2020 a 2024, utilizando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descritor “síndrome HELLP” e “obstetrícia”.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>: A síndrome de HELLP apresenta manifestações clínicas fundamentais que são dor epigástrico, dor abdominal localizada no quadrante superior direito, náuseas e vômitos. No exame físico, 85% dos paciente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apresentam hipertensão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proteinúria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sendo também comum a presença de edema e ganho de peso nos dias anteriores. O diagnóstico é estabelecido pela presença de alterações nos parâmetros analíticos que constituem o acrônimo da síndrome HELLP: hemólise,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evação de enzimas hepáticas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plaquetopenia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manejo da síndrome de HELLP se dá por 3 opções: interrupção imediata, interrupção em até 48 horas ou manejo expectante &gt;48-72 horas. Inicialmente, o paciente será tratado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fluidoterapia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tratamento anti-hip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ertensivo em caso de hipertensão arterial e tratamento com sulfato de magnésio para prevenir complicações neurológicas. </w:t>
      </w:r>
      <w:r>
        <w:rPr>
          <w:rFonts w:ascii="Times New Roman" w:eastAsia="Times New Roman" w:hAnsi="Times New Roman" w:cs="Times New Roman"/>
          <w:sz w:val="24"/>
          <w:szCs w:val="24"/>
        </w:rPr>
        <w:t>Em gestações abaixo de 34 semanas, há acordo sobre o manejo conservador da síndrome HELLP por 48-72 horas para permitir a administração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corticosteróides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maturação pulmonar fetal. A interrupção imediata deve ser escolhida para gestantes com mais de 34 semanas com preferência de parto normal. Interrupção após 48 horas para gestantes com menos de 34 semanas após estabilização e uso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corticoide para maturação pulmonar fetal.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manejo da síndrome de HELLP em gestantes com mais de 34 semanas é bem estabelecido com a interrupção da gravidez. No entanto, em gestantes com menos de 34 semanas, persiste a controvérsia sobre o uso </w:t>
      </w:r>
      <w:r>
        <w:rPr>
          <w:rFonts w:ascii="Times New Roman" w:eastAsia="Times New Roman" w:hAnsi="Times New Roman" w:cs="Times New Roman"/>
          <w:sz w:val="24"/>
          <w:szCs w:val="24"/>
        </w:rPr>
        <w:t>de corticosteroides para maturação pulmonar, apesar de sua utilização prática.</w:t>
      </w:r>
    </w:p>
    <w:p w14:paraId="00000009" w14:textId="5A77E4B1" w:rsidR="003B1854" w:rsidRDefault="00A95A01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Gravidez.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Obstetrícia.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Urgência e Emergência.</w:t>
      </w:r>
    </w:p>
    <w:p w14:paraId="0000000A" w14:textId="77777777" w:rsidR="003B1854" w:rsidRDefault="00A95A01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Urgência e Emergência em Medicina, Enfermagem e Odontologia </w:t>
      </w:r>
    </w:p>
    <w:p w14:paraId="0000000B" w14:textId="77777777" w:rsidR="003B1854" w:rsidRDefault="003B1854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B1854" w:rsidRDefault="003B1854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B1854" w:rsidRDefault="003B1854" w:rsidP="00A95A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1854" w:rsidSect="00A95A01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4"/>
    <w:rsid w:val="003B1854"/>
    <w:rsid w:val="00A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A63"/>
  <w15:docId w15:val="{3081CF30-99EE-45C5-9407-3E523AE4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Rafaella Almeida Oliveira</cp:lastModifiedBy>
  <cp:revision>2</cp:revision>
  <dcterms:created xsi:type="dcterms:W3CDTF">2024-03-03T23:30:00Z</dcterms:created>
  <dcterms:modified xsi:type="dcterms:W3CDTF">2024-03-03T23:34:00Z</dcterms:modified>
</cp:coreProperties>
</file>