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27CF9" w14:textId="77777777" w:rsidR="00E5097D" w:rsidRDefault="00E5097D">
      <w:pPr>
        <w:widowControl w:val="0"/>
        <w:pBdr>
          <w:top w:val="nil"/>
          <w:left w:val="nil"/>
          <w:bottom w:val="nil"/>
          <w:right w:val="nil"/>
          <w:between w:val="nil"/>
        </w:pBdr>
        <w:spacing w:line="276" w:lineRule="auto"/>
        <w:jc w:val="left"/>
      </w:pPr>
    </w:p>
    <w:p w14:paraId="60F7E6F0" w14:textId="77777777" w:rsidR="00E5097D" w:rsidRDefault="00E5097D">
      <w:pPr>
        <w:jc w:val="center"/>
        <w:rPr>
          <w:b/>
          <w:color w:val="FF0000"/>
          <w:sz w:val="28"/>
          <w:szCs w:val="28"/>
        </w:rPr>
      </w:pPr>
    </w:p>
    <w:p w14:paraId="7E130C43" w14:textId="0D61A213" w:rsidR="00E5097D" w:rsidRPr="007822A4" w:rsidRDefault="00000000">
      <w:pPr>
        <w:jc w:val="center"/>
        <w:rPr>
          <w:b/>
          <w:bCs/>
          <w:color w:val="C00000"/>
          <w:sz w:val="28"/>
          <w:szCs w:val="28"/>
        </w:rPr>
      </w:pPr>
      <w:r w:rsidRPr="007822A4">
        <w:rPr>
          <w:b/>
          <w:bCs/>
          <w:color w:val="000000"/>
          <w:sz w:val="28"/>
          <w:szCs w:val="28"/>
        </w:rPr>
        <w:t>Sustainable bioformulation based on </w:t>
      </w:r>
      <w:r w:rsidRPr="007822A4">
        <w:rPr>
          <w:i/>
          <w:iCs/>
          <w:color w:val="000000"/>
          <w:sz w:val="28"/>
          <w:szCs w:val="28"/>
        </w:rPr>
        <w:t>Bacillus pumilus</w:t>
      </w:r>
      <w:r w:rsidRPr="007822A4">
        <w:rPr>
          <w:b/>
          <w:bCs/>
          <w:color w:val="000000"/>
          <w:sz w:val="28"/>
          <w:szCs w:val="28"/>
        </w:rPr>
        <w:t xml:space="preserve"> RS11 for the control of </w:t>
      </w:r>
      <w:r>
        <w:rPr>
          <w:b/>
          <w:bCs/>
          <w:color w:val="000000"/>
          <w:sz w:val="28"/>
          <w:szCs w:val="28"/>
        </w:rPr>
        <w:t>whiteflies</w:t>
      </w:r>
      <w:r w:rsidRPr="007822A4">
        <w:rPr>
          <w:b/>
          <w:bCs/>
          <w:color w:val="000000"/>
          <w:sz w:val="28"/>
          <w:szCs w:val="28"/>
        </w:rPr>
        <w:t xml:space="preserve"> (</w:t>
      </w:r>
      <w:r w:rsidRPr="007822A4">
        <w:rPr>
          <w:i/>
          <w:iCs/>
          <w:color w:val="000000"/>
          <w:sz w:val="28"/>
          <w:szCs w:val="28"/>
        </w:rPr>
        <w:t>Bemisia tabaci</w:t>
      </w:r>
      <w:r w:rsidRPr="007822A4">
        <w:rPr>
          <w:b/>
          <w:bCs/>
          <w:color w:val="000000"/>
          <w:sz w:val="28"/>
          <w:szCs w:val="28"/>
        </w:rPr>
        <w:t> MEAM1)</w:t>
      </w:r>
    </w:p>
    <w:p w14:paraId="5C6B4FA9" w14:textId="77777777" w:rsidR="00E5097D" w:rsidRDefault="00E5097D">
      <w:pPr>
        <w:jc w:val="center"/>
      </w:pPr>
    </w:p>
    <w:p w14:paraId="706414AA" w14:textId="0DA657CE" w:rsidR="00E01903" w:rsidRPr="00C20852" w:rsidRDefault="00000000" w:rsidP="00E01903">
      <w:pPr>
        <w:ind w:left="360"/>
        <w:jc w:val="center"/>
        <w:rPr>
          <w:bCs/>
          <w:sz w:val="22"/>
          <w:szCs w:val="22"/>
          <w:lang w:val="pt-BR"/>
        </w:rPr>
      </w:pPr>
      <w:r w:rsidRPr="00C20852">
        <w:rPr>
          <w:bCs/>
          <w:sz w:val="22"/>
          <w:szCs w:val="22"/>
          <w:u w:val="single"/>
          <w:lang w:val="pt-BR"/>
        </w:rPr>
        <w:t>Laisa de Sousa Carvalho</w:t>
      </w:r>
      <w:r w:rsidRPr="00C20852">
        <w:rPr>
          <w:bCs/>
          <w:sz w:val="22"/>
          <w:szCs w:val="22"/>
          <w:u w:val="single"/>
          <w:vertAlign w:val="superscript"/>
          <w:lang w:val="pt-BR"/>
        </w:rPr>
        <w:t>1</w:t>
      </w:r>
      <w:r w:rsidRPr="00C20852">
        <w:rPr>
          <w:bCs/>
          <w:sz w:val="22"/>
          <w:szCs w:val="22"/>
          <w:lang w:val="pt-BR"/>
        </w:rPr>
        <w:t>, Sara do Lago Gomes</w:t>
      </w:r>
      <w:r w:rsidR="00B73620">
        <w:rPr>
          <w:bCs/>
          <w:sz w:val="22"/>
          <w:szCs w:val="22"/>
          <w:vertAlign w:val="superscript"/>
          <w:lang w:val="pt-BR"/>
        </w:rPr>
        <w:t>1</w:t>
      </w:r>
      <w:r w:rsidRPr="00C20852">
        <w:rPr>
          <w:bCs/>
          <w:sz w:val="22"/>
          <w:szCs w:val="22"/>
          <w:lang w:val="pt-BR"/>
        </w:rPr>
        <w:t>, Pedro Lucas Nascimento Solano</w:t>
      </w:r>
      <w:r w:rsidRPr="00C20852">
        <w:rPr>
          <w:bCs/>
          <w:sz w:val="22"/>
          <w:szCs w:val="22"/>
          <w:vertAlign w:val="superscript"/>
          <w:lang w:val="pt-BR"/>
        </w:rPr>
        <w:t>1</w:t>
      </w:r>
      <w:r w:rsidRPr="00C20852">
        <w:rPr>
          <w:bCs/>
          <w:sz w:val="22"/>
          <w:szCs w:val="22"/>
          <w:lang w:val="pt-BR"/>
        </w:rPr>
        <w:t>, Francisca Diana da Silva Araujo</w:t>
      </w:r>
      <w:r w:rsidR="007822A4" w:rsidRPr="00C20852">
        <w:rPr>
          <w:bCs/>
          <w:sz w:val="22"/>
          <w:szCs w:val="22"/>
          <w:vertAlign w:val="superscript"/>
          <w:lang w:val="pt-BR"/>
        </w:rPr>
        <w:t>1,</w:t>
      </w:r>
      <w:r w:rsidRPr="00C20852">
        <w:rPr>
          <w:bCs/>
          <w:sz w:val="22"/>
          <w:szCs w:val="22"/>
          <w:lang w:val="pt-BR"/>
        </w:rPr>
        <w:t>*</w:t>
      </w:r>
    </w:p>
    <w:p w14:paraId="4A79AF6C" w14:textId="77777777" w:rsidR="00E01903" w:rsidRPr="00C20852" w:rsidRDefault="00E01903" w:rsidP="00E01903">
      <w:pPr>
        <w:ind w:left="360"/>
        <w:rPr>
          <w:b/>
          <w:sz w:val="22"/>
          <w:szCs w:val="22"/>
          <w:u w:val="single"/>
          <w:lang w:val="pt-BR"/>
        </w:rPr>
      </w:pPr>
    </w:p>
    <w:p w14:paraId="72B20CF7" w14:textId="2B999124" w:rsidR="00E01903" w:rsidRPr="00C20852" w:rsidRDefault="00000000">
      <w:pPr>
        <w:jc w:val="center"/>
        <w:rPr>
          <w:i/>
          <w:sz w:val="18"/>
          <w:szCs w:val="18"/>
          <w:lang w:val="pt-BR"/>
        </w:rPr>
      </w:pPr>
      <w:commentRangeStart w:id="0"/>
      <w:r w:rsidRPr="00C20852">
        <w:rPr>
          <w:i/>
          <w:sz w:val="18"/>
          <w:szCs w:val="18"/>
          <w:vertAlign w:val="superscript"/>
          <w:lang w:val="pt-BR"/>
        </w:rPr>
        <w:t>1</w:t>
      </w:r>
      <w:r w:rsidR="00EA7B18" w:rsidRPr="00C20852">
        <w:rPr>
          <w:i/>
          <w:sz w:val="18"/>
          <w:szCs w:val="18"/>
          <w:lang w:val="pt-BR"/>
        </w:rPr>
        <w:t xml:space="preserve">Campus Professora Cinobelina Elvas, Federal </w:t>
      </w:r>
      <w:r w:rsidR="00BD56F3">
        <w:rPr>
          <w:i/>
          <w:sz w:val="18"/>
          <w:szCs w:val="18"/>
          <w:lang w:val="pt-BR"/>
        </w:rPr>
        <w:t>University of</w:t>
      </w:r>
      <w:r w:rsidR="00EA7B18" w:rsidRPr="00C20852">
        <w:rPr>
          <w:i/>
          <w:sz w:val="18"/>
          <w:szCs w:val="18"/>
          <w:lang w:val="pt-BR"/>
        </w:rPr>
        <w:t xml:space="preserve"> Piauí, Bom Jesus, P</w:t>
      </w:r>
      <w:r w:rsidR="00BD56F3">
        <w:rPr>
          <w:i/>
          <w:sz w:val="18"/>
          <w:szCs w:val="18"/>
          <w:lang w:val="pt-BR"/>
        </w:rPr>
        <w:t xml:space="preserve">I, </w:t>
      </w:r>
      <w:r w:rsidR="00BD56F3" w:rsidRPr="00BD56F3">
        <w:rPr>
          <w:i/>
          <w:sz w:val="18"/>
          <w:szCs w:val="18"/>
          <w:lang w:val="pt-BR"/>
        </w:rPr>
        <w:t>64900-000,</w:t>
      </w:r>
      <w:r w:rsidR="00EA7B18" w:rsidRPr="00C20852">
        <w:rPr>
          <w:i/>
          <w:sz w:val="18"/>
          <w:szCs w:val="18"/>
          <w:lang w:val="pt-BR"/>
        </w:rPr>
        <w:t xml:space="preserve"> </w:t>
      </w:r>
      <w:r w:rsidRPr="00C20852">
        <w:rPr>
          <w:i/>
          <w:sz w:val="18"/>
          <w:szCs w:val="18"/>
          <w:lang w:val="pt-BR"/>
        </w:rPr>
        <w:t>Brazil</w:t>
      </w:r>
      <w:r w:rsidR="00EA7B18" w:rsidRPr="00C20852">
        <w:rPr>
          <w:i/>
          <w:sz w:val="18"/>
          <w:szCs w:val="18"/>
          <w:lang w:val="pt-BR"/>
        </w:rPr>
        <w:t>.</w:t>
      </w:r>
      <w:commentRangeEnd w:id="0"/>
      <w:r w:rsidR="00BD56F3" w:rsidRPr="00C20852">
        <w:rPr>
          <w:rStyle w:val="Refdecomentrio"/>
          <w:i/>
          <w:sz w:val="18"/>
          <w:szCs w:val="18"/>
          <w:lang w:val="pt-BR"/>
        </w:rPr>
        <w:commentReference w:id="0"/>
      </w:r>
    </w:p>
    <w:p w14:paraId="6A7666E4" w14:textId="488B42FD" w:rsidR="00E5097D" w:rsidRPr="00E01903" w:rsidRDefault="00000000">
      <w:pPr>
        <w:jc w:val="center"/>
        <w:rPr>
          <w:bCs/>
          <w:i/>
          <w:iCs/>
        </w:rPr>
      </w:pPr>
      <w:r w:rsidRPr="00E01903">
        <w:rPr>
          <w:bCs/>
          <w:i/>
          <w:iCs/>
          <w:sz w:val="18"/>
          <w:szCs w:val="18"/>
        </w:rPr>
        <w:t>*diana.araujo@ufpi.edu.br</w:t>
      </w:r>
    </w:p>
    <w:p w14:paraId="11C90845" w14:textId="186A51DA" w:rsidR="00E5097D" w:rsidRDefault="00E5097D" w:rsidP="00EA7B18"/>
    <w:p w14:paraId="684EE9A0" w14:textId="77777777" w:rsidR="00E5097D" w:rsidRDefault="00E5097D">
      <w:pPr>
        <w:jc w:val="center"/>
      </w:pPr>
    </w:p>
    <w:p w14:paraId="0EDF381E" w14:textId="24962F62" w:rsidR="007822A4" w:rsidRPr="002E3F58" w:rsidRDefault="002E3F58" w:rsidP="007822A4">
      <w:pPr>
        <w:spacing w:before="100" w:beforeAutospacing="1" w:after="100" w:afterAutospacing="1"/>
        <w:rPr>
          <w:color w:val="000000"/>
          <w:lang w:val="en-US" w:eastAsia="pt-BR"/>
        </w:rPr>
      </w:pPr>
      <w:r>
        <w:rPr>
          <w:color w:val="000000"/>
          <w:lang w:eastAsia="pt-BR"/>
        </w:rPr>
        <w:t>The whitefly (</w:t>
      </w:r>
      <w:r w:rsidR="00000000" w:rsidRPr="002E3F58">
        <w:rPr>
          <w:i/>
          <w:iCs/>
          <w:color w:val="000000"/>
          <w:lang w:eastAsia="pt-BR"/>
        </w:rPr>
        <w:t>Bemisia tabaci</w:t>
      </w:r>
      <w:r w:rsidR="00000000" w:rsidRPr="002E3F58">
        <w:rPr>
          <w:color w:val="000000"/>
          <w:lang w:eastAsia="pt-BR"/>
        </w:rPr>
        <w:t xml:space="preserve"> MEAM1) is </w:t>
      </w:r>
      <w:r w:rsidR="00000000">
        <w:rPr>
          <w:color w:val="000000"/>
          <w:lang w:eastAsia="pt-BR"/>
        </w:rPr>
        <w:t>among</w:t>
      </w:r>
      <w:r w:rsidR="00000000" w:rsidRPr="002E3F58">
        <w:rPr>
          <w:color w:val="000000"/>
          <w:lang w:eastAsia="pt-BR"/>
        </w:rPr>
        <w:t xml:space="preserve"> the most important agricultural pests</w:t>
      </w:r>
      <w:r w:rsidR="00000000">
        <w:rPr>
          <w:color w:val="000000"/>
          <w:lang w:eastAsia="pt-BR"/>
        </w:rPr>
        <w:t xml:space="preserve"> and is</w:t>
      </w:r>
      <w:r w:rsidR="00000000" w:rsidRPr="002E3F58">
        <w:rPr>
          <w:color w:val="000000"/>
          <w:lang w:eastAsia="pt-BR"/>
        </w:rPr>
        <w:t xml:space="preserve"> responsible for significant yield losses </w:t>
      </w:r>
      <w:r w:rsidR="00000000">
        <w:rPr>
          <w:color w:val="000000"/>
          <w:lang w:eastAsia="pt-BR"/>
        </w:rPr>
        <w:t>because of</w:t>
      </w:r>
      <w:r w:rsidR="00000000" w:rsidRPr="002E3F58">
        <w:rPr>
          <w:color w:val="000000"/>
          <w:lang w:eastAsia="pt-BR"/>
        </w:rPr>
        <w:t xml:space="preserve"> its high dispersal capacity and ability to infest multiple crops. Conventional control based on chemical insecticides has promoted resistance development and </w:t>
      </w:r>
      <w:r w:rsidR="00000000">
        <w:rPr>
          <w:color w:val="000000"/>
          <w:lang w:eastAsia="pt-BR"/>
        </w:rPr>
        <w:t xml:space="preserve">has </w:t>
      </w:r>
      <w:r w:rsidR="00000000" w:rsidRPr="002E3F58">
        <w:rPr>
          <w:color w:val="000000"/>
          <w:lang w:eastAsia="pt-BR"/>
        </w:rPr>
        <w:t>caused negative environmental impacts, reinforcing the need for sustainable alternatives. In this context, considering that microorganisms with biocontrol potential often exhibit multiple mechanisms of action, including the production of bioactive metabolites with insecticidal activity, this study aimed to evaluate the bioinsecticidal potential of a formulation containing the endophytic bacterium </w:t>
      </w:r>
      <w:r w:rsidR="00000000" w:rsidRPr="002E3F58">
        <w:rPr>
          <w:i/>
          <w:iCs/>
          <w:color w:val="000000"/>
          <w:lang w:eastAsia="pt-BR"/>
        </w:rPr>
        <w:t>Bacillus pumilus</w:t>
      </w:r>
      <w:r w:rsidR="00000000" w:rsidRPr="002E3F58">
        <w:rPr>
          <w:color w:val="000000"/>
          <w:lang w:eastAsia="pt-BR"/>
        </w:rPr>
        <w:t xml:space="preserve"> RS11, </w:t>
      </w:r>
      <w:r w:rsidR="00000000">
        <w:rPr>
          <w:color w:val="000000"/>
          <w:lang w:eastAsia="pt-BR"/>
        </w:rPr>
        <w:t xml:space="preserve">which was </w:t>
      </w:r>
      <w:r w:rsidR="00000000" w:rsidRPr="002E3F58">
        <w:rPr>
          <w:color w:val="000000"/>
          <w:lang w:eastAsia="pt-BR"/>
        </w:rPr>
        <w:t xml:space="preserve">previously characterized for its </w:t>
      </w:r>
      <w:r w:rsidR="00000000">
        <w:rPr>
          <w:color w:val="000000"/>
          <w:lang w:eastAsia="pt-BR"/>
        </w:rPr>
        <w:t>ability to control</w:t>
      </w:r>
      <w:r w:rsidR="00000000" w:rsidRPr="002E3F58">
        <w:rPr>
          <w:color w:val="000000"/>
          <w:lang w:eastAsia="pt-BR"/>
        </w:rPr>
        <w:t xml:space="preserve"> phytopathogenic fungi and </w:t>
      </w:r>
      <w:r w:rsidR="00000000">
        <w:rPr>
          <w:color w:val="000000"/>
          <w:lang w:eastAsia="pt-BR"/>
        </w:rPr>
        <w:t>promote</w:t>
      </w:r>
      <w:r w:rsidR="00000000" w:rsidRPr="002E3F58">
        <w:rPr>
          <w:color w:val="000000"/>
          <w:lang w:eastAsia="pt-BR"/>
        </w:rPr>
        <w:t xml:space="preserve"> plant growth. Bioassays were conducted using </w:t>
      </w:r>
      <w:r w:rsidR="00000000" w:rsidRPr="002E3F58">
        <w:rPr>
          <w:i/>
          <w:iCs/>
          <w:color w:val="000000"/>
          <w:lang w:eastAsia="pt-BR"/>
        </w:rPr>
        <w:t>B. tabaci</w:t>
      </w:r>
      <w:r w:rsidR="00000000" w:rsidRPr="002E3F58">
        <w:rPr>
          <w:color w:val="000000"/>
          <w:lang w:eastAsia="pt-BR"/>
        </w:rPr>
        <w:t xml:space="preserve"> adults exposed to </w:t>
      </w:r>
      <w:r w:rsidR="00000000" w:rsidRPr="002E3F58">
        <w:rPr>
          <w:color w:val="000000"/>
          <w:lang w:eastAsia="pt-BR"/>
        </w:rPr>
        <w:t xml:space="preserve">soybean trifoliates subjected to </w:t>
      </w:r>
      <w:r w:rsidR="00000000" w:rsidRPr="002E3F58">
        <w:rPr>
          <w:color w:val="000000"/>
          <w:lang w:eastAsia="pt-BR"/>
        </w:rPr>
        <w:t>the following treatments: (T1) control (sterile distilled water); (T2) aqueous suspension of </w:t>
      </w:r>
      <w:r w:rsidR="00000000" w:rsidRPr="002E3F58">
        <w:rPr>
          <w:i/>
          <w:iCs/>
          <w:color w:val="000000"/>
          <w:lang w:eastAsia="pt-BR"/>
        </w:rPr>
        <w:t>B. pumilus</w:t>
      </w:r>
      <w:r w:rsidR="00000000" w:rsidRPr="002E3F58">
        <w:rPr>
          <w:color w:val="000000"/>
          <w:lang w:eastAsia="pt-BR"/>
        </w:rPr>
        <w:t> RS11 (10⁷ CFU mL⁻¹); (T3) formulation containing </w:t>
      </w:r>
      <w:r w:rsidR="00000000" w:rsidRPr="002E3F58">
        <w:rPr>
          <w:i/>
          <w:iCs/>
          <w:color w:val="000000"/>
          <w:lang w:eastAsia="pt-BR"/>
        </w:rPr>
        <w:t>B. pumilus</w:t>
      </w:r>
      <w:r w:rsidR="00000000" w:rsidRPr="002E3F58">
        <w:rPr>
          <w:color w:val="000000"/>
          <w:lang w:eastAsia="pt-BR"/>
        </w:rPr>
        <w:t xml:space="preserve"> RS11; (T4) formulation base (without RS11); and (T5) commercial insecticide (active ingredient: thiamethoxam). Mortality was assessed at 24, 48, 72, and 96 h after inoculation. The results demonstrated a time-dependent effect, with </w:t>
      </w:r>
      <w:r w:rsidR="00000000">
        <w:rPr>
          <w:color w:val="000000"/>
          <w:lang w:eastAsia="pt-BR"/>
        </w:rPr>
        <w:t xml:space="preserve">an </w:t>
      </w:r>
      <w:r w:rsidR="00000000" w:rsidRPr="002E3F58">
        <w:rPr>
          <w:color w:val="000000"/>
          <w:lang w:eastAsia="pt-BR"/>
        </w:rPr>
        <w:t xml:space="preserve">emphasis on the bioformulation treatment (T3), which showed high control efficiency, reaching 100% mortality at 72 h, with performance comparable to </w:t>
      </w:r>
      <w:r w:rsidR="00000000">
        <w:rPr>
          <w:color w:val="000000"/>
          <w:lang w:eastAsia="pt-BR"/>
        </w:rPr>
        <w:t xml:space="preserve">that of </w:t>
      </w:r>
      <w:r w:rsidR="00000000" w:rsidRPr="002E3F58">
        <w:rPr>
          <w:color w:val="000000"/>
          <w:lang w:eastAsia="pt-BR"/>
        </w:rPr>
        <w:t>the commercial insecticide. The bacterial suspension (T2) promoted higher initial mortality, indicating a rapid action of the strain, whereas the formulation (T3) exhibited a progressive and sustained effect. Additionally, the recovery of bacterial growth from dead insects suggests the direct involvement of </w:t>
      </w:r>
      <w:r w:rsidR="00000000" w:rsidRPr="002E3F58">
        <w:rPr>
          <w:i/>
          <w:iCs/>
          <w:color w:val="000000"/>
          <w:lang w:eastAsia="pt-BR"/>
        </w:rPr>
        <w:t>B. pumilus</w:t>
      </w:r>
      <w:r w:rsidR="00000000" w:rsidRPr="002E3F58">
        <w:rPr>
          <w:color w:val="000000"/>
          <w:lang w:eastAsia="pt-BR"/>
        </w:rPr>
        <w:t> RS11 in the mortality process. The contribution of the formulation matrix (T4) also indicates a synergistic effect among system components. These findings demonstrate that the formulation exhibits effective bioinsecticidal activity</w:t>
      </w:r>
      <w:r w:rsidR="00000000">
        <w:rPr>
          <w:color w:val="000000"/>
          <w:lang w:eastAsia="pt-BR"/>
        </w:rPr>
        <w:t xml:space="preserve"> and represents</w:t>
      </w:r>
      <w:r w:rsidR="00000000" w:rsidRPr="002E3F58">
        <w:rPr>
          <w:color w:val="000000"/>
          <w:lang w:eastAsia="pt-BR"/>
        </w:rPr>
        <w:t xml:space="preserve"> a multifunctional technology with the potential to simultaneously control insect pests and phytopathogens, contributing to more sustainable agricultural management strategies</w:t>
      </w:r>
      <w:r w:rsidR="00000000">
        <w:rPr>
          <w:color w:val="000000"/>
          <w:lang w:eastAsia="pt-BR"/>
        </w:rPr>
        <w:t>.</w:t>
      </w:r>
    </w:p>
    <w:p w14:paraId="36657F8F" w14:textId="3DB1FCED" w:rsidR="00E5097D" w:rsidRDefault="00E5097D">
      <w:pPr>
        <w:ind w:firstLine="720"/>
      </w:pPr>
    </w:p>
    <w:p w14:paraId="689398CC" w14:textId="77777777" w:rsidR="00E5097D" w:rsidRDefault="00E5097D">
      <w:pPr>
        <w:rPr>
          <w:sz w:val="22"/>
          <w:szCs w:val="22"/>
        </w:rPr>
      </w:pPr>
    </w:p>
    <w:p w14:paraId="5B58F858" w14:textId="30A49506" w:rsidR="00E5097D" w:rsidRDefault="00000000">
      <w:pPr>
        <w:tabs>
          <w:tab w:val="left" w:pos="8300"/>
        </w:tabs>
        <w:rPr>
          <w:sz w:val="22"/>
          <w:szCs w:val="22"/>
        </w:rPr>
        <w:sectPr w:rsidR="00E5097D" w:rsidSect="00957029">
          <w:headerReference w:type="even" r:id="rId11"/>
          <w:headerReference w:type="first" r:id="rId12"/>
          <w:pgSz w:w="11906" w:h="16838"/>
          <w:pgMar w:top="1418" w:right="1701" w:bottom="1418" w:left="1701" w:header="0" w:footer="1134" w:gutter="0"/>
          <w:pgNumType w:start="1"/>
          <w:cols w:space="720"/>
          <w:titlePg/>
          <w:docGrid w:linePitch="326"/>
        </w:sectPr>
      </w:pPr>
      <w:r>
        <w:rPr>
          <w:b/>
          <w:smallCaps/>
          <w:sz w:val="22"/>
          <w:szCs w:val="22"/>
        </w:rPr>
        <w:t>KEYWORDS</w:t>
      </w:r>
      <w:r w:rsidR="007822A4">
        <w:rPr>
          <w:sz w:val="22"/>
          <w:szCs w:val="22"/>
        </w:rPr>
        <w:t xml:space="preserve">: sustainable agriculture, disease management, endophytic colonization, </w:t>
      </w:r>
      <w:r>
        <w:rPr>
          <w:sz w:val="22"/>
          <w:szCs w:val="22"/>
        </w:rPr>
        <w:t>plant‒microorganism</w:t>
      </w:r>
      <w:r w:rsidR="007822A4">
        <w:rPr>
          <w:sz w:val="22"/>
          <w:szCs w:val="22"/>
        </w:rPr>
        <w:t xml:space="preserve"> interaction.</w:t>
      </w:r>
    </w:p>
    <w:p w14:paraId="2265A0F5" w14:textId="77777777" w:rsidR="00E5097D" w:rsidRDefault="00E5097D">
      <w:pPr>
        <w:rPr>
          <w:sz w:val="16"/>
          <w:szCs w:val="16"/>
        </w:rPr>
      </w:pPr>
    </w:p>
    <w:sectPr w:rsidR="00E5097D">
      <w:headerReference w:type="even" r:id="rId13"/>
      <w:headerReference w:type="first" r:id="rId14"/>
      <w:type w:val="continuous"/>
      <w:pgSz w:w="11906" w:h="16838"/>
      <w:pgMar w:top="1134" w:right="1134" w:bottom="1134" w:left="1134" w:header="284" w:footer="70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iana Araújo" w:date="2026-04-14T10:08:00Z" w:initials="DA">
    <w:p w14:paraId="76021B5E" w14:textId="77777777" w:rsidR="00BD56F3" w:rsidRDefault="00BD56F3" w:rsidP="00BD56F3">
      <w:pPr>
        <w:pStyle w:val="Textodecomentrio"/>
        <w:jc w:val="left"/>
      </w:pPr>
      <w:r>
        <w:rPr>
          <w:rStyle w:val="Refdecomentrio"/>
        </w:rPr>
        <w:annotationRef/>
      </w:r>
      <w:r>
        <w:t>Colocar assim nos demais resumos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6021B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EE3FD0" w16cex:dateUtc="2026-04-14T13: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6021B5E" w16cid:durableId="28EE3F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FC6DB" w14:textId="77777777" w:rsidR="006267B5" w:rsidRDefault="006267B5">
      <w:r>
        <w:separator/>
      </w:r>
    </w:p>
  </w:endnote>
  <w:endnote w:type="continuationSeparator" w:id="0">
    <w:p w14:paraId="27A9C46C" w14:textId="77777777" w:rsidR="006267B5" w:rsidRDefault="00626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B511E" w14:textId="77777777" w:rsidR="006267B5" w:rsidRDefault="006267B5">
      <w:r>
        <w:separator/>
      </w:r>
    </w:p>
  </w:footnote>
  <w:footnote w:type="continuationSeparator" w:id="0">
    <w:p w14:paraId="18CE0854" w14:textId="77777777" w:rsidR="006267B5" w:rsidRDefault="006267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BA91" w14:textId="77777777" w:rsidR="00E5097D" w:rsidRDefault="00000000">
    <w:pPr>
      <w:pBdr>
        <w:top w:val="nil"/>
        <w:left w:val="nil"/>
        <w:bottom w:val="nil"/>
        <w:right w:val="nil"/>
        <w:between w:val="nil"/>
      </w:pBdr>
      <w:tabs>
        <w:tab w:val="center" w:pos="4680"/>
        <w:tab w:val="right" w:pos="9360"/>
      </w:tabs>
      <w:rPr>
        <w:color w:val="000000"/>
      </w:rPr>
    </w:pPr>
    <w:r>
      <w:rPr>
        <w:noProof/>
        <w:color w:val="000000"/>
      </w:rPr>
      <w:pict w14:anchorId="4FA1D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3073" type="#_x0000_t75" style="position:absolute;left:0;text-align:left;margin-left:0;margin-top:0;width:424.7pt;height:424.7pt;z-index:-251656192;mso-wrap-edited:f;mso-width-percent:0;mso-height-percent:0;mso-position-horizontal:center;mso-position-horizontal-relative:margin;mso-position-vertical:center;mso-position-vertical-relative:margin;mso-width-percent:0;mso-height-percent:0">
          <v:imagedata r:id="rId1" o:title="image6" gain="19661f" blacklevel="22938f"/>
          <w10:wrap anchorx="margin" anchory="margin"/>
        </v:shape>
      </w:pict>
    </w:r>
    <w:r>
      <w:rPr>
        <w:noProof/>
        <w:color w:val="000000"/>
      </w:rPr>
      <w:pict w14:anchorId="0E70D7D1">
        <v:shape id="WordPictureWatermark2" o:spid="_x0000_s3074" type="#_x0000_t75" style="position:absolute;left:0;text-align:left;margin-left:0;margin-top:0;width:481.75pt;height:503.6pt;z-index:-251655168;mso-wrap-edited:f;mso-width-percent:0;mso-height-percent:0;mso-position-horizontal:center;mso-position-horizontal-relative:margin;mso-position-vertical:center;mso-position-vertical-relative:margin;mso-width-percent:0;mso-height-percent:0">
          <v:imagedata r:id="rId2"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CD30" w14:textId="510AE8FD" w:rsidR="00957029" w:rsidRDefault="00000000">
    <w:pPr>
      <w:pBdr>
        <w:top w:val="nil"/>
        <w:left w:val="nil"/>
        <w:bottom w:val="nil"/>
        <w:right w:val="nil"/>
        <w:between w:val="nil"/>
      </w:pBdr>
      <w:tabs>
        <w:tab w:val="center" w:pos="4680"/>
        <w:tab w:val="right" w:pos="9360"/>
      </w:tabs>
      <w:rPr>
        <w:noProof/>
        <w:color w:val="000000"/>
      </w:rPr>
    </w:pPr>
    <w:r>
      <w:rPr>
        <w:noProof/>
        <w:color w:val="000000"/>
      </w:rPr>
      <w:drawing>
        <wp:anchor distT="0" distB="0" distL="114300" distR="114300" simplePos="0" relativeHeight="251659264" behindDoc="0" locked="0" layoutInCell="1" allowOverlap="1" wp14:anchorId="5797064C" wp14:editId="57D9642E">
          <wp:simplePos x="0" y="0"/>
          <wp:positionH relativeFrom="page">
            <wp:posOffset>0</wp:posOffset>
          </wp:positionH>
          <wp:positionV relativeFrom="paragraph">
            <wp:posOffset>-3175</wp:posOffset>
          </wp:positionV>
          <wp:extent cx="7562850" cy="1761490"/>
          <wp:effectExtent l="0" t="0" r="0" b="0"/>
          <wp:wrapNone/>
          <wp:docPr id="17856639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3949" name="Imagem 1785663949"/>
                  <pic:cNvPicPr/>
                </pic:nvPicPr>
                <pic:blipFill>
                  <a:blip r:embed="rId1">
                    <a:extLst>
                      <a:ext uri="{28A0092B-C50C-407E-A947-70E740481C1C}">
                        <a14:useLocalDpi xmlns:a14="http://schemas.microsoft.com/office/drawing/2010/main" val="0"/>
                      </a:ext>
                    </a:extLst>
                  </a:blip>
                  <a:stretch>
                    <a:fillRect/>
                  </a:stretch>
                </pic:blipFill>
                <pic:spPr>
                  <a:xfrm>
                    <a:off x="0" y="0"/>
                    <a:ext cx="7562850" cy="1761490"/>
                  </a:xfrm>
                  <a:prstGeom prst="rect">
                    <a:avLst/>
                  </a:prstGeom>
                </pic:spPr>
              </pic:pic>
            </a:graphicData>
          </a:graphic>
          <wp14:sizeRelH relativeFrom="page">
            <wp14:pctWidth>0</wp14:pctWidth>
          </wp14:sizeRelH>
          <wp14:sizeRelV relativeFrom="page">
            <wp14:pctHeight>0</wp14:pctHeight>
          </wp14:sizeRelV>
        </wp:anchor>
      </w:drawing>
    </w:r>
  </w:p>
  <w:p w14:paraId="106F2A3E" w14:textId="0DD86E5F" w:rsidR="00957029" w:rsidRDefault="00957029">
    <w:pPr>
      <w:pBdr>
        <w:top w:val="nil"/>
        <w:left w:val="nil"/>
        <w:bottom w:val="nil"/>
        <w:right w:val="nil"/>
        <w:between w:val="nil"/>
      </w:pBdr>
      <w:tabs>
        <w:tab w:val="center" w:pos="4680"/>
        <w:tab w:val="right" w:pos="9360"/>
      </w:tabs>
      <w:rPr>
        <w:noProof/>
        <w:color w:val="000000"/>
      </w:rPr>
    </w:pPr>
  </w:p>
  <w:p w14:paraId="08AB67C6" w14:textId="115DB492" w:rsidR="00957029" w:rsidRDefault="00957029">
    <w:pPr>
      <w:pBdr>
        <w:top w:val="nil"/>
        <w:left w:val="nil"/>
        <w:bottom w:val="nil"/>
        <w:right w:val="nil"/>
        <w:between w:val="nil"/>
      </w:pBdr>
      <w:tabs>
        <w:tab w:val="center" w:pos="4680"/>
        <w:tab w:val="right" w:pos="9360"/>
      </w:tabs>
      <w:rPr>
        <w:noProof/>
        <w:color w:val="000000"/>
      </w:rPr>
    </w:pPr>
  </w:p>
  <w:p w14:paraId="7747FD4B" w14:textId="77777777" w:rsidR="00957029" w:rsidRDefault="00957029">
    <w:pPr>
      <w:pBdr>
        <w:top w:val="nil"/>
        <w:left w:val="nil"/>
        <w:bottom w:val="nil"/>
        <w:right w:val="nil"/>
        <w:between w:val="nil"/>
      </w:pBdr>
      <w:tabs>
        <w:tab w:val="center" w:pos="4680"/>
        <w:tab w:val="right" w:pos="9360"/>
      </w:tabs>
      <w:rPr>
        <w:noProof/>
        <w:color w:val="000000"/>
      </w:rPr>
    </w:pPr>
  </w:p>
  <w:p w14:paraId="1BA7E2C5" w14:textId="77777777" w:rsidR="00957029" w:rsidRDefault="00957029">
    <w:pPr>
      <w:pBdr>
        <w:top w:val="nil"/>
        <w:left w:val="nil"/>
        <w:bottom w:val="nil"/>
        <w:right w:val="nil"/>
        <w:between w:val="nil"/>
      </w:pBdr>
      <w:tabs>
        <w:tab w:val="center" w:pos="4680"/>
        <w:tab w:val="right" w:pos="9360"/>
      </w:tabs>
      <w:rPr>
        <w:noProof/>
        <w:color w:val="000000"/>
      </w:rPr>
    </w:pPr>
  </w:p>
  <w:p w14:paraId="0121DB05" w14:textId="175B6DCC" w:rsidR="00957029" w:rsidRDefault="00957029">
    <w:pPr>
      <w:pBdr>
        <w:top w:val="nil"/>
        <w:left w:val="nil"/>
        <w:bottom w:val="nil"/>
        <w:right w:val="nil"/>
        <w:between w:val="nil"/>
      </w:pBdr>
      <w:tabs>
        <w:tab w:val="center" w:pos="4680"/>
        <w:tab w:val="right" w:pos="9360"/>
      </w:tabs>
      <w:rPr>
        <w:color w:val="000000"/>
      </w:rPr>
    </w:pPr>
  </w:p>
  <w:p w14:paraId="36E336D0" w14:textId="2DA359E5" w:rsidR="00957029" w:rsidRDefault="00957029">
    <w:pPr>
      <w:pBdr>
        <w:top w:val="nil"/>
        <w:left w:val="nil"/>
        <w:bottom w:val="nil"/>
        <w:right w:val="nil"/>
        <w:between w:val="nil"/>
      </w:pBdr>
      <w:tabs>
        <w:tab w:val="center" w:pos="4680"/>
        <w:tab w:val="right" w:pos="9360"/>
      </w:tabs>
      <w:rPr>
        <w:color w:val="000000"/>
      </w:rPr>
    </w:pPr>
  </w:p>
  <w:p w14:paraId="2589F7A4" w14:textId="5C1F22DB" w:rsidR="00957029" w:rsidRDefault="00957029">
    <w:pPr>
      <w:pBdr>
        <w:top w:val="nil"/>
        <w:left w:val="nil"/>
        <w:bottom w:val="nil"/>
        <w:right w:val="nil"/>
        <w:between w:val="nil"/>
      </w:pBdr>
      <w:tabs>
        <w:tab w:val="center" w:pos="4680"/>
        <w:tab w:val="right" w:pos="9360"/>
      </w:tabs>
      <w:rPr>
        <w:color w:val="000000"/>
      </w:rPr>
    </w:pPr>
  </w:p>
  <w:p w14:paraId="20050B6A" w14:textId="77777777" w:rsidR="00957029" w:rsidRDefault="00957029">
    <w:pPr>
      <w:pBdr>
        <w:top w:val="nil"/>
        <w:left w:val="nil"/>
        <w:bottom w:val="nil"/>
        <w:right w:val="nil"/>
        <w:between w:val="nil"/>
      </w:pBdr>
      <w:tabs>
        <w:tab w:val="center" w:pos="4680"/>
        <w:tab w:val="right" w:pos="9360"/>
      </w:tabs>
      <w:rPr>
        <w:color w:val="000000"/>
      </w:rPr>
    </w:pPr>
  </w:p>
  <w:p w14:paraId="06654763" w14:textId="1D739474" w:rsidR="00E5097D" w:rsidRDefault="00E5097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6A837" w14:textId="77777777" w:rsidR="00E5097D" w:rsidRDefault="00000000">
    <w:pPr>
      <w:pBdr>
        <w:top w:val="nil"/>
        <w:left w:val="nil"/>
        <w:bottom w:val="nil"/>
        <w:right w:val="nil"/>
        <w:between w:val="nil"/>
      </w:pBdr>
      <w:tabs>
        <w:tab w:val="center" w:pos="4680"/>
        <w:tab w:val="right" w:pos="9360"/>
      </w:tabs>
      <w:rPr>
        <w:color w:val="000000"/>
      </w:rPr>
    </w:pPr>
    <w:r>
      <w:rPr>
        <w:noProof/>
        <w:color w:val="000000"/>
      </w:rPr>
      <w:pict w14:anchorId="7654A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style="position:absolute;left:0;text-align:left;margin-left:0;margin-top:0;width:424.7pt;height:424.7pt;z-index:-251653120;mso-wrap-edited:f;mso-width-percent:0;mso-height-percent:0;mso-position-horizontal:center;mso-position-horizontal-relative:margin;mso-position-vertical:center;mso-position-vertical-relative:margin;mso-width-percent:0;mso-height-percent:0" o:allowincell="f">
          <v:imagedata r:id="rId1" o:title="Logotipo1" gain="19661f" blacklevel="22938f"/>
          <w10:wrap anchorx="margin" anchory="margin"/>
        </v:shape>
      </w:pict>
    </w:r>
    <w:r>
      <w:rPr>
        <w:noProof/>
        <w:color w:val="000000"/>
      </w:rPr>
      <w:pict w14:anchorId="37E56C64">
        <v:shape id="_x0000_s3076" type="#_x0000_t75" style="position:absolute;left:0;text-align:left;margin-left:0;margin-top:0;width:481.75pt;height:503.6pt;z-index:-251654144;mso-wrap-edited:f;mso-width-percent:0;mso-height-percent:0;mso-position-horizontal:center;mso-position-horizontal-relative:margin;mso-position-vertical:center;mso-position-vertical-relative:margin;mso-width-percent:0;mso-height-percent:0"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09433" w14:textId="77777777" w:rsidR="00E5097D"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allowOverlap="1" wp14:anchorId="49E518FE" wp14:editId="74FCB1C5">
          <wp:simplePos x="0" y="0"/>
          <wp:positionH relativeFrom="column">
            <wp:posOffset>-1097914</wp:posOffset>
          </wp:positionH>
          <wp:positionV relativeFrom="paragraph">
            <wp:posOffset>-198119</wp:posOffset>
          </wp:positionV>
          <wp:extent cx="7598410" cy="2517775"/>
          <wp:effectExtent l="0" t="0" r="0" b="0"/>
          <wp:wrapSquare wrapText="bothSides"/>
          <wp:docPr id="1704882603" name="image5.png"/>
          <wp:cNvGraphicFramePr/>
          <a:graphic xmlns:a="http://schemas.openxmlformats.org/drawingml/2006/main">
            <a:graphicData uri="http://schemas.openxmlformats.org/drawingml/2006/picture">
              <pic:pic xmlns:pic="http://schemas.openxmlformats.org/drawingml/2006/picture">
                <pic:nvPicPr>
                  <pic:cNvPr id="1704882603" name="image5.png"/>
                  <pic:cNvPicPr/>
                </pic:nvPicPr>
                <pic:blipFill>
                  <a:blip r:embed="rId1"/>
                  <a:stretch>
                    <a:fillRect/>
                  </a:stretch>
                </pic:blipFill>
                <pic:spPr>
                  <a:xfrm>
                    <a:off x="0" y="0"/>
                    <a:ext cx="7598410" cy="2517775"/>
                  </a:xfrm>
                  <a:prstGeom prst="rect">
                    <a:avLst/>
                  </a:prstGeom>
                </pic:spPr>
              </pic:pic>
            </a:graphicData>
          </a:graphic>
        </wp:anchor>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iana Araújo">
    <w15:presenceInfo w15:providerId="Windows Live" w15:userId="ae55fbad21e37e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savePreviewPicture/>
  <w:hdrShapeDefaults>
    <o:shapedefaults v:ext="edit" spidmax="3077"/>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7D"/>
    <w:rsid w:val="001C4334"/>
    <w:rsid w:val="001E5CCF"/>
    <w:rsid w:val="00212BCE"/>
    <w:rsid w:val="00254035"/>
    <w:rsid w:val="002E3F58"/>
    <w:rsid w:val="004E31C7"/>
    <w:rsid w:val="00611F79"/>
    <w:rsid w:val="006267B5"/>
    <w:rsid w:val="006442F1"/>
    <w:rsid w:val="006540BC"/>
    <w:rsid w:val="00750B66"/>
    <w:rsid w:val="007822A4"/>
    <w:rsid w:val="007A7424"/>
    <w:rsid w:val="00851402"/>
    <w:rsid w:val="008B555B"/>
    <w:rsid w:val="00957029"/>
    <w:rsid w:val="009E39C8"/>
    <w:rsid w:val="00B431B1"/>
    <w:rsid w:val="00B73620"/>
    <w:rsid w:val="00BD56F3"/>
    <w:rsid w:val="00C20852"/>
    <w:rsid w:val="00C42E75"/>
    <w:rsid w:val="00D022EB"/>
    <w:rsid w:val="00D82D3F"/>
    <w:rsid w:val="00DF4DAA"/>
    <w:rsid w:val="00DF6067"/>
    <w:rsid w:val="00E01903"/>
    <w:rsid w:val="00E5097D"/>
    <w:rsid w:val="00EA7B18"/>
    <w:rsid w:val="00EF4D26"/>
    <w:rsid w:val="00F4416C"/>
    <w:rsid w:val="00FF6B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2"/>
    </o:shapelayout>
  </w:shapeDefaults>
  <w:decimalSymbol w:val=","/>
  <w:listSeparator w:val=";"/>
  <w14:docId w14:val="2E34C83D"/>
  <w15:docId w15:val="{1C1A80EC-CCC6-46CD-96DA-1A309027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B2C"/>
    <w:rPr>
      <w:lang w:val="en-GB" w:eastAsia="fr-FR"/>
    </w:rPr>
  </w:style>
  <w:style w:type="paragraph" w:styleId="Ttulo1">
    <w:name w:val="heading 1"/>
    <w:basedOn w:val="Normal"/>
    <w:next w:val="Normal"/>
    <w:uiPriority w:val="9"/>
    <w:qFormat/>
    <w:rsid w:val="00060B2C"/>
    <w:pPr>
      <w:keepNext/>
      <w:spacing w:before="120" w:after="120"/>
      <w:jc w:val="center"/>
      <w:outlineLvl w:val="0"/>
    </w:pPr>
    <w:rPr>
      <w:rFonts w:cs="Arial"/>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Ref">
    <w:name w:val="Ref"/>
    <w:basedOn w:val="Normal"/>
    <w:rsid w:val="00060B2C"/>
    <w:pPr>
      <w:ind w:left="720" w:hanging="720"/>
    </w:pPr>
  </w:style>
  <w:style w:type="paragraph" w:customStyle="1" w:styleId="Authors">
    <w:name w:val="Authors"/>
    <w:basedOn w:val="Normal"/>
    <w:rsid w:val="00060B2C"/>
    <w:pPr>
      <w:spacing w:before="240" w:after="240"/>
      <w:jc w:val="center"/>
    </w:pPr>
    <w:rPr>
      <w:i/>
      <w:sz w:val="28"/>
    </w:rPr>
  </w:style>
  <w:style w:type="paragraph" w:customStyle="1" w:styleId="address">
    <w:name w:val="address"/>
    <w:basedOn w:val="Normal"/>
    <w:rsid w:val="00060B2C"/>
    <w:pPr>
      <w:spacing w:before="120" w:after="120"/>
    </w:p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EA7B18"/>
  </w:style>
  <w:style w:type="paragraph" w:styleId="Reviso">
    <w:name w:val="Revision"/>
    <w:hidden/>
    <w:uiPriority w:val="99"/>
    <w:semiHidden/>
    <w:rsid w:val="00611F79"/>
    <w:pPr>
      <w:jc w:val="left"/>
    </w:pPr>
    <w:rPr>
      <w:lang w:val="fr-FR" w:eastAsia="fr-FR"/>
    </w:rPr>
  </w:style>
  <w:style w:type="character" w:customStyle="1" w:styleId="apple-converted-space">
    <w:name w:val="apple-converted-space"/>
    <w:basedOn w:val="Fontepargpadro"/>
    <w:rsid w:val="007822A4"/>
  </w:style>
  <w:style w:type="character" w:styleId="Refdecomentrio">
    <w:name w:val="annotation reference"/>
    <w:basedOn w:val="Fontepargpadro"/>
    <w:uiPriority w:val="99"/>
    <w:rsid w:val="000F3DF7"/>
    <w:rPr>
      <w:sz w:val="16"/>
      <w:szCs w:val="16"/>
    </w:rPr>
  </w:style>
  <w:style w:type="paragraph" w:styleId="Textodecomentrio">
    <w:name w:val="annotation text"/>
    <w:basedOn w:val="Normal"/>
    <w:link w:val="TextodecomentrioChar"/>
    <w:uiPriority w:val="99"/>
    <w:unhideWhenUsed/>
    <w:rPr>
      <w:sz w:val="20"/>
      <w:szCs w:val="20"/>
    </w:rPr>
  </w:style>
  <w:style w:type="character" w:customStyle="1" w:styleId="TextodecomentrioChar">
    <w:name w:val="Texto de comentário Char"/>
    <w:basedOn w:val="Fontepargpadro"/>
    <w:link w:val="Textodecomentrio"/>
    <w:uiPriority w:val="99"/>
    <w:rPr>
      <w:sz w:val="20"/>
      <w:szCs w:val="20"/>
      <w:lang w:val="en-GB" w:eastAsia="fr-FR"/>
    </w:rPr>
  </w:style>
  <w:style w:type="paragraph" w:styleId="Assuntodocomentrio">
    <w:name w:val="annotation subject"/>
    <w:basedOn w:val="Textodecomentrio"/>
    <w:next w:val="Textodecomentrio"/>
    <w:link w:val="AssuntodocomentrioChar"/>
    <w:uiPriority w:val="99"/>
    <w:semiHidden/>
    <w:unhideWhenUsed/>
    <w:rsid w:val="00BD56F3"/>
    <w:rPr>
      <w:b/>
      <w:bCs/>
    </w:rPr>
  </w:style>
  <w:style w:type="character" w:customStyle="1" w:styleId="AssuntodocomentrioChar">
    <w:name w:val="Assunto do comentário Char"/>
    <w:basedOn w:val="TextodecomentrioChar"/>
    <w:link w:val="Assuntodocomentrio"/>
    <w:uiPriority w:val="99"/>
    <w:semiHidden/>
    <w:rsid w:val="00BD56F3"/>
    <w:rPr>
      <w:b/>
      <w:bCs/>
      <w:sz w:val="20"/>
      <w:szCs w:val="20"/>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SCFWvtO65Hu9wsxMBqeMim9Q==">CgMxLjA4AHIhMUFEYXV0VDNtNjBJdTBLZkJRTzFRazVzU3VqUTdXUGxt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422</Words>
  <Characters>2280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Diana Araújo</cp:lastModifiedBy>
  <cp:revision>7</cp:revision>
  <dcterms:created xsi:type="dcterms:W3CDTF">2026-04-14T01:29:00Z</dcterms:created>
  <dcterms:modified xsi:type="dcterms:W3CDTF">2026-04-14T13:08:00Z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y fmtid="{D5CDD505-2E9C-101B-9397-08002B2CF9AE}" pid="3" name="LE1">
    <vt:filetime>2026-04-14T13:02:07Z</vt:filetime>
  </property>
</Properties>
</file>