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D427" w14:textId="5A0CD167" w:rsidR="00930701" w:rsidRPr="0093026D" w:rsidRDefault="00EE3151" w:rsidP="00132734">
      <w:pPr>
        <w:tabs>
          <w:tab w:val="left" w:pos="4404"/>
          <w:tab w:val="center" w:pos="4535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 xml:space="preserve">INFECÇÃO SECUNDÁRIA </w:t>
      </w:r>
      <w:r w:rsidR="00132734">
        <w:rPr>
          <w:rFonts w:ascii="Arial" w:eastAsia="Arial" w:hAnsi="Arial" w:cs="Arial"/>
          <w:b/>
          <w:sz w:val="24"/>
          <w:szCs w:val="24"/>
        </w:rPr>
        <w:t>A</w:t>
      </w:r>
      <w:r w:rsidRPr="0093026D">
        <w:rPr>
          <w:rFonts w:ascii="Arial" w:eastAsia="Arial" w:hAnsi="Arial" w:cs="Arial"/>
          <w:b/>
          <w:sz w:val="24"/>
          <w:szCs w:val="24"/>
        </w:rPr>
        <w:t xml:space="preserve"> PICADA DE SERPENTES</w:t>
      </w:r>
    </w:p>
    <w:p w14:paraId="5BA8CA50" w14:textId="593DBBD9" w:rsidR="00930701" w:rsidRPr="0093026D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3026D"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</w:p>
    <w:p w14:paraId="75663959" w14:textId="6C099C90" w:rsidR="00930701" w:rsidRPr="0093026D" w:rsidRDefault="00EE3151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>ALVES</w:t>
      </w:r>
      <w:r w:rsidR="00486485" w:rsidRPr="0093026D">
        <w:rPr>
          <w:rFonts w:ascii="Arial" w:eastAsia="Arial" w:hAnsi="Arial" w:cs="Arial"/>
          <w:sz w:val="24"/>
          <w:szCs w:val="24"/>
        </w:rPr>
        <w:t xml:space="preserve">, </w:t>
      </w:r>
      <w:r w:rsidRPr="0093026D">
        <w:rPr>
          <w:rFonts w:ascii="Arial" w:eastAsia="Arial" w:hAnsi="Arial" w:cs="Arial"/>
          <w:sz w:val="24"/>
          <w:szCs w:val="24"/>
        </w:rPr>
        <w:t>Samuel Winicios dos Santos</w:t>
      </w:r>
      <w:r w:rsidR="00486485" w:rsidRPr="0093026D">
        <w:rPr>
          <w:rStyle w:val="ncoradanotaderodap"/>
          <w:rFonts w:ascii="Arial" w:eastAsia="Arial" w:hAnsi="Arial" w:cs="Arial"/>
          <w:sz w:val="24"/>
          <w:szCs w:val="24"/>
        </w:rPr>
        <w:footnoteReference w:id="1"/>
      </w:r>
      <w:r w:rsidR="00486485" w:rsidRPr="0093026D">
        <w:rPr>
          <w:rFonts w:ascii="Arial" w:eastAsia="Arial" w:hAnsi="Arial" w:cs="Arial"/>
          <w:sz w:val="24"/>
          <w:szCs w:val="24"/>
        </w:rPr>
        <w:t xml:space="preserve">; </w:t>
      </w:r>
      <w:r w:rsidRPr="0093026D">
        <w:rPr>
          <w:rFonts w:ascii="Arial" w:eastAsia="Arial" w:hAnsi="Arial" w:cs="Arial"/>
          <w:b/>
          <w:sz w:val="24"/>
          <w:szCs w:val="24"/>
        </w:rPr>
        <w:t>LIMA</w:t>
      </w:r>
      <w:r w:rsidR="00486485" w:rsidRPr="0093026D">
        <w:rPr>
          <w:rFonts w:ascii="Arial" w:eastAsia="Arial" w:hAnsi="Arial" w:cs="Arial"/>
          <w:sz w:val="24"/>
          <w:szCs w:val="24"/>
        </w:rPr>
        <w:t xml:space="preserve">, </w:t>
      </w:r>
      <w:r w:rsidRPr="0093026D">
        <w:rPr>
          <w:rFonts w:ascii="Arial" w:eastAsia="Arial" w:hAnsi="Arial" w:cs="Arial"/>
          <w:sz w:val="24"/>
          <w:szCs w:val="24"/>
        </w:rPr>
        <w:t>Matheus Silva</w:t>
      </w:r>
      <w:r w:rsidR="00486485" w:rsidRPr="0093026D">
        <w:rPr>
          <w:rStyle w:val="ncoradanotaderodap"/>
          <w:rFonts w:ascii="Arial" w:eastAsia="Arial" w:hAnsi="Arial" w:cs="Arial"/>
          <w:sz w:val="24"/>
          <w:szCs w:val="24"/>
        </w:rPr>
        <w:footnoteReference w:id="2"/>
      </w:r>
      <w:r w:rsidR="00486485" w:rsidRPr="0093026D">
        <w:rPr>
          <w:rFonts w:ascii="Arial" w:eastAsia="Arial" w:hAnsi="Arial" w:cs="Arial"/>
          <w:sz w:val="24"/>
          <w:szCs w:val="24"/>
        </w:rPr>
        <w:t xml:space="preserve">; </w:t>
      </w:r>
      <w:r w:rsidRPr="0093026D">
        <w:rPr>
          <w:rFonts w:ascii="Arial" w:eastAsia="Arial" w:hAnsi="Arial" w:cs="Arial"/>
          <w:b/>
          <w:sz w:val="24"/>
          <w:szCs w:val="24"/>
        </w:rPr>
        <w:t>MIRANDA</w:t>
      </w:r>
      <w:r w:rsidR="00486485" w:rsidRPr="0093026D">
        <w:rPr>
          <w:rFonts w:ascii="Arial" w:eastAsia="Arial" w:hAnsi="Arial" w:cs="Arial"/>
          <w:sz w:val="24"/>
          <w:szCs w:val="24"/>
        </w:rPr>
        <w:t xml:space="preserve">, </w:t>
      </w:r>
      <w:r w:rsidRPr="0093026D">
        <w:rPr>
          <w:rFonts w:ascii="Arial" w:eastAsia="Arial" w:hAnsi="Arial" w:cs="Arial"/>
          <w:sz w:val="24"/>
          <w:szCs w:val="24"/>
        </w:rPr>
        <w:t>Carolina Galgane Lage</w:t>
      </w:r>
      <w:r w:rsidR="00486485" w:rsidRPr="0093026D">
        <w:rPr>
          <w:rStyle w:val="ncoradanotaderodap"/>
          <w:rFonts w:ascii="Arial" w:eastAsia="Arial" w:hAnsi="Arial" w:cs="Arial"/>
          <w:sz w:val="24"/>
          <w:szCs w:val="24"/>
        </w:rPr>
        <w:footnoteReference w:id="3"/>
      </w:r>
    </w:p>
    <w:p w14:paraId="3AEDA8C9" w14:textId="77777777" w:rsidR="00EE3151" w:rsidRPr="0093026D" w:rsidRDefault="00EE315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CFB167" w14:textId="77777777" w:rsidR="00930701" w:rsidRPr="0093026D" w:rsidRDefault="0048648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>RESUMO</w:t>
      </w:r>
    </w:p>
    <w:p w14:paraId="466D6E16" w14:textId="51E482A0" w:rsidR="00685AFB" w:rsidRPr="0093026D" w:rsidRDefault="00685AF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85AFB">
        <w:rPr>
          <w:rFonts w:ascii="Arial" w:eastAsia="Arial" w:hAnsi="Arial" w:cs="Arial"/>
          <w:sz w:val="24"/>
          <w:szCs w:val="24"/>
        </w:rPr>
        <w:t xml:space="preserve">Objetivo: esse estudo tem como objetivo abordar a infecção de ferida secundária a picada de serpentes, com enfoque no perfil de patógenos e terapia antibiótica de caráter empírico, além de descrever a sintomatologia, perfil epidemiológico e alterações laboratoriais. Métodos: trata-se de um estudo retrospectivo com dados secundários, que analisou 211 prontuários e foram incluídos 60 (28,4%) pacientes com diagnóstico de infecção bacteriana secundária. Resultados: houve maior prevalência de casos na zona rural, com acometimento predominante do masculino e dos membros inferiores. As principais manifestações locais foram a dor e o edema. Todos os pacientes receberem antibióticos e o mais frequente foi clindamicina. Trinta e um pacientes (51.7 %) desenvolveram abscesso ou necrose e necessitaram de abordagem cirúrgica. Conclusão: a prescrição isolada de amoxicilina/clavulanato é considerada inadequada baseada nos perfis de resistência e susceptibilidade encontrado nos estudos. Diretrizes e a literatura médica sobre a infecção secundária a picada ou mordedura de animais são baseados em estudos que muitas vezes não consideram o perfil microbiano das serpentes. A partir do conhecimento dos determinantes dessa infecção, é possível estabelecer a terapêutica adequada, </w:t>
      </w:r>
      <w:r w:rsidRPr="00685AFB">
        <w:rPr>
          <w:rFonts w:ascii="Arial" w:eastAsia="Arial" w:hAnsi="Arial" w:cs="Arial"/>
          <w:sz w:val="24"/>
          <w:szCs w:val="24"/>
        </w:rPr>
        <w:lastRenderedPageBreak/>
        <w:t>prevenir complicações e diminuir os custos do tratamento.</w:t>
      </w:r>
    </w:p>
    <w:p w14:paraId="3AD61802" w14:textId="085F9A0C" w:rsidR="00930701" w:rsidRPr="0093026D" w:rsidRDefault="00486485" w:rsidP="00593948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>Palavras-chave</w:t>
      </w:r>
      <w:r w:rsidRPr="0093026D">
        <w:rPr>
          <w:rFonts w:ascii="Arial" w:eastAsia="Arial" w:hAnsi="Arial" w:cs="Arial"/>
          <w:sz w:val="24"/>
          <w:szCs w:val="24"/>
        </w:rPr>
        <w:t xml:space="preserve">: </w:t>
      </w:r>
      <w:r w:rsidR="00685AFB" w:rsidRPr="0093026D">
        <w:rPr>
          <w:rFonts w:ascii="Arial" w:eastAsia="Arial" w:hAnsi="Arial" w:cs="Arial"/>
          <w:sz w:val="24"/>
          <w:szCs w:val="24"/>
        </w:rPr>
        <w:t>Mordeduras de Serpentes. Infecção dos Ferimentos. Serpentes Peçonhentas. Infecções. Epidemiologia.</w:t>
      </w:r>
      <w:r w:rsidRPr="0093026D">
        <w:rPr>
          <w:rFonts w:ascii="Arial" w:eastAsia="Arial" w:hAnsi="Arial" w:cs="Arial"/>
          <w:sz w:val="24"/>
          <w:szCs w:val="24"/>
        </w:rPr>
        <w:t xml:space="preserve">                     </w:t>
      </w:r>
    </w:p>
    <w:p w14:paraId="4263E622" w14:textId="77777777" w:rsidR="00930701" w:rsidRPr="0093026D" w:rsidRDefault="0093070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E3E535C" w14:textId="2246AC86" w:rsidR="0093026D" w:rsidRPr="0093026D" w:rsidRDefault="00486485" w:rsidP="0093026D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>INTRODUÇÃO/JUSTIFICATIVA</w:t>
      </w:r>
    </w:p>
    <w:p w14:paraId="6F66BF55" w14:textId="2CC141A8" w:rsidR="0093026D" w:rsidRPr="0093026D" w:rsidRDefault="0093026D" w:rsidP="0093026D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93026D">
        <w:rPr>
          <w:rFonts w:ascii="Arial" w:eastAsia="Arial" w:hAnsi="Arial" w:cs="Arial"/>
          <w:sz w:val="24"/>
          <w:szCs w:val="24"/>
        </w:rPr>
        <w:t>Dentre as causas de envenenamento humano, os acidentes por animais peçonhentos são considerados uma das principais etiologias. No entanto, apesar do conhecido impacto socioeconômico, essa condição tem sido negligenciada</w:t>
      </w:r>
      <w:r w:rsidR="001755B6">
        <w:rPr>
          <w:rFonts w:ascii="Arial" w:eastAsia="Arial" w:hAnsi="Arial" w:cs="Arial"/>
          <w:sz w:val="24"/>
          <w:szCs w:val="24"/>
        </w:rPr>
        <w:t xml:space="preserve"> </w:t>
      </w:r>
      <w:r w:rsidR="001755B6" w:rsidRPr="001755B6">
        <w:rPr>
          <w:rFonts w:ascii="Arial" w:eastAsia="Arial" w:hAnsi="Arial" w:cs="Arial"/>
          <w:sz w:val="24"/>
          <w:szCs w:val="24"/>
        </w:rPr>
        <w:t>(</w:t>
      </w:r>
      <w:r w:rsidR="00132734" w:rsidRPr="001755B6">
        <w:rPr>
          <w:rFonts w:ascii="Arial" w:eastAsia="Arial" w:hAnsi="Arial" w:cs="Arial"/>
          <w:sz w:val="24"/>
          <w:szCs w:val="24"/>
        </w:rPr>
        <w:t>KASTURIRATNE, 2008</w:t>
      </w:r>
      <w:r w:rsidR="00132734">
        <w:rPr>
          <w:rFonts w:ascii="Arial" w:eastAsia="Arial" w:hAnsi="Arial" w:cs="Arial"/>
          <w:sz w:val="24"/>
          <w:szCs w:val="24"/>
        </w:rPr>
        <w:t xml:space="preserve">; </w:t>
      </w:r>
      <w:r w:rsidR="001755B6" w:rsidRPr="001755B6">
        <w:rPr>
          <w:rFonts w:ascii="Arial" w:eastAsia="Arial" w:hAnsi="Arial" w:cs="Arial"/>
          <w:sz w:val="24"/>
          <w:szCs w:val="24"/>
        </w:rPr>
        <w:t>FEITOSA, 2015)</w:t>
      </w:r>
      <w:r w:rsidRPr="0093026D">
        <w:rPr>
          <w:rFonts w:ascii="Arial" w:eastAsia="Arial" w:hAnsi="Arial" w:cs="Arial"/>
          <w:sz w:val="24"/>
          <w:szCs w:val="24"/>
        </w:rPr>
        <w:t xml:space="preserve">. Tal fato pode ser comprovado, visto que envenenamento por cobras compõem a lista de doenças tropicais negligenciadas da Organização Mundial de Saúde (OMS). </w:t>
      </w:r>
    </w:p>
    <w:p w14:paraId="1996B269" w14:textId="44C5E860" w:rsidR="0093026D" w:rsidRPr="0093026D" w:rsidRDefault="0093026D" w:rsidP="001755B6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93026D">
        <w:rPr>
          <w:rFonts w:ascii="Arial" w:eastAsia="Arial" w:hAnsi="Arial" w:cs="Arial"/>
          <w:sz w:val="24"/>
          <w:szCs w:val="24"/>
        </w:rPr>
        <w:t>Nos anos de 2020-2022 foram notificados 811.820 acidentes com animais peçonhentos no Brasil e 14.490 no estado do Tocantins</w:t>
      </w:r>
      <w:r w:rsidR="001755B6">
        <w:rPr>
          <w:rFonts w:ascii="Arial" w:eastAsia="Arial" w:hAnsi="Arial" w:cs="Arial"/>
          <w:sz w:val="24"/>
          <w:szCs w:val="24"/>
        </w:rPr>
        <w:t xml:space="preserve"> (DATASUS)</w:t>
      </w:r>
      <w:r w:rsidRPr="0093026D">
        <w:rPr>
          <w:rFonts w:ascii="Arial" w:eastAsia="Arial" w:hAnsi="Arial" w:cs="Arial"/>
          <w:sz w:val="24"/>
          <w:szCs w:val="24"/>
        </w:rPr>
        <w:t>. Os dados de incidência e prevalência divulgados pelas pesquisas ainda são estimados e a real incidência dos casos permanece desconhecida, visto que poucos países investem e se propõe a realizar um controle epidemiológico adequado</w:t>
      </w:r>
      <w:r w:rsidR="001755B6">
        <w:rPr>
          <w:rFonts w:ascii="Arial" w:eastAsia="Arial" w:hAnsi="Arial" w:cs="Arial"/>
          <w:sz w:val="24"/>
          <w:szCs w:val="24"/>
        </w:rPr>
        <w:t xml:space="preserve"> </w:t>
      </w:r>
      <w:r w:rsidR="001755B6" w:rsidRPr="001755B6">
        <w:rPr>
          <w:rFonts w:ascii="Arial" w:eastAsia="Arial" w:hAnsi="Arial" w:cs="Arial"/>
          <w:sz w:val="24"/>
          <w:szCs w:val="24"/>
        </w:rPr>
        <w:t>(HUI, 2015)</w:t>
      </w:r>
      <w:r w:rsidRPr="0093026D">
        <w:rPr>
          <w:rFonts w:ascii="Arial" w:eastAsia="Arial" w:hAnsi="Arial" w:cs="Arial"/>
          <w:sz w:val="24"/>
          <w:szCs w:val="24"/>
        </w:rPr>
        <w:t>.</w:t>
      </w:r>
    </w:p>
    <w:p w14:paraId="46C1E2CC" w14:textId="5D2FFD0D" w:rsidR="0093026D" w:rsidRDefault="0093026D" w:rsidP="0093026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3026D">
        <w:rPr>
          <w:rFonts w:ascii="Arial" w:eastAsia="Arial" w:hAnsi="Arial" w:cs="Arial"/>
          <w:sz w:val="24"/>
          <w:szCs w:val="24"/>
        </w:rPr>
        <w:t>Além da carência de pesquisas clínicas com alto rigor metodológico, há também necessidade de estudos observacionais-descritivos, visto que servem de embasamento para os ensaios clínicos. A propedêutica médica frente as situações clínicas tem na sua prática um aspecto heterogêneo e controverso. Portanto é de vital importância a caracterização dos acidentes e questionar, frente ao método científico, a conduta realizada, principalmente em centros especializados</w:t>
      </w:r>
      <w:r w:rsidR="001755B6">
        <w:rPr>
          <w:rFonts w:ascii="Arial" w:eastAsia="Arial" w:hAnsi="Arial" w:cs="Arial"/>
          <w:sz w:val="24"/>
          <w:szCs w:val="24"/>
        </w:rPr>
        <w:t xml:space="preserve"> </w:t>
      </w:r>
      <w:r w:rsidR="001755B6" w:rsidRPr="001755B6">
        <w:rPr>
          <w:rFonts w:ascii="Arial" w:eastAsia="Arial" w:hAnsi="Arial" w:cs="Arial"/>
          <w:sz w:val="24"/>
          <w:szCs w:val="24"/>
        </w:rPr>
        <w:t>(HUI, 2015)</w:t>
      </w:r>
      <w:r w:rsidRPr="0093026D">
        <w:rPr>
          <w:rFonts w:ascii="Arial" w:eastAsia="Arial" w:hAnsi="Arial" w:cs="Arial"/>
          <w:sz w:val="24"/>
          <w:szCs w:val="24"/>
        </w:rPr>
        <w:t>.</w:t>
      </w:r>
    </w:p>
    <w:p w14:paraId="7EB3BF31" w14:textId="7D7B114E" w:rsidR="00930701" w:rsidRPr="0093026D" w:rsidRDefault="00D25103" w:rsidP="00D2510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grande área do conhecimento que compreende esse trabalho são as ciências da sáude e sua área temática é a medicina. Esse tema foi escolhido durante o estágio na cirurgia geral em que vários pacientes foram submetidos a debridamento de lesões necróticas causados por picadas de serpentes. Em virtude da especificidade do atendimento do hospital escola e da carência de dados na região Norte, foi optado por </w:t>
      </w:r>
      <w:r>
        <w:rPr>
          <w:rFonts w:ascii="Arial" w:eastAsia="Arial" w:hAnsi="Arial" w:cs="Arial"/>
          <w:sz w:val="24"/>
          <w:szCs w:val="24"/>
        </w:rPr>
        <w:lastRenderedPageBreak/>
        <w:t>aprofundar o entendimento acerca do tópico e contribuir com dados e conhecimentos válidos para a prática e literatura médica.</w:t>
      </w:r>
    </w:p>
    <w:p w14:paraId="50BAC57E" w14:textId="14920D66" w:rsidR="00930701" w:rsidRPr="0093026D" w:rsidRDefault="0048648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3026D"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14:paraId="28375502" w14:textId="77777777" w:rsidR="00930701" w:rsidRPr="0093026D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>BASE TEÓRICA</w:t>
      </w:r>
    </w:p>
    <w:p w14:paraId="35C0F0E6" w14:textId="6D9F6AF3" w:rsidR="00930701" w:rsidRPr="0093026D" w:rsidRDefault="000F69DC" w:rsidP="00D2510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revisão de literatura foi realizada na base de dados PUBMED/MEDLINE utilizando os descritores: </w:t>
      </w:r>
      <w:r w:rsidRPr="000F69DC">
        <w:rPr>
          <w:rFonts w:ascii="Arial" w:eastAsia="Arial" w:hAnsi="Arial" w:cs="Arial"/>
          <w:i/>
          <w:iCs/>
          <w:sz w:val="24"/>
          <w:szCs w:val="24"/>
        </w:rPr>
        <w:t xml:space="preserve">scorpions, bites and stings, animals poisonous, snake bites, management, clinical manifestations, complications, clinical laboratory, prehospital care, surgical care, pulmonary edema, cardiac dysfunction, myocardial damage, neurological complications, hepatic injury </w:t>
      </w:r>
      <w:r w:rsidRPr="000F69DC">
        <w:rPr>
          <w:rFonts w:ascii="Arial" w:eastAsia="Arial" w:hAnsi="Arial" w:cs="Arial"/>
          <w:sz w:val="24"/>
          <w:szCs w:val="24"/>
        </w:rPr>
        <w:t>e</w:t>
      </w:r>
      <w:r w:rsidRPr="000F69DC">
        <w:rPr>
          <w:rFonts w:ascii="Arial" w:eastAsia="Arial" w:hAnsi="Arial" w:cs="Arial"/>
          <w:i/>
          <w:iCs/>
          <w:sz w:val="24"/>
          <w:szCs w:val="24"/>
        </w:rPr>
        <w:t xml:space="preserve"> haemodynamic patterns</w:t>
      </w:r>
      <w:r w:rsidRPr="000F69DC">
        <w:rPr>
          <w:rFonts w:ascii="Arial" w:eastAsia="Arial" w:hAnsi="Arial" w:cs="Arial"/>
          <w:sz w:val="24"/>
          <w:szCs w:val="24"/>
        </w:rPr>
        <w:t xml:space="preserve">. </w:t>
      </w:r>
      <w:r w:rsidR="00132734">
        <w:rPr>
          <w:rFonts w:ascii="Arial" w:eastAsia="Arial" w:hAnsi="Arial" w:cs="Arial"/>
          <w:sz w:val="24"/>
          <w:szCs w:val="24"/>
        </w:rPr>
        <w:t xml:space="preserve">Foi realizado </w:t>
      </w:r>
      <w:r w:rsidRPr="000F69DC">
        <w:rPr>
          <w:rFonts w:ascii="Arial" w:eastAsia="Arial" w:hAnsi="Arial" w:cs="Arial"/>
          <w:sz w:val="24"/>
          <w:szCs w:val="24"/>
        </w:rPr>
        <w:t xml:space="preserve">o fichamento para a construção dos artigos </w:t>
      </w:r>
      <w:r w:rsidR="00132734">
        <w:rPr>
          <w:rFonts w:ascii="Arial" w:eastAsia="Arial" w:hAnsi="Arial" w:cs="Arial"/>
          <w:sz w:val="24"/>
          <w:szCs w:val="24"/>
        </w:rPr>
        <w:t>finais</w:t>
      </w:r>
      <w:r>
        <w:rPr>
          <w:rFonts w:ascii="Arial" w:eastAsia="Arial" w:hAnsi="Arial" w:cs="Arial"/>
          <w:sz w:val="24"/>
          <w:szCs w:val="24"/>
        </w:rPr>
        <w:t xml:space="preserve">, que </w:t>
      </w:r>
      <w:r w:rsidR="00575B0D">
        <w:rPr>
          <w:rFonts w:ascii="Arial" w:eastAsia="Arial" w:hAnsi="Arial" w:cs="Arial"/>
          <w:sz w:val="24"/>
          <w:szCs w:val="24"/>
        </w:rPr>
        <w:t>foram expostos na discussão e descritos n</w:t>
      </w:r>
      <w:r>
        <w:rPr>
          <w:rFonts w:ascii="Arial" w:eastAsia="Arial" w:hAnsi="Arial" w:cs="Arial"/>
          <w:sz w:val="24"/>
          <w:szCs w:val="24"/>
        </w:rPr>
        <w:t>as referências bibliográficas.</w:t>
      </w:r>
      <w:r w:rsidR="00486485" w:rsidRPr="0093026D">
        <w:rPr>
          <w:rFonts w:ascii="Arial" w:eastAsia="Arial" w:hAnsi="Arial" w:cs="Arial"/>
          <w:sz w:val="24"/>
          <w:szCs w:val="24"/>
        </w:rPr>
        <w:t xml:space="preserve">                   </w:t>
      </w:r>
    </w:p>
    <w:p w14:paraId="45E67974" w14:textId="77777777" w:rsidR="00930701" w:rsidRPr="0093026D" w:rsidRDefault="0093070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F8ADDC4" w14:textId="14B3E828" w:rsidR="00930701" w:rsidRPr="000F69DC" w:rsidRDefault="00486485" w:rsidP="000F69DC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>OBJETIVOS</w:t>
      </w:r>
    </w:p>
    <w:p w14:paraId="746A95D1" w14:textId="42209112" w:rsidR="001755B6" w:rsidRDefault="001755B6" w:rsidP="00D2510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1755B6">
        <w:rPr>
          <w:rFonts w:ascii="Arial" w:eastAsia="Arial" w:hAnsi="Arial" w:cs="Arial"/>
          <w:sz w:val="24"/>
          <w:szCs w:val="24"/>
        </w:rPr>
        <w:t xml:space="preserve">Esse estudo tem como objetivo caracterizar o perfil clínico-epidemiológico dos acidentes atendidos </w:t>
      </w:r>
      <w:r w:rsidR="00035CA7">
        <w:rPr>
          <w:rFonts w:ascii="Arial" w:eastAsia="Arial" w:hAnsi="Arial" w:cs="Arial"/>
          <w:sz w:val="24"/>
          <w:szCs w:val="24"/>
        </w:rPr>
        <w:t xml:space="preserve">no </w:t>
      </w:r>
      <w:r w:rsidR="00035CA7" w:rsidRPr="00D25103">
        <w:rPr>
          <w:rFonts w:ascii="Arial" w:eastAsia="Arial" w:hAnsi="Arial" w:cs="Arial"/>
          <w:sz w:val="24"/>
          <w:szCs w:val="24"/>
        </w:rPr>
        <w:t>Hospital de Doenças Tropicais da Universidade Federal do Norte do Tocantins (HDT-UFNT)</w:t>
      </w:r>
      <w:r w:rsidRPr="001755B6">
        <w:rPr>
          <w:rFonts w:ascii="Arial" w:eastAsia="Arial" w:hAnsi="Arial" w:cs="Arial"/>
          <w:sz w:val="24"/>
          <w:szCs w:val="24"/>
        </w:rPr>
        <w:t>, com enfoque nos casos conduzidos como infecção de ferida, os microrganismos patogênicos mais prevalentes e a terapia antimicrobiana empírica.</w:t>
      </w:r>
      <w:r w:rsidR="000F69DC">
        <w:rPr>
          <w:rFonts w:ascii="Arial" w:eastAsia="Arial" w:hAnsi="Arial" w:cs="Arial"/>
          <w:sz w:val="24"/>
          <w:szCs w:val="24"/>
        </w:rPr>
        <w:t xml:space="preserve"> </w:t>
      </w:r>
      <w:r w:rsidR="00035CA7">
        <w:rPr>
          <w:rFonts w:ascii="Arial" w:eastAsia="Arial" w:hAnsi="Arial" w:cs="Arial"/>
          <w:sz w:val="24"/>
          <w:szCs w:val="24"/>
        </w:rPr>
        <w:t>Também teve como objetivos</w:t>
      </w:r>
      <w:r w:rsidR="000F69DC">
        <w:rPr>
          <w:rFonts w:ascii="Arial" w:eastAsia="Arial" w:hAnsi="Arial" w:cs="Arial"/>
          <w:sz w:val="24"/>
          <w:szCs w:val="24"/>
        </w:rPr>
        <w:t xml:space="preserve"> descrever </w:t>
      </w:r>
      <w:r w:rsidR="000F69DC" w:rsidRPr="000F69DC">
        <w:rPr>
          <w:rFonts w:ascii="Arial" w:eastAsia="Arial" w:hAnsi="Arial" w:cs="Arial"/>
          <w:sz w:val="24"/>
          <w:szCs w:val="24"/>
        </w:rPr>
        <w:t>sintomatologia apresentada pelos pacientes</w:t>
      </w:r>
      <w:r w:rsidR="000F69DC">
        <w:rPr>
          <w:rFonts w:ascii="Arial" w:eastAsia="Arial" w:hAnsi="Arial" w:cs="Arial"/>
          <w:sz w:val="24"/>
          <w:szCs w:val="24"/>
        </w:rPr>
        <w:t xml:space="preserve"> e as </w:t>
      </w:r>
      <w:r w:rsidR="000F69DC" w:rsidRPr="000F69DC">
        <w:rPr>
          <w:rFonts w:ascii="Arial" w:eastAsia="Arial" w:hAnsi="Arial" w:cs="Arial"/>
          <w:sz w:val="24"/>
          <w:szCs w:val="24"/>
        </w:rPr>
        <w:t xml:space="preserve">abordagens </w:t>
      </w:r>
      <w:r w:rsidR="000F69DC">
        <w:rPr>
          <w:rFonts w:ascii="Arial" w:eastAsia="Arial" w:hAnsi="Arial" w:cs="Arial"/>
          <w:sz w:val="24"/>
          <w:szCs w:val="24"/>
        </w:rPr>
        <w:t xml:space="preserve">terapêuticas </w:t>
      </w:r>
      <w:r w:rsidR="000F69DC" w:rsidRPr="000F69DC">
        <w:rPr>
          <w:rFonts w:ascii="Arial" w:eastAsia="Arial" w:hAnsi="Arial" w:cs="Arial"/>
          <w:sz w:val="24"/>
          <w:szCs w:val="24"/>
        </w:rPr>
        <w:t>adotadas pel</w:t>
      </w:r>
      <w:r w:rsidR="000F69DC">
        <w:rPr>
          <w:rFonts w:ascii="Arial" w:eastAsia="Arial" w:hAnsi="Arial" w:cs="Arial"/>
          <w:sz w:val="24"/>
          <w:szCs w:val="24"/>
        </w:rPr>
        <w:t>a equipe médica.</w:t>
      </w:r>
    </w:p>
    <w:p w14:paraId="4D6A7514" w14:textId="387557CF" w:rsidR="00930701" w:rsidRPr="0093026D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3026D">
        <w:rPr>
          <w:rFonts w:ascii="Arial" w:eastAsia="Arial" w:hAnsi="Arial" w:cs="Arial"/>
          <w:sz w:val="24"/>
          <w:szCs w:val="24"/>
        </w:rPr>
        <w:t xml:space="preserve">                                                 </w:t>
      </w:r>
    </w:p>
    <w:p w14:paraId="081A680C" w14:textId="77777777" w:rsidR="00930701" w:rsidRPr="0093026D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>METODOLOGIA</w:t>
      </w:r>
    </w:p>
    <w:p w14:paraId="0E979F66" w14:textId="66025A92" w:rsidR="000E0716" w:rsidRDefault="00D25103" w:rsidP="00D25103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D25103">
        <w:rPr>
          <w:rFonts w:ascii="Arial" w:eastAsia="Arial" w:hAnsi="Arial" w:cs="Arial"/>
          <w:sz w:val="24"/>
          <w:szCs w:val="24"/>
        </w:rPr>
        <w:t>Realizou-se um estudo transversal e descritivo com dados secundários de prontuários dos pacientes vítimas de picada de serpente atendidos no HDT-UFNT, de 2020 a 2022.</w:t>
      </w:r>
      <w:r w:rsidR="000F69DC">
        <w:rPr>
          <w:rFonts w:ascii="Arial" w:eastAsia="Arial" w:hAnsi="Arial" w:cs="Arial"/>
          <w:sz w:val="24"/>
          <w:szCs w:val="24"/>
        </w:rPr>
        <w:t xml:space="preserve"> </w:t>
      </w:r>
      <w:r w:rsidRPr="00D25103">
        <w:rPr>
          <w:rFonts w:ascii="Arial" w:eastAsia="Arial" w:hAnsi="Arial" w:cs="Arial"/>
          <w:sz w:val="24"/>
          <w:szCs w:val="24"/>
        </w:rPr>
        <w:t>O diagnóstico de piodermite foi baseado nos critérios classificatórios de celulite, erisipela e/ou abscessos. Sinais de inflamação local (dor, edema, eritema e calor), febre, leucocitose e linfadenite foram considerados diagnósticos de celulite e erisipela, na ausência de outras hipóteses e dados clínicos.</w:t>
      </w:r>
    </w:p>
    <w:p w14:paraId="07592ABD" w14:textId="70E95647" w:rsidR="00930701" w:rsidRPr="0093026D" w:rsidRDefault="00D25103" w:rsidP="00D25103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D25103">
        <w:rPr>
          <w:rFonts w:ascii="Arial" w:eastAsia="Arial" w:hAnsi="Arial" w:cs="Arial"/>
          <w:sz w:val="24"/>
          <w:szCs w:val="24"/>
        </w:rPr>
        <w:lastRenderedPageBreak/>
        <w:t>Entre os 219 casos notificados e atendidos durante o período, 7 foram excluídos por dados insuficientes e 1 foi excluído dessa análise pois recebeu antibioticoterapia prévia em outra unidade. Para essa revisão foram considerados 211 casos, sendo 60 pacientes diagnosticados com infecção secundária. Os dados foram analisados com o software Jamovi versão 2.3.28 e foram expostos sob a forma de contagem absoluta, porcentagem, média, mediana, desvio padrão, valor mínimo e valor máximo.</w:t>
      </w:r>
    </w:p>
    <w:p w14:paraId="02C95BEC" w14:textId="0B5DE117" w:rsidR="00930701" w:rsidRPr="0093026D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3026D">
        <w:rPr>
          <w:rFonts w:ascii="Arial" w:eastAsia="Arial" w:hAnsi="Arial" w:cs="Arial"/>
          <w:sz w:val="24"/>
          <w:szCs w:val="24"/>
        </w:rPr>
        <w:t xml:space="preserve">                                                             </w:t>
      </w:r>
    </w:p>
    <w:p w14:paraId="59DA3A7E" w14:textId="4440875E" w:rsidR="00930701" w:rsidRPr="00D25103" w:rsidRDefault="00486485" w:rsidP="00D25103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0D2EFD11" w14:textId="1A39B3D3" w:rsidR="00D25103" w:rsidRDefault="00D25103" w:rsidP="000F69D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25103">
        <w:rPr>
          <w:rFonts w:ascii="Arial" w:eastAsia="Arial" w:hAnsi="Arial" w:cs="Arial"/>
          <w:sz w:val="24"/>
          <w:szCs w:val="24"/>
        </w:rPr>
        <w:t>Foram analisados 211 prontuários e 60 pacientes (28,4%) tiveram diagnóstico clínico de infecção bacteriana secundária. Os homens representaram a maior parcela do total (76,8%) e dos casos de piodermite (80%). A idade média ± DP (desvio padrão) foi de 37.4 ± 20.5 anos. Os acidentes ocorreram predominantemente na zona rural (93.3%). Todos os 60 pacientes foram conduzidos em regime hospitalar. O tempo entre o acidente e o atendimento no hospital de referência teve uma média de 9.9 ± 24.4 hora</w:t>
      </w:r>
      <w:r w:rsidR="000F69DC">
        <w:rPr>
          <w:rFonts w:ascii="Arial" w:eastAsia="Arial" w:hAnsi="Arial" w:cs="Arial"/>
          <w:sz w:val="24"/>
          <w:szCs w:val="24"/>
        </w:rPr>
        <w:t>s</w:t>
      </w:r>
      <w:r w:rsidRPr="00D25103">
        <w:rPr>
          <w:rFonts w:ascii="Arial" w:eastAsia="Arial" w:hAnsi="Arial" w:cs="Arial"/>
          <w:sz w:val="24"/>
          <w:szCs w:val="24"/>
        </w:rPr>
        <w:t>. O tempo de internação foi de 8.3 dias ± 5.8. A região corpórea mais acometida foram os membros inferiores com 54 casos (90 %).</w:t>
      </w:r>
    </w:p>
    <w:p w14:paraId="467FA0A4" w14:textId="1392E864" w:rsidR="00D25103" w:rsidRPr="00D25103" w:rsidRDefault="00486485" w:rsidP="00530BD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3026D">
        <w:rPr>
          <w:rFonts w:ascii="Arial" w:eastAsia="Arial" w:hAnsi="Arial" w:cs="Arial"/>
          <w:sz w:val="24"/>
          <w:szCs w:val="24"/>
        </w:rPr>
        <w:t xml:space="preserve">   </w:t>
      </w:r>
      <w:r w:rsidR="00D25103" w:rsidRPr="00D25103">
        <w:rPr>
          <w:rFonts w:ascii="Arial" w:eastAsia="Arial" w:hAnsi="Arial" w:cs="Arial"/>
          <w:sz w:val="24"/>
          <w:szCs w:val="24"/>
        </w:rPr>
        <w:t xml:space="preserve">Sabe-se que a vulnerabilidade socioeconômica, o sexo masculino e a zona rural são importantes fatores de risco para a ocorrência de picada e envenenamento por serpentes </w:t>
      </w:r>
      <w:r w:rsidR="00530BDA" w:rsidRPr="00530BDA">
        <w:rPr>
          <w:rFonts w:ascii="Arial" w:eastAsia="Arial" w:hAnsi="Arial" w:cs="Arial"/>
          <w:sz w:val="24"/>
          <w:szCs w:val="24"/>
        </w:rPr>
        <w:t>(BOCHNER, 2003)</w:t>
      </w:r>
      <w:r w:rsidR="00D25103" w:rsidRPr="00D25103">
        <w:rPr>
          <w:rFonts w:ascii="Arial" w:eastAsia="Arial" w:hAnsi="Arial" w:cs="Arial"/>
          <w:sz w:val="24"/>
          <w:szCs w:val="24"/>
        </w:rPr>
        <w:t xml:space="preserve">. </w:t>
      </w:r>
      <w:r w:rsidR="00B156CD">
        <w:rPr>
          <w:rFonts w:ascii="Arial" w:eastAsia="Arial" w:hAnsi="Arial" w:cs="Arial"/>
          <w:sz w:val="24"/>
          <w:szCs w:val="24"/>
        </w:rPr>
        <w:t xml:space="preserve">Outros estudos também </w:t>
      </w:r>
      <w:r w:rsidR="00D25103" w:rsidRPr="00D25103">
        <w:rPr>
          <w:rFonts w:ascii="Arial" w:eastAsia="Arial" w:hAnsi="Arial" w:cs="Arial"/>
          <w:sz w:val="24"/>
          <w:szCs w:val="24"/>
        </w:rPr>
        <w:t>identificaram uma maior parcela dos acidentes na zona rural. Além disso, 76.6% dos indivíduos estavam na faixa etária de 15 a 64 anos e os homens representaram 80% do total, em consonância com outras localidades</w:t>
      </w:r>
      <w:r w:rsidR="00035CA7">
        <w:rPr>
          <w:rFonts w:ascii="Arial" w:eastAsia="Arial" w:hAnsi="Arial" w:cs="Arial"/>
          <w:sz w:val="24"/>
          <w:szCs w:val="24"/>
        </w:rPr>
        <w:t xml:space="preserve"> </w:t>
      </w:r>
      <w:r w:rsidR="00530BDA" w:rsidRPr="00530BDA">
        <w:rPr>
          <w:rFonts w:ascii="Arial" w:eastAsia="Arial" w:hAnsi="Arial" w:cs="Arial"/>
          <w:sz w:val="24"/>
          <w:szCs w:val="24"/>
        </w:rPr>
        <w:t>(MISE, 2007; BERNARDES, 2012)</w:t>
      </w:r>
      <w:r w:rsidR="00530BDA">
        <w:rPr>
          <w:rFonts w:ascii="Arial" w:eastAsia="Arial" w:hAnsi="Arial" w:cs="Arial"/>
          <w:sz w:val="24"/>
          <w:szCs w:val="24"/>
        </w:rPr>
        <w:t xml:space="preserve">. </w:t>
      </w:r>
      <w:r w:rsidR="00D25103" w:rsidRPr="00D25103">
        <w:rPr>
          <w:rFonts w:ascii="Arial" w:eastAsia="Arial" w:hAnsi="Arial" w:cs="Arial"/>
          <w:sz w:val="24"/>
          <w:szCs w:val="24"/>
        </w:rPr>
        <w:t xml:space="preserve">Acerca das manifestações locais, houve importante predomínio da dor (91.7%) e edema (81,7%) sobre os outros sintomas, consoante com o observado na literatura </w:t>
      </w:r>
      <w:r w:rsidR="00530BDA" w:rsidRPr="00530BDA">
        <w:rPr>
          <w:rFonts w:ascii="Arial" w:eastAsia="Arial" w:hAnsi="Arial" w:cs="Arial"/>
          <w:sz w:val="24"/>
          <w:szCs w:val="24"/>
        </w:rPr>
        <w:t>(MISE, 2007)</w:t>
      </w:r>
      <w:r w:rsidR="00D25103" w:rsidRPr="00D25103">
        <w:rPr>
          <w:rFonts w:ascii="Arial" w:eastAsia="Arial" w:hAnsi="Arial" w:cs="Arial"/>
          <w:sz w:val="24"/>
          <w:szCs w:val="24"/>
        </w:rPr>
        <w:t>.</w:t>
      </w:r>
    </w:p>
    <w:p w14:paraId="7938138A" w14:textId="269AAA16" w:rsidR="00D25103" w:rsidRPr="00D25103" w:rsidRDefault="00D25103" w:rsidP="00035CA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25103">
        <w:rPr>
          <w:rFonts w:ascii="Arial" w:eastAsia="Arial" w:hAnsi="Arial" w:cs="Arial"/>
          <w:sz w:val="24"/>
          <w:szCs w:val="24"/>
        </w:rPr>
        <w:t xml:space="preserve">A taxa de indivíduos </w:t>
      </w:r>
      <w:r w:rsidR="00035CA7">
        <w:rPr>
          <w:rFonts w:ascii="Arial" w:eastAsia="Arial" w:hAnsi="Arial" w:cs="Arial"/>
          <w:sz w:val="24"/>
          <w:szCs w:val="24"/>
        </w:rPr>
        <w:t>com</w:t>
      </w:r>
      <w:r w:rsidRPr="00D25103">
        <w:rPr>
          <w:rFonts w:ascii="Arial" w:eastAsia="Arial" w:hAnsi="Arial" w:cs="Arial"/>
          <w:sz w:val="24"/>
          <w:szCs w:val="24"/>
        </w:rPr>
        <w:t xml:space="preserve"> diagnóstico</w:t>
      </w:r>
      <w:r w:rsidR="00035CA7">
        <w:rPr>
          <w:rFonts w:ascii="Arial" w:eastAsia="Arial" w:hAnsi="Arial" w:cs="Arial"/>
          <w:sz w:val="24"/>
          <w:szCs w:val="24"/>
        </w:rPr>
        <w:t xml:space="preserve"> clínico de </w:t>
      </w:r>
      <w:r w:rsidR="00035CA7" w:rsidRPr="00D25103">
        <w:rPr>
          <w:rFonts w:ascii="Arial" w:eastAsia="Arial" w:hAnsi="Arial" w:cs="Arial"/>
          <w:sz w:val="24"/>
          <w:szCs w:val="24"/>
        </w:rPr>
        <w:t xml:space="preserve">infecção bacteriana secundária </w:t>
      </w:r>
      <w:r w:rsidRPr="00D25103">
        <w:rPr>
          <w:rFonts w:ascii="Arial" w:eastAsia="Arial" w:hAnsi="Arial" w:cs="Arial"/>
          <w:sz w:val="24"/>
          <w:szCs w:val="24"/>
        </w:rPr>
        <w:t>tem alta variação nos estudos</w:t>
      </w:r>
      <w:r w:rsidR="00035CA7" w:rsidRPr="00D25103">
        <w:rPr>
          <w:rFonts w:ascii="Arial" w:eastAsia="Arial" w:hAnsi="Arial" w:cs="Arial"/>
          <w:sz w:val="24"/>
          <w:szCs w:val="24"/>
        </w:rPr>
        <w:t xml:space="preserve"> </w:t>
      </w:r>
      <w:r w:rsidR="00530BDA" w:rsidRPr="00530BDA">
        <w:rPr>
          <w:rFonts w:ascii="Arial" w:eastAsia="Arial" w:hAnsi="Arial" w:cs="Arial"/>
          <w:sz w:val="24"/>
          <w:szCs w:val="24"/>
        </w:rPr>
        <w:t>(LIN, 2020; MENDES, 2022)</w:t>
      </w:r>
      <w:r w:rsidRPr="00D25103">
        <w:rPr>
          <w:rFonts w:ascii="Arial" w:eastAsia="Arial" w:hAnsi="Arial" w:cs="Arial"/>
          <w:sz w:val="24"/>
          <w:szCs w:val="24"/>
        </w:rPr>
        <w:t xml:space="preserve">. A explicação para isso parece ser devido a diferentes definições de piodermite </w:t>
      </w:r>
      <w:r w:rsidR="00530BDA" w:rsidRPr="00530BDA">
        <w:rPr>
          <w:rFonts w:ascii="Arial" w:eastAsia="Arial" w:hAnsi="Arial" w:cs="Arial"/>
          <w:sz w:val="24"/>
          <w:szCs w:val="24"/>
        </w:rPr>
        <w:t>(LARRÉCHÉ, 2023)</w:t>
      </w:r>
      <w:r w:rsidRPr="00D25103">
        <w:rPr>
          <w:rFonts w:ascii="Arial" w:eastAsia="Arial" w:hAnsi="Arial" w:cs="Arial"/>
          <w:sz w:val="24"/>
          <w:szCs w:val="24"/>
        </w:rPr>
        <w:t xml:space="preserve">. Além disso, pode haver confusão entre as manifestações da infecção e do envenenamento. </w:t>
      </w:r>
      <w:r w:rsidRPr="00D25103">
        <w:rPr>
          <w:rFonts w:ascii="Arial" w:eastAsia="Arial" w:hAnsi="Arial" w:cs="Arial"/>
          <w:sz w:val="24"/>
          <w:szCs w:val="24"/>
        </w:rPr>
        <w:lastRenderedPageBreak/>
        <w:t xml:space="preserve">Desse modo, faz-se necessário critérios validados que possam diferenciar essas duas condições de forma confiável </w:t>
      </w:r>
      <w:r w:rsidR="00530BDA" w:rsidRPr="00530BDA">
        <w:rPr>
          <w:rFonts w:ascii="Arial" w:eastAsia="Arial" w:hAnsi="Arial" w:cs="Arial"/>
          <w:sz w:val="24"/>
          <w:szCs w:val="24"/>
        </w:rPr>
        <w:t>(RESIERE, 2020)</w:t>
      </w:r>
      <w:r w:rsidRPr="00D25103">
        <w:rPr>
          <w:rFonts w:ascii="Arial" w:eastAsia="Arial" w:hAnsi="Arial" w:cs="Arial"/>
          <w:sz w:val="24"/>
          <w:szCs w:val="24"/>
        </w:rPr>
        <w:t>.</w:t>
      </w:r>
    </w:p>
    <w:p w14:paraId="775294E2" w14:textId="6D2C6CF8" w:rsidR="00D25103" w:rsidRPr="00D25103" w:rsidRDefault="00035CA7" w:rsidP="00D2510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mesmos</w:t>
      </w:r>
      <w:r w:rsidR="00D25103" w:rsidRPr="00D25103">
        <w:rPr>
          <w:rFonts w:ascii="Arial" w:eastAsia="Arial" w:hAnsi="Arial" w:cs="Arial"/>
          <w:sz w:val="24"/>
          <w:szCs w:val="24"/>
        </w:rPr>
        <w:t xml:space="preserve"> indicadores </w:t>
      </w:r>
      <w:r>
        <w:rPr>
          <w:rFonts w:ascii="Arial" w:eastAsia="Arial" w:hAnsi="Arial" w:cs="Arial"/>
          <w:sz w:val="24"/>
          <w:szCs w:val="24"/>
        </w:rPr>
        <w:t xml:space="preserve">clínicos e laboratoriais </w:t>
      </w:r>
      <w:r w:rsidR="00D25103" w:rsidRPr="00D25103">
        <w:rPr>
          <w:rFonts w:ascii="Arial" w:eastAsia="Arial" w:hAnsi="Arial" w:cs="Arial"/>
          <w:sz w:val="24"/>
          <w:szCs w:val="24"/>
        </w:rPr>
        <w:t>de infecção secundária</w:t>
      </w:r>
      <w:r>
        <w:rPr>
          <w:rFonts w:ascii="Arial" w:eastAsia="Arial" w:hAnsi="Arial" w:cs="Arial"/>
          <w:sz w:val="24"/>
          <w:szCs w:val="24"/>
        </w:rPr>
        <w:t xml:space="preserve"> adotados no HDT-UFT foram descritos em</w:t>
      </w:r>
      <w:r w:rsidR="00D25103" w:rsidRPr="00D25103">
        <w:rPr>
          <w:rFonts w:ascii="Arial" w:eastAsia="Arial" w:hAnsi="Arial" w:cs="Arial"/>
          <w:sz w:val="24"/>
          <w:szCs w:val="24"/>
        </w:rPr>
        <w:t xml:space="preserve"> outros estudos</w:t>
      </w:r>
      <w:r w:rsidR="00B156CD">
        <w:rPr>
          <w:rFonts w:ascii="Arial" w:eastAsia="Arial" w:hAnsi="Arial" w:cs="Arial"/>
          <w:sz w:val="24"/>
          <w:szCs w:val="24"/>
        </w:rPr>
        <w:t xml:space="preserve"> </w:t>
      </w:r>
      <w:r w:rsidR="00530BDA" w:rsidRPr="00530BDA">
        <w:rPr>
          <w:rFonts w:ascii="Arial" w:eastAsia="Arial" w:hAnsi="Arial" w:cs="Arial"/>
          <w:sz w:val="24"/>
          <w:szCs w:val="24"/>
        </w:rPr>
        <w:t>(MENDES, 2022)</w:t>
      </w:r>
      <w:r w:rsidR="00D25103" w:rsidRPr="00D25103">
        <w:rPr>
          <w:rFonts w:ascii="Arial" w:eastAsia="Arial" w:hAnsi="Arial" w:cs="Arial"/>
          <w:sz w:val="24"/>
          <w:szCs w:val="24"/>
        </w:rPr>
        <w:t>. Nesse estudo, nenhum caso foi confirmado com cultura. De fato, em inúmeras localidades esse diagnóstico é clínico e os exames microbiológicos são uma exceção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30BDA" w:rsidRPr="00530BDA">
        <w:rPr>
          <w:rFonts w:ascii="Arial" w:eastAsia="Arial" w:hAnsi="Arial" w:cs="Arial"/>
          <w:sz w:val="24"/>
          <w:szCs w:val="24"/>
        </w:rPr>
        <w:t>(LIN, 2020</w:t>
      </w:r>
      <w:r w:rsidR="00530BDA">
        <w:rPr>
          <w:rFonts w:ascii="Arial" w:eastAsia="Arial" w:hAnsi="Arial" w:cs="Arial"/>
          <w:sz w:val="24"/>
          <w:szCs w:val="24"/>
        </w:rPr>
        <w:t>)</w:t>
      </w:r>
      <w:r w:rsidR="00D25103" w:rsidRPr="00D25103">
        <w:rPr>
          <w:rFonts w:ascii="Arial" w:eastAsia="Arial" w:hAnsi="Arial" w:cs="Arial"/>
          <w:sz w:val="24"/>
          <w:szCs w:val="24"/>
        </w:rPr>
        <w:t>. Apesar disso, é válido reforçar a importância de solicitar cultura e antibiograma aos pacientes com infecção bacteriana tratados em regime hospitalar.</w:t>
      </w:r>
    </w:p>
    <w:p w14:paraId="0172B001" w14:textId="7C55B46B" w:rsidR="00D25103" w:rsidRPr="00D25103" w:rsidRDefault="00D25103" w:rsidP="00D2510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25103">
        <w:rPr>
          <w:rFonts w:ascii="Arial" w:eastAsia="Arial" w:hAnsi="Arial" w:cs="Arial"/>
          <w:sz w:val="24"/>
          <w:szCs w:val="24"/>
        </w:rPr>
        <w:t>Os antibióticos mais prescritos no hospital do presente estudo foram a clindamicina (n = 47), ceftriaxona (n = 26), ciprofloxacino (n = 25) e amoxicilina (n = 6). Em pesquisas que realizaram bacterioscopia da cavidade oral das serpentes do gênero Bothrops e teste de susceptibilidade/resistência, foi verificado que houve resistência a amoxicilina/clavulanato, enquanto houve sensibilidade a meropenem e ciprofloxacino</w:t>
      </w:r>
      <w:r w:rsidR="00530BDA">
        <w:rPr>
          <w:rFonts w:ascii="Arial" w:eastAsia="Arial" w:hAnsi="Arial" w:cs="Arial"/>
          <w:sz w:val="24"/>
          <w:szCs w:val="24"/>
        </w:rPr>
        <w:t xml:space="preserve"> </w:t>
      </w:r>
      <w:r w:rsidR="00530BDA" w:rsidRPr="00530BDA">
        <w:rPr>
          <w:rFonts w:ascii="Arial" w:eastAsia="Arial" w:hAnsi="Arial" w:cs="Arial"/>
          <w:sz w:val="24"/>
          <w:szCs w:val="24"/>
        </w:rPr>
        <w:t>(LARRÉCHÉ, 2023)</w:t>
      </w:r>
      <w:r w:rsidRPr="00D25103">
        <w:rPr>
          <w:rFonts w:ascii="Arial" w:eastAsia="Arial" w:hAnsi="Arial" w:cs="Arial"/>
          <w:sz w:val="24"/>
          <w:szCs w:val="24"/>
        </w:rPr>
        <w:t>. Outro trabalho que realizou cultura e antibiograma de feridas infectadas demonstrou que para enterobactérias gram-negativas ocorreu uma resistência de 60% a amoxicilina com clavulanato, enquanto houve 100% sensibilidade a ciprofloxacino e de 97.1% a ceftriaxona</w:t>
      </w:r>
      <w:r w:rsidR="00530BDA">
        <w:rPr>
          <w:rFonts w:ascii="Arial" w:eastAsia="Arial" w:hAnsi="Arial" w:cs="Arial"/>
          <w:sz w:val="24"/>
          <w:szCs w:val="24"/>
        </w:rPr>
        <w:t xml:space="preserve"> </w:t>
      </w:r>
      <w:r w:rsidR="00530BDA" w:rsidRPr="00530BDA">
        <w:rPr>
          <w:rFonts w:ascii="Arial" w:eastAsia="Arial" w:hAnsi="Arial" w:cs="Arial"/>
          <w:sz w:val="24"/>
          <w:szCs w:val="24"/>
        </w:rPr>
        <w:t>(WAGENER, 2017)</w:t>
      </w:r>
      <w:r w:rsidRPr="00D25103">
        <w:rPr>
          <w:rFonts w:ascii="Arial" w:eastAsia="Arial" w:hAnsi="Arial" w:cs="Arial"/>
          <w:sz w:val="24"/>
          <w:szCs w:val="24"/>
        </w:rPr>
        <w:t>. De acordo com os estudos analisados, parece ser mais eficaz iniciar a terapia empírica com ciprofloxacino, ceftriaxona, piperacilina/tazobactam ou amoxicilina/clavulanato associada a ciprofloxacino ou levofloxacino</w:t>
      </w:r>
      <w:r w:rsidR="00530BDA">
        <w:rPr>
          <w:rFonts w:ascii="Arial" w:eastAsia="Arial" w:hAnsi="Arial" w:cs="Arial"/>
          <w:sz w:val="24"/>
          <w:szCs w:val="24"/>
        </w:rPr>
        <w:t xml:space="preserve"> </w:t>
      </w:r>
      <w:r w:rsidR="00530BDA" w:rsidRPr="00530BDA">
        <w:rPr>
          <w:rFonts w:ascii="Arial" w:eastAsia="Arial" w:hAnsi="Arial" w:cs="Arial"/>
          <w:sz w:val="24"/>
          <w:szCs w:val="24"/>
        </w:rPr>
        <w:t>(HUANG, 2012; PANDA, 2018)</w:t>
      </w:r>
      <w:r w:rsidR="00530BDA">
        <w:rPr>
          <w:rFonts w:ascii="Arial" w:eastAsia="Arial" w:hAnsi="Arial" w:cs="Arial"/>
          <w:sz w:val="24"/>
          <w:szCs w:val="24"/>
        </w:rPr>
        <w:t>.</w:t>
      </w:r>
    </w:p>
    <w:p w14:paraId="19DEABFB" w14:textId="77777777" w:rsidR="00930701" w:rsidRPr="0093026D" w:rsidRDefault="00930701" w:rsidP="00575B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4EE1D3" w14:textId="37F0AD07" w:rsidR="00930701" w:rsidRPr="00D25103" w:rsidRDefault="00486485" w:rsidP="00D25103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14:paraId="2CBC1BD6" w14:textId="108882EB" w:rsidR="00D25103" w:rsidRPr="0093026D" w:rsidRDefault="00D25103" w:rsidP="00D25103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D25103">
        <w:rPr>
          <w:rFonts w:ascii="Arial" w:eastAsia="Arial" w:hAnsi="Arial" w:cs="Arial"/>
          <w:sz w:val="24"/>
          <w:szCs w:val="24"/>
        </w:rPr>
        <w:t xml:space="preserve">A infecção bacteriana secundária a picada de serpentes é uma das principais complicações relatadas. Contudo, é pouco compreendida principalmente no que tange a microbiologia, fármacos antimicrobianos e seus perfis de resistência/sensibilidade. Ao considerar tais fatores é possível instituir a terapêutica adequada e prevenir complicações como abscesso, necrose, fasciíte, amputação, indução de resistência e aumento dos custos nos serviços de saúde. São necessárias mais pesquisas que </w:t>
      </w:r>
      <w:r w:rsidRPr="00D25103">
        <w:rPr>
          <w:rFonts w:ascii="Arial" w:eastAsia="Arial" w:hAnsi="Arial" w:cs="Arial"/>
          <w:sz w:val="24"/>
          <w:szCs w:val="24"/>
        </w:rPr>
        <w:lastRenderedPageBreak/>
        <w:t>busquem preditores de infecção e possam criar algoritmos que auxiliem na suspeição clínica de infecção bacteriana e que orientem os antibióticos de primeira linha mais eficazes, baseado em estudos de susceptibilidade publicados.</w:t>
      </w:r>
    </w:p>
    <w:p w14:paraId="276E645F" w14:textId="77777777" w:rsidR="00930701" w:rsidRPr="0093026D" w:rsidRDefault="009307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44EEE66" w14:textId="1F70C24D" w:rsidR="000240B8" w:rsidRPr="000240B8" w:rsidRDefault="00486485" w:rsidP="000240B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>REFERÊNCIAS</w:t>
      </w:r>
    </w:p>
    <w:p w14:paraId="253DB8AB" w14:textId="0CA7BD8D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0240B8">
        <w:rPr>
          <w:rFonts w:ascii="Arial" w:eastAsia="Times New Roman" w:hAnsi="Arial" w:cs="Arial"/>
          <w:sz w:val="24"/>
          <w:szCs w:val="24"/>
        </w:rPr>
        <w:t xml:space="preserve">BERNARDE, P. S.; GOMES, J. O. Serpentes peçonhentas e ofidismo em Cruzeiro do Sul, Alto Juruá, Estado do Acre, Brasil.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>Acta Amaz</w:t>
      </w:r>
      <w:r w:rsidRPr="000240B8">
        <w:rPr>
          <w:rFonts w:ascii="Arial" w:eastAsia="Times New Roman" w:hAnsi="Arial" w:cs="Arial"/>
          <w:sz w:val="24"/>
          <w:szCs w:val="24"/>
        </w:rPr>
        <w:t xml:space="preserve">, 42(1):65–72, 2012. Disponível em: </w:t>
      </w:r>
      <w:hyperlink r:id="rId8" w:history="1">
        <w:r w:rsidRPr="00E142D9">
          <w:rPr>
            <w:rStyle w:val="Hyperlink"/>
            <w:rFonts w:ascii="Arial" w:eastAsia="Times New Roman" w:hAnsi="Arial" w:cs="Arial"/>
            <w:sz w:val="24"/>
            <w:szCs w:val="24"/>
          </w:rPr>
          <w:t>https://doi.org/10.1590/S0044-59672012000100008</w:t>
        </w:r>
      </w:hyperlink>
      <w:r w:rsidRPr="000240B8">
        <w:rPr>
          <w:rFonts w:ascii="Arial" w:eastAsia="Times New Roman" w:hAnsi="Arial" w:cs="Arial"/>
          <w:sz w:val="24"/>
          <w:szCs w:val="24"/>
        </w:rPr>
        <w:t>.</w:t>
      </w:r>
    </w:p>
    <w:p w14:paraId="29C7D689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0240B8">
        <w:rPr>
          <w:rFonts w:ascii="Arial" w:eastAsia="Times New Roman" w:hAnsi="Arial" w:cs="Arial"/>
          <w:sz w:val="24"/>
          <w:szCs w:val="24"/>
        </w:rPr>
        <w:t xml:space="preserve">BOCHNER, R; STRUCHINER, C. J. Epidemiologia dos acidentes ofídicos nos últimos 100 anos no Brasil: uma revisão.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>Cad Saúde Pública</w:t>
      </w:r>
      <w:r w:rsidRPr="000240B8">
        <w:rPr>
          <w:rFonts w:ascii="Arial" w:eastAsia="Times New Roman" w:hAnsi="Arial" w:cs="Arial"/>
          <w:sz w:val="24"/>
          <w:szCs w:val="24"/>
        </w:rPr>
        <w:t xml:space="preserve">, 19(1):07–16, 2003. Disponível em: </w:t>
      </w:r>
      <w:hyperlink r:id="rId9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https://doi.org/10.1590/S0102-311X2003000100002</w:t>
        </w:r>
      </w:hyperlink>
      <w:r w:rsidRPr="000240B8">
        <w:rPr>
          <w:rFonts w:ascii="Arial" w:eastAsia="Times New Roman" w:hAnsi="Arial" w:cs="Arial"/>
          <w:sz w:val="24"/>
          <w:szCs w:val="24"/>
        </w:rPr>
        <w:t>.</w:t>
      </w:r>
    </w:p>
    <w:p w14:paraId="727E13D8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0240B8">
        <w:rPr>
          <w:rFonts w:ascii="Arial" w:eastAsia="Times New Roman" w:hAnsi="Arial" w:cs="Arial"/>
          <w:b/>
          <w:bCs/>
          <w:sz w:val="24"/>
          <w:szCs w:val="24"/>
        </w:rPr>
        <w:t>DATASUS (BRASIL):</w:t>
      </w:r>
      <w:r w:rsidRPr="000240B8">
        <w:rPr>
          <w:rFonts w:ascii="Arial" w:eastAsia="Times New Roman" w:hAnsi="Arial" w:cs="Arial"/>
          <w:sz w:val="24"/>
          <w:szCs w:val="24"/>
        </w:rPr>
        <w:t xml:space="preserve"> Departamento de Informática do Sistema Único de Saúde [Internet]. Notificações segundo Região/UF de notificação. 2020-2022. Disponível em: </w:t>
      </w:r>
      <w:hyperlink r:id="rId10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http://tabnet.datasus.gov.br/cgi/deftohtm.exe?sinannet/cnv/animaisbr.def</w:t>
        </w:r>
      </w:hyperlink>
      <w:r w:rsidRPr="000240B8">
        <w:rPr>
          <w:rFonts w:ascii="Arial" w:eastAsia="Times New Roman" w:hAnsi="Arial" w:cs="Arial"/>
          <w:sz w:val="24"/>
          <w:szCs w:val="24"/>
        </w:rPr>
        <w:t>.</w:t>
      </w:r>
    </w:p>
    <w:p w14:paraId="69CC29A5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40B8">
        <w:rPr>
          <w:rFonts w:ascii="Arial" w:eastAsia="Times New Roman" w:hAnsi="Arial" w:cs="Arial"/>
          <w:sz w:val="24"/>
          <w:szCs w:val="24"/>
        </w:rPr>
        <w:t xml:space="preserve">FEITOSA, E. S </w:t>
      </w:r>
      <w:r w:rsidRPr="000240B8">
        <w:rPr>
          <w:rFonts w:ascii="Arial" w:eastAsia="Times New Roman" w:hAnsi="Arial" w:cs="Arial"/>
          <w:i/>
          <w:iCs/>
          <w:sz w:val="24"/>
          <w:szCs w:val="24"/>
        </w:rPr>
        <w:t>et al</w:t>
      </w:r>
      <w:r w:rsidRPr="000240B8">
        <w:rPr>
          <w:rFonts w:ascii="Arial" w:eastAsia="Times New Roman" w:hAnsi="Arial" w:cs="Arial"/>
          <w:sz w:val="24"/>
          <w:szCs w:val="24"/>
        </w:rPr>
        <w:t xml:space="preserve">. </w:t>
      </w:r>
      <w:r w:rsidRPr="000240B8">
        <w:rPr>
          <w:rFonts w:ascii="Arial" w:eastAsia="Times New Roman" w:hAnsi="Arial" w:cs="Arial"/>
          <w:sz w:val="24"/>
          <w:szCs w:val="24"/>
          <w:lang w:val="en-GB"/>
        </w:rPr>
        <w:t>Snakebites as a largely neglected problem in the Brazilian Amazon: highlights of the epidemiological trends in the State of Amazonas.</w:t>
      </w:r>
      <w:r w:rsidRPr="000240B8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 xml:space="preserve">Rev Soc Bras Med Trop, </w:t>
      </w:r>
      <w:r w:rsidRPr="000240B8">
        <w:rPr>
          <w:rFonts w:ascii="Arial" w:eastAsia="Times New Roman" w:hAnsi="Arial" w:cs="Arial"/>
          <w:sz w:val="24"/>
          <w:szCs w:val="24"/>
        </w:rPr>
        <w:t xml:space="preserve">48:34–41, 2015. Disponível em: </w:t>
      </w:r>
      <w:hyperlink r:id="rId11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https://doi.org/10.1590/0037-8682-0105-2013</w:t>
        </w:r>
      </w:hyperlink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8669999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132734">
        <w:rPr>
          <w:rFonts w:ascii="Arial" w:eastAsia="Times New Roman" w:hAnsi="Arial" w:cs="Arial"/>
          <w:sz w:val="24"/>
          <w:szCs w:val="24"/>
          <w:lang w:val="en-GB"/>
        </w:rPr>
        <w:t xml:space="preserve">HUANG, L. W </w:t>
      </w:r>
      <w:r w:rsidRPr="00132734">
        <w:rPr>
          <w:rFonts w:ascii="Arial" w:eastAsia="Times New Roman" w:hAnsi="Arial" w:cs="Arial"/>
          <w:i/>
          <w:iCs/>
          <w:sz w:val="24"/>
          <w:szCs w:val="24"/>
          <w:lang w:val="en-GB"/>
        </w:rPr>
        <w:t>et al</w:t>
      </w:r>
      <w:r w:rsidRPr="00132734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Pr="000240B8">
        <w:rPr>
          <w:rFonts w:ascii="Arial" w:eastAsia="Times New Roman" w:hAnsi="Arial" w:cs="Arial"/>
          <w:sz w:val="24"/>
          <w:szCs w:val="24"/>
          <w:lang w:val="en-GB"/>
        </w:rPr>
        <w:t xml:space="preserve">Wound infections secondary to snakebite in central Taiwan.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>J Venom Anim Toxins incl Trop Dis</w:t>
      </w:r>
      <w:r w:rsidRPr="000240B8">
        <w:rPr>
          <w:rFonts w:ascii="Arial" w:eastAsia="Times New Roman" w:hAnsi="Arial" w:cs="Arial"/>
          <w:sz w:val="24"/>
          <w:szCs w:val="24"/>
        </w:rPr>
        <w:t xml:space="preserve">,18(3):272-6, 2012. Disponível em: </w:t>
      </w:r>
      <w:hyperlink r:id="rId12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https://doi.org/10.1590/S1678-91992012000300004</w:t>
        </w:r>
      </w:hyperlink>
      <w:r w:rsidRPr="000240B8">
        <w:rPr>
          <w:rFonts w:ascii="Arial" w:eastAsia="Times New Roman" w:hAnsi="Arial" w:cs="Arial"/>
          <w:sz w:val="24"/>
          <w:szCs w:val="24"/>
        </w:rPr>
        <w:t>.</w:t>
      </w:r>
    </w:p>
    <w:p w14:paraId="731F69AE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0240B8">
        <w:rPr>
          <w:rFonts w:ascii="Arial" w:eastAsia="Times New Roman" w:hAnsi="Arial" w:cs="Arial"/>
          <w:sz w:val="24"/>
          <w:szCs w:val="24"/>
          <w:lang w:val="en-GB"/>
        </w:rPr>
        <w:t xml:space="preserve">HUI, Wen </w:t>
      </w:r>
      <w:r w:rsidRPr="000240B8">
        <w:rPr>
          <w:rFonts w:ascii="Arial" w:eastAsia="Times New Roman" w:hAnsi="Arial" w:cs="Arial"/>
          <w:i/>
          <w:iCs/>
          <w:sz w:val="24"/>
          <w:szCs w:val="24"/>
          <w:lang w:val="en-GB"/>
        </w:rPr>
        <w:t>et al</w:t>
      </w:r>
      <w:r w:rsidRPr="000240B8">
        <w:rPr>
          <w:rFonts w:ascii="Arial" w:eastAsia="Times New Roman" w:hAnsi="Arial" w:cs="Arial"/>
          <w:sz w:val="24"/>
          <w:szCs w:val="24"/>
          <w:lang w:val="en-GB"/>
        </w:rPr>
        <w:t xml:space="preserve">. Snakebites and scorpion stings in the Brazilian Amazon: identifying research priorities for a largely neglected problem.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 xml:space="preserve">PLoS Negl Trop Dis, </w:t>
      </w:r>
      <w:r w:rsidRPr="000240B8">
        <w:rPr>
          <w:rFonts w:ascii="Arial" w:eastAsia="Times New Roman" w:hAnsi="Arial" w:cs="Arial"/>
          <w:sz w:val="24"/>
          <w:szCs w:val="24"/>
        </w:rPr>
        <w:t xml:space="preserve">21;9(5):e0003701, 2015. Disponível em: </w:t>
      </w:r>
      <w:hyperlink r:id="rId13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https://doi.org/10.1371/journal.pntd.0003701</w:t>
        </w:r>
      </w:hyperlink>
      <w:r>
        <w:rPr>
          <w:rFonts w:ascii="Arial" w:eastAsia="Times New Roman" w:hAnsi="Arial" w:cs="Arial"/>
          <w:sz w:val="24"/>
          <w:szCs w:val="24"/>
        </w:rPr>
        <w:t>.</w:t>
      </w:r>
    </w:p>
    <w:p w14:paraId="17263605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0240B8">
        <w:rPr>
          <w:rFonts w:ascii="Arial" w:eastAsia="Times New Roman" w:hAnsi="Arial" w:cs="Arial"/>
          <w:sz w:val="24"/>
          <w:szCs w:val="24"/>
          <w:lang w:val="en-GB"/>
        </w:rPr>
        <w:t xml:space="preserve">KASTURIRATNE, A </w:t>
      </w:r>
      <w:r w:rsidRPr="000240B8">
        <w:rPr>
          <w:rFonts w:ascii="Arial" w:eastAsia="Times New Roman" w:hAnsi="Arial" w:cs="Arial"/>
          <w:i/>
          <w:iCs/>
          <w:sz w:val="24"/>
          <w:szCs w:val="24"/>
          <w:lang w:val="en-GB"/>
        </w:rPr>
        <w:t>et al</w:t>
      </w:r>
      <w:r w:rsidRPr="000240B8">
        <w:rPr>
          <w:rFonts w:ascii="Arial" w:eastAsia="Times New Roman" w:hAnsi="Arial" w:cs="Arial"/>
          <w:sz w:val="24"/>
          <w:szCs w:val="24"/>
          <w:lang w:val="en-GB"/>
        </w:rPr>
        <w:t xml:space="preserve">. The Global Burden of Snakebite: A Literature Analysis and Modelling Based on Regional Estimates of Envenoming and Deaths.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 xml:space="preserve">PLoS Med, </w:t>
      </w:r>
      <w:r w:rsidRPr="000240B8">
        <w:rPr>
          <w:rFonts w:ascii="Arial" w:eastAsia="Times New Roman" w:hAnsi="Arial" w:cs="Arial"/>
          <w:sz w:val="24"/>
          <w:szCs w:val="24"/>
        </w:rPr>
        <w:t>4;5(11):e218, 2008.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40B8">
        <w:rPr>
          <w:rFonts w:ascii="Arial" w:eastAsia="Times New Roman" w:hAnsi="Arial" w:cs="Arial"/>
          <w:sz w:val="24"/>
          <w:szCs w:val="24"/>
        </w:rPr>
        <w:t>Disponível em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hyperlink r:id="rId14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https://doi.org/10.1371/journal.pmed.0050218</w:t>
        </w:r>
      </w:hyperlink>
      <w:r>
        <w:rPr>
          <w:rFonts w:ascii="Arial" w:eastAsia="Times New Roman" w:hAnsi="Arial" w:cs="Arial"/>
          <w:sz w:val="24"/>
          <w:szCs w:val="24"/>
        </w:rPr>
        <w:t>.</w:t>
      </w:r>
    </w:p>
    <w:p w14:paraId="2FF31065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132734">
        <w:rPr>
          <w:rFonts w:ascii="Arial" w:eastAsia="Times New Roman" w:hAnsi="Arial" w:cs="Arial"/>
          <w:sz w:val="24"/>
          <w:szCs w:val="24"/>
        </w:rPr>
        <w:t xml:space="preserve">LARRÉCHÉ, S </w:t>
      </w:r>
      <w:r w:rsidRPr="00132734">
        <w:rPr>
          <w:rFonts w:ascii="Arial" w:eastAsia="Times New Roman" w:hAnsi="Arial" w:cs="Arial"/>
          <w:i/>
          <w:iCs/>
          <w:sz w:val="24"/>
          <w:szCs w:val="24"/>
        </w:rPr>
        <w:t>et al</w:t>
      </w:r>
      <w:r w:rsidRPr="00132734">
        <w:rPr>
          <w:rFonts w:ascii="Arial" w:eastAsia="Times New Roman" w:hAnsi="Arial" w:cs="Arial"/>
          <w:sz w:val="24"/>
          <w:szCs w:val="24"/>
        </w:rPr>
        <w:t xml:space="preserve">. </w:t>
      </w:r>
      <w:r w:rsidRPr="000240B8">
        <w:rPr>
          <w:rFonts w:ascii="Arial" w:eastAsia="Times New Roman" w:hAnsi="Arial" w:cs="Arial"/>
          <w:sz w:val="24"/>
          <w:szCs w:val="24"/>
          <w:lang w:val="en-GB"/>
        </w:rPr>
        <w:t xml:space="preserve">Antibiotic susceptibility of cultivable microbiota from the oral cavity of captive Bothrops atrox and Bothrops lanceolatus: Implications for the treatment of snakebite-associated infections in the French departments of America. </w:t>
      </w:r>
      <w:r w:rsidRPr="000240B8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Infect </w:t>
      </w:r>
      <w:r w:rsidRPr="000240B8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Dis Now</w:t>
      </w:r>
      <w:r w:rsidRPr="000240B8">
        <w:rPr>
          <w:rFonts w:ascii="Arial" w:eastAsia="Times New Roman" w:hAnsi="Arial" w:cs="Arial"/>
          <w:sz w:val="24"/>
          <w:szCs w:val="24"/>
          <w:lang w:val="en-GB"/>
        </w:rPr>
        <w:t>, 53(7):104721, 2023. Disponível em: </w:t>
      </w:r>
      <w:hyperlink r:id="rId15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https://doi.org/10.1016/j.idnow.2023.104721</w:t>
        </w:r>
      </w:hyperlink>
      <w:r w:rsidRPr="000240B8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1AC8BD79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0240B8">
        <w:rPr>
          <w:rFonts w:ascii="Arial" w:eastAsia="Times New Roman" w:hAnsi="Arial" w:cs="Arial"/>
          <w:sz w:val="24"/>
          <w:szCs w:val="24"/>
          <w:lang w:val="en-GB"/>
        </w:rPr>
        <w:t xml:space="preserve">LIN, C. C </w:t>
      </w:r>
      <w:r w:rsidRPr="000240B8">
        <w:rPr>
          <w:rFonts w:ascii="Arial" w:eastAsia="Times New Roman" w:hAnsi="Arial" w:cs="Arial"/>
          <w:i/>
          <w:iCs/>
          <w:sz w:val="24"/>
          <w:szCs w:val="24"/>
          <w:lang w:val="en-GB"/>
        </w:rPr>
        <w:t xml:space="preserve">et al. </w:t>
      </w:r>
      <w:r w:rsidRPr="00132734">
        <w:rPr>
          <w:rFonts w:ascii="Arial" w:eastAsia="Times New Roman" w:hAnsi="Arial" w:cs="Arial"/>
          <w:sz w:val="24"/>
          <w:szCs w:val="24"/>
          <w:lang w:val="en-GB"/>
        </w:rPr>
        <w:t>Wound Infections of Snakebites from the Venomous Protobothrops mucrosquamatus and Viridovipera stejnegeri in Taiwan: Bacteriology, Antibiotic Susceptibility, and Predicting</w:t>
      </w:r>
      <w:r w:rsidRPr="000240B8">
        <w:rPr>
          <w:rFonts w:ascii="Arial" w:eastAsia="Times New Roman" w:hAnsi="Arial" w:cs="Arial"/>
          <w:sz w:val="24"/>
          <w:szCs w:val="24"/>
          <w:lang w:val="en-GB"/>
        </w:rPr>
        <w:t xml:space="preserve"> the Need for Antibiotics-A BITE Study.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 xml:space="preserve">Toxins </w:t>
      </w:r>
      <w:r w:rsidRPr="000240B8">
        <w:rPr>
          <w:rFonts w:ascii="Arial" w:eastAsia="Times New Roman" w:hAnsi="Arial" w:cs="Arial"/>
          <w:sz w:val="24"/>
          <w:szCs w:val="24"/>
        </w:rPr>
        <w:t xml:space="preserve">(Basel), 7;12(9):575, 2020. Disponível em: </w:t>
      </w:r>
      <w:hyperlink r:id="rId16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https://doi.org/10.3390/toxins12090575</w:t>
        </w:r>
      </w:hyperlink>
      <w:r w:rsidRPr="000240B8">
        <w:rPr>
          <w:rFonts w:ascii="Arial" w:eastAsia="Times New Roman" w:hAnsi="Arial" w:cs="Arial"/>
          <w:sz w:val="24"/>
          <w:szCs w:val="24"/>
        </w:rPr>
        <w:t>.</w:t>
      </w:r>
    </w:p>
    <w:p w14:paraId="22198913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132734">
        <w:rPr>
          <w:rFonts w:ascii="Arial" w:eastAsia="Times New Roman" w:hAnsi="Arial" w:cs="Arial"/>
          <w:sz w:val="24"/>
          <w:szCs w:val="24"/>
          <w:lang w:val="en-GB"/>
        </w:rPr>
        <w:t xml:space="preserve">MENDES, V. K </w:t>
      </w:r>
      <w:r w:rsidRPr="00132734">
        <w:rPr>
          <w:rFonts w:ascii="Arial" w:eastAsia="Times New Roman" w:hAnsi="Arial" w:cs="Arial"/>
          <w:i/>
          <w:iCs/>
          <w:sz w:val="24"/>
          <w:szCs w:val="24"/>
          <w:lang w:val="en-GB"/>
        </w:rPr>
        <w:t>et al</w:t>
      </w:r>
      <w:r w:rsidRPr="00132734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Pr="000240B8">
        <w:rPr>
          <w:rFonts w:ascii="Arial" w:eastAsia="Times New Roman" w:hAnsi="Arial" w:cs="Arial"/>
          <w:sz w:val="24"/>
          <w:szCs w:val="24"/>
          <w:lang w:val="en-GB"/>
        </w:rPr>
        <w:t xml:space="preserve">Secondary infection profile after snakebite treated at a tertiary referral center in the Brazilian Amazon.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>Rev Soc Bras Med Trop,</w:t>
      </w:r>
      <w:r w:rsidRPr="000240B8">
        <w:rPr>
          <w:rFonts w:ascii="Arial" w:eastAsia="Times New Roman" w:hAnsi="Arial" w:cs="Arial"/>
          <w:sz w:val="24"/>
          <w:szCs w:val="24"/>
        </w:rPr>
        <w:t xml:space="preserve"> 55:e0244–2021, 2022. Disponível em: </w:t>
      </w:r>
      <w:hyperlink r:id="rId17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https://doi.org/10.1590/0037-8682-0244-2021</w:t>
        </w:r>
      </w:hyperlink>
      <w:r w:rsidRPr="000240B8">
        <w:rPr>
          <w:rFonts w:ascii="Arial" w:eastAsia="Times New Roman" w:hAnsi="Arial" w:cs="Arial"/>
          <w:sz w:val="24"/>
          <w:szCs w:val="24"/>
        </w:rPr>
        <w:t>.</w:t>
      </w:r>
    </w:p>
    <w:p w14:paraId="48AC67A2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0240B8">
        <w:rPr>
          <w:rFonts w:ascii="Arial" w:eastAsia="Times New Roman" w:hAnsi="Arial" w:cs="Arial"/>
          <w:sz w:val="24"/>
          <w:szCs w:val="24"/>
        </w:rPr>
        <w:t xml:space="preserve">MISE, Y. F.; LIRA, R. M. S.; CARVALHO, F. M. Envenenamento por serpentes do gênero Bothrops no Estado da Bahia: aspectos epidemiológicos e clínicos.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>Rev Soc Bras Med Trop</w:t>
      </w:r>
      <w:r w:rsidRPr="000240B8">
        <w:rPr>
          <w:rFonts w:ascii="Arial" w:eastAsia="Times New Roman" w:hAnsi="Arial" w:cs="Arial"/>
          <w:sz w:val="24"/>
          <w:szCs w:val="24"/>
        </w:rPr>
        <w:t xml:space="preserve">, 40(5):569–73, 2007. Disponível em: </w:t>
      </w:r>
      <w:hyperlink r:id="rId18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https://doi.org/10.1590/S0037-86822007000500015</w:t>
        </w:r>
      </w:hyperlink>
      <w:r w:rsidRPr="000240B8">
        <w:rPr>
          <w:rFonts w:ascii="Arial" w:eastAsia="Times New Roman" w:hAnsi="Arial" w:cs="Arial"/>
          <w:sz w:val="24"/>
          <w:szCs w:val="24"/>
        </w:rPr>
        <w:t>.</w:t>
      </w:r>
    </w:p>
    <w:p w14:paraId="19108181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0240B8">
        <w:rPr>
          <w:rFonts w:ascii="Arial" w:eastAsia="Times New Roman" w:hAnsi="Arial" w:cs="Arial"/>
          <w:sz w:val="24"/>
          <w:szCs w:val="24"/>
        </w:rPr>
        <w:t>PANDA, S. K.; PADHI, L.; SAHOO, G. Oral bacterial flora of Indian cobra (</w:t>
      </w:r>
      <w:r w:rsidRPr="000240B8">
        <w:rPr>
          <w:rFonts w:ascii="Arial" w:eastAsia="Times New Roman" w:hAnsi="Arial" w:cs="Arial"/>
          <w:i/>
          <w:iCs/>
          <w:sz w:val="24"/>
          <w:szCs w:val="24"/>
        </w:rPr>
        <w:t>Naja naja</w:t>
      </w:r>
      <w:r w:rsidRPr="000240B8">
        <w:rPr>
          <w:rFonts w:ascii="Arial" w:eastAsia="Times New Roman" w:hAnsi="Arial" w:cs="Arial"/>
          <w:sz w:val="24"/>
          <w:szCs w:val="24"/>
        </w:rPr>
        <w:t xml:space="preserve">) and their antibiotic susceptibilities.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 xml:space="preserve">Heliyon, </w:t>
      </w:r>
      <w:r w:rsidRPr="000240B8">
        <w:rPr>
          <w:rFonts w:ascii="Arial" w:eastAsia="Times New Roman" w:hAnsi="Arial" w:cs="Arial"/>
          <w:sz w:val="24"/>
          <w:szCs w:val="24"/>
        </w:rPr>
        <w:t xml:space="preserve">17;4(12):e01008, 2018. Disponível em: </w:t>
      </w:r>
      <w:hyperlink r:id="rId19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https://doi.org/10.1016/j.heliyon.2018.e01008</w:t>
        </w:r>
      </w:hyperlink>
      <w:r w:rsidRPr="000240B8">
        <w:rPr>
          <w:rFonts w:ascii="Arial" w:eastAsia="Times New Roman" w:hAnsi="Arial" w:cs="Arial"/>
          <w:sz w:val="24"/>
          <w:szCs w:val="24"/>
        </w:rPr>
        <w:t>.</w:t>
      </w:r>
    </w:p>
    <w:p w14:paraId="2944E890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132734">
        <w:rPr>
          <w:rFonts w:ascii="Arial" w:eastAsia="Times New Roman" w:hAnsi="Arial" w:cs="Arial"/>
          <w:sz w:val="24"/>
          <w:szCs w:val="24"/>
        </w:rPr>
        <w:t xml:space="preserve">RESIERE, D </w:t>
      </w:r>
      <w:r w:rsidRPr="00132734">
        <w:rPr>
          <w:rFonts w:ascii="Arial" w:eastAsia="Times New Roman" w:hAnsi="Arial" w:cs="Arial"/>
          <w:i/>
          <w:iCs/>
          <w:sz w:val="24"/>
          <w:szCs w:val="24"/>
        </w:rPr>
        <w:t>et al</w:t>
      </w:r>
      <w:r w:rsidRPr="00132734">
        <w:rPr>
          <w:rFonts w:ascii="Arial" w:eastAsia="Times New Roman" w:hAnsi="Arial" w:cs="Arial"/>
          <w:sz w:val="24"/>
          <w:szCs w:val="24"/>
        </w:rPr>
        <w:t xml:space="preserve">. </w:t>
      </w:r>
      <w:r w:rsidRPr="000240B8">
        <w:rPr>
          <w:rFonts w:ascii="Arial" w:eastAsia="Times New Roman" w:hAnsi="Arial" w:cs="Arial"/>
          <w:sz w:val="24"/>
          <w:szCs w:val="24"/>
          <w:lang w:val="en-GB"/>
        </w:rPr>
        <w:t xml:space="preserve">Antibiotic therapy for snakebite envenoming.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>J Venom Anim Toxins incl Trop Dis</w:t>
      </w:r>
      <w:r w:rsidRPr="000240B8">
        <w:rPr>
          <w:rFonts w:ascii="Arial" w:eastAsia="Times New Roman" w:hAnsi="Arial" w:cs="Arial"/>
          <w:sz w:val="24"/>
          <w:szCs w:val="24"/>
        </w:rPr>
        <w:t xml:space="preserve">, 26:e20190098, 2020. Disponível em: </w:t>
      </w:r>
      <w:hyperlink r:id="rId20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https://doi.org/10.1590/1678-9199-JVATITD-2019-0098</w:t>
        </w:r>
      </w:hyperlink>
      <w:r w:rsidRPr="000240B8">
        <w:rPr>
          <w:rFonts w:ascii="Arial" w:eastAsia="Times New Roman" w:hAnsi="Arial" w:cs="Arial"/>
          <w:sz w:val="24"/>
          <w:szCs w:val="24"/>
        </w:rPr>
        <w:t>.</w:t>
      </w:r>
    </w:p>
    <w:p w14:paraId="539AA6B7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0240B8">
        <w:rPr>
          <w:rFonts w:ascii="Arial" w:eastAsia="Times New Roman" w:hAnsi="Arial" w:cs="Arial"/>
          <w:sz w:val="24"/>
          <w:szCs w:val="24"/>
          <w:lang w:val="en-GB"/>
        </w:rPr>
        <w:t xml:space="preserve">The Lancet. Snake-bite envenoming: a priority neglected tropical disease.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>Lancet,</w:t>
      </w:r>
      <w:r w:rsidRPr="000240B8">
        <w:rPr>
          <w:rFonts w:ascii="Arial" w:eastAsia="Times New Roman" w:hAnsi="Arial" w:cs="Arial"/>
          <w:sz w:val="24"/>
          <w:szCs w:val="24"/>
        </w:rPr>
        <w:t xml:space="preserve"> 1;390(10089):2, 2017.</w:t>
      </w:r>
    </w:p>
    <w:p w14:paraId="6EFAA27A" w14:textId="77777777" w:rsidR="00132734" w:rsidRPr="000240B8" w:rsidRDefault="00132734" w:rsidP="000240B8">
      <w:pPr>
        <w:suppressAutoHyphens w:val="0"/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132734">
        <w:rPr>
          <w:rFonts w:ascii="Arial" w:eastAsia="Times New Roman" w:hAnsi="Arial" w:cs="Arial"/>
          <w:sz w:val="24"/>
          <w:szCs w:val="24"/>
          <w:lang w:val="en-GB"/>
        </w:rPr>
        <w:t xml:space="preserve">WAGENER, M.; NAIDOO, M.; ALDOUS, C. Wound infection secondary to snakebite. </w:t>
      </w:r>
      <w:r w:rsidRPr="000240B8">
        <w:rPr>
          <w:rFonts w:ascii="Arial" w:eastAsia="Times New Roman" w:hAnsi="Arial" w:cs="Arial"/>
          <w:b/>
          <w:bCs/>
          <w:sz w:val="24"/>
          <w:szCs w:val="24"/>
        </w:rPr>
        <w:t>S Afr Med J</w:t>
      </w:r>
      <w:r w:rsidRPr="000240B8">
        <w:rPr>
          <w:rFonts w:ascii="Arial" w:eastAsia="Times New Roman" w:hAnsi="Arial" w:cs="Arial"/>
          <w:sz w:val="24"/>
          <w:szCs w:val="24"/>
        </w:rPr>
        <w:t xml:space="preserve">, 29;107(4):315-319, 2017. Disponível em: </w:t>
      </w:r>
      <w:hyperlink r:id="rId21" w:history="1">
        <w:r w:rsidRPr="000240B8">
          <w:rPr>
            <w:rStyle w:val="Hyperlink"/>
            <w:rFonts w:ascii="Arial" w:eastAsia="Times New Roman" w:hAnsi="Arial" w:cs="Arial"/>
            <w:sz w:val="24"/>
            <w:szCs w:val="24"/>
          </w:rPr>
          <w:t>https://doi.org/10.7196/SAMJ.2017.v107i4.12084</w:t>
        </w:r>
      </w:hyperlink>
      <w:r w:rsidRPr="000240B8">
        <w:rPr>
          <w:rFonts w:ascii="Arial" w:eastAsia="Times New Roman" w:hAnsi="Arial" w:cs="Arial"/>
          <w:sz w:val="24"/>
          <w:szCs w:val="24"/>
        </w:rPr>
        <w:t>.</w:t>
      </w:r>
    </w:p>
    <w:p w14:paraId="7A947A64" w14:textId="77777777" w:rsidR="00930701" w:rsidRPr="0093026D" w:rsidRDefault="00930701" w:rsidP="000240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283A4D" w14:textId="77777777" w:rsidR="00930701" w:rsidRPr="0093026D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DABCF0B" w14:textId="720F3D14" w:rsidR="00930701" w:rsidRDefault="00486485" w:rsidP="00132734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3026D">
        <w:rPr>
          <w:rFonts w:ascii="Arial" w:eastAsia="Arial" w:hAnsi="Arial" w:cs="Arial"/>
          <w:b/>
          <w:sz w:val="24"/>
          <w:szCs w:val="24"/>
        </w:rPr>
        <w:t>AGRADECIMENTOS</w:t>
      </w:r>
    </w:p>
    <w:p w14:paraId="211BB184" w14:textId="77777777" w:rsidR="00132734" w:rsidRPr="00132734" w:rsidRDefault="00132734" w:rsidP="00132734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6803369E" w14:textId="21ADE13C" w:rsidR="00930701" w:rsidRPr="0093026D" w:rsidRDefault="00685AFB" w:rsidP="0013273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93026D">
        <w:rPr>
          <w:rFonts w:ascii="Arial" w:eastAsia="Arial" w:hAnsi="Arial" w:cs="Arial"/>
          <w:sz w:val="24"/>
          <w:szCs w:val="24"/>
        </w:rPr>
        <w:t xml:space="preserve">O presente trabalho foi realizado com o apoio da Fundação de Amparo à Pesquisa do Tocantins (FAPT). Também é de grande importância prestar sinceros agradecimentos à orientadora da pesquisa, Dra. Caroline, pelo apoio e instrução durante todo o desenvolvimento do projeto. Ademais, as funcionárias do Hospital de Doenças Tropicais que trabalham no setor de arquivos, Ivanir e Karieli, que também foram imprescindíveis para a coleta de dados. </w:t>
      </w:r>
    </w:p>
    <w:sectPr w:rsidR="00930701" w:rsidRPr="0093026D">
      <w:headerReference w:type="default" r:id="rId22"/>
      <w:footerReference w:type="default" r:id="rId23"/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E6F1A" w14:textId="77777777" w:rsidR="00C12C1E" w:rsidRDefault="00C12C1E">
      <w:pPr>
        <w:spacing w:after="0" w:line="240" w:lineRule="auto"/>
      </w:pPr>
      <w:r>
        <w:separator/>
      </w:r>
    </w:p>
  </w:endnote>
  <w:endnote w:type="continuationSeparator" w:id="0">
    <w:p w14:paraId="0434E4AE" w14:textId="77777777" w:rsidR="00C12C1E" w:rsidRDefault="00C1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C749" w14:textId="77777777" w:rsidR="00930701" w:rsidRDefault="00486485">
    <w:pPr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92BF" w14:textId="77777777" w:rsidR="00C12C1E" w:rsidRDefault="00C12C1E">
      <w:pPr>
        <w:rPr>
          <w:sz w:val="12"/>
        </w:rPr>
      </w:pPr>
      <w:r>
        <w:separator/>
      </w:r>
    </w:p>
  </w:footnote>
  <w:footnote w:type="continuationSeparator" w:id="0">
    <w:p w14:paraId="0B50A06A" w14:textId="77777777" w:rsidR="00C12C1E" w:rsidRDefault="00C12C1E">
      <w:pPr>
        <w:rPr>
          <w:sz w:val="12"/>
        </w:rPr>
      </w:pPr>
      <w:r>
        <w:continuationSeparator/>
      </w:r>
    </w:p>
  </w:footnote>
  <w:footnote w:id="1">
    <w:p w14:paraId="41C1D47E" w14:textId="4A9E3920" w:rsidR="00930701" w:rsidRDefault="00486485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Bolsista do Programa de Iniciação Científica (PIBIC). Universidade Federal do Norte do Tocantins (UFNT), Centro de</w:t>
      </w:r>
      <w:r w:rsidR="004F7CB9">
        <w:rPr>
          <w:rFonts w:ascii="Arial" w:eastAsia="Arial" w:hAnsi="Arial" w:cs="Arial"/>
          <w:color w:val="000000"/>
          <w:sz w:val="20"/>
          <w:szCs w:val="20"/>
        </w:rPr>
        <w:t xml:space="preserve"> Ciências da Saúde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0240B8" w:rsidRPr="000240B8">
        <w:rPr>
          <w:rFonts w:ascii="Arial" w:eastAsia="Arial" w:hAnsi="Arial" w:cs="Arial"/>
          <w:color w:val="000000"/>
          <w:sz w:val="20"/>
          <w:szCs w:val="20"/>
        </w:rPr>
        <w:t>samuel.alves@ufnt.edu.br</w:t>
      </w:r>
      <w:r w:rsidR="000240B8">
        <w:rPr>
          <w:rFonts w:ascii="Arial" w:eastAsia="Arial" w:hAnsi="Arial" w:cs="Arial"/>
          <w:color w:val="000000"/>
          <w:sz w:val="20"/>
          <w:szCs w:val="20"/>
        </w:rPr>
        <w:t>.</w:t>
      </w:r>
    </w:p>
  </w:footnote>
  <w:footnote w:id="2">
    <w:p w14:paraId="4401B007" w14:textId="3023F37A" w:rsidR="00930701" w:rsidRDefault="00486485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Voluntário de Iniciação Científica. Universidade Federal do Norte do Tocantins (UFNT), </w:t>
      </w:r>
      <w:r w:rsidR="004F7CB9">
        <w:rPr>
          <w:rFonts w:ascii="Arial" w:eastAsia="Arial" w:hAnsi="Arial" w:cs="Arial"/>
          <w:color w:val="000000"/>
          <w:sz w:val="20"/>
          <w:szCs w:val="20"/>
        </w:rPr>
        <w:t>Centro de Ciências da Saúde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0240B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240B8" w:rsidRPr="000240B8">
        <w:rPr>
          <w:rFonts w:ascii="Arial" w:eastAsia="Arial" w:hAnsi="Arial" w:cs="Arial"/>
          <w:color w:val="000000"/>
          <w:sz w:val="20"/>
          <w:szCs w:val="20"/>
        </w:rPr>
        <w:t>matheus.slima@ufnt.edu.br</w:t>
      </w:r>
      <w:r w:rsidR="000240B8">
        <w:rPr>
          <w:rFonts w:ascii="Arial" w:eastAsia="Arial" w:hAnsi="Arial" w:cs="Arial"/>
          <w:color w:val="000000"/>
          <w:sz w:val="20"/>
          <w:szCs w:val="20"/>
        </w:rPr>
        <w:t>.</w:t>
      </w:r>
    </w:p>
  </w:footnote>
  <w:footnote w:id="3">
    <w:p w14:paraId="0FCAD69C" w14:textId="56FF7174" w:rsidR="00930701" w:rsidRDefault="00486485">
      <w:pPr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Professora Doutora da Faculdade de </w:t>
      </w:r>
      <w:r w:rsidR="004F7CB9">
        <w:rPr>
          <w:rFonts w:ascii="Arial" w:eastAsia="Arial" w:hAnsi="Arial" w:cs="Arial"/>
          <w:color w:val="000000"/>
          <w:sz w:val="20"/>
          <w:szCs w:val="20"/>
        </w:rPr>
        <w:t>Medicina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4F7CB9">
        <w:rPr>
          <w:rFonts w:ascii="Arial" w:eastAsia="Arial" w:hAnsi="Arial" w:cs="Arial"/>
          <w:color w:val="000000"/>
          <w:sz w:val="20"/>
          <w:szCs w:val="20"/>
        </w:rPr>
        <w:t>Universidade Federal do Norte do Tocantins (UFNT).</w:t>
      </w:r>
      <w:r w:rsidR="000240B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240B8" w:rsidRPr="000240B8">
        <w:rPr>
          <w:rFonts w:ascii="Arial" w:eastAsia="Arial" w:hAnsi="Arial" w:cs="Arial"/>
          <w:color w:val="000000"/>
          <w:sz w:val="20"/>
          <w:szCs w:val="20"/>
        </w:rPr>
        <w:t>carolina.galgane@mail.uft.edu.br</w:t>
      </w:r>
      <w:r w:rsidR="000240B8">
        <w:rPr>
          <w:rFonts w:ascii="Arial" w:eastAsia="Arial" w:hAnsi="Arial" w:cs="Arial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F7EF" w14:textId="5E2B9E24" w:rsidR="00930701" w:rsidRDefault="00486485">
    <w:r>
      <w:rPr>
        <w:noProof/>
      </w:rPr>
      <w:drawing>
        <wp:anchor distT="0" distB="0" distL="0" distR="0" simplePos="0" relativeHeight="18" behindDoc="0" locked="0" layoutInCell="0" allowOverlap="1" wp14:anchorId="4C9C3833" wp14:editId="1EEBFBE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41645" cy="1779905"/>
          <wp:effectExtent l="0" t="0" r="1905" b="0"/>
          <wp:wrapSquare wrapText="largest"/>
          <wp:docPr id="150250868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177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40540977">
    <w:abstractNumId w:val="1"/>
  </w:num>
  <w:num w:numId="2" w16cid:durableId="660351138">
    <w:abstractNumId w:val="2"/>
  </w:num>
  <w:num w:numId="3" w16cid:durableId="64323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1"/>
    <w:rsid w:val="00001785"/>
    <w:rsid w:val="000240B8"/>
    <w:rsid w:val="00035CA7"/>
    <w:rsid w:val="000E0716"/>
    <w:rsid w:val="000E62D6"/>
    <w:rsid w:val="000F69DC"/>
    <w:rsid w:val="00132734"/>
    <w:rsid w:val="001755B6"/>
    <w:rsid w:val="001E6CC7"/>
    <w:rsid w:val="0033428E"/>
    <w:rsid w:val="00441157"/>
    <w:rsid w:val="00486485"/>
    <w:rsid w:val="004F7CB9"/>
    <w:rsid w:val="00512D78"/>
    <w:rsid w:val="00530BDA"/>
    <w:rsid w:val="00575B0D"/>
    <w:rsid w:val="00593948"/>
    <w:rsid w:val="00685AFB"/>
    <w:rsid w:val="0077612B"/>
    <w:rsid w:val="008615EA"/>
    <w:rsid w:val="00870E32"/>
    <w:rsid w:val="0093026D"/>
    <w:rsid w:val="00930701"/>
    <w:rsid w:val="009C7C59"/>
    <w:rsid w:val="00AE58FC"/>
    <w:rsid w:val="00B156CD"/>
    <w:rsid w:val="00B50162"/>
    <w:rsid w:val="00C12C1E"/>
    <w:rsid w:val="00C91164"/>
    <w:rsid w:val="00D25103"/>
    <w:rsid w:val="00D355DB"/>
    <w:rsid w:val="00D938E3"/>
    <w:rsid w:val="00E97C21"/>
    <w:rsid w:val="00E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99EF"/>
  <w15:docId w15:val="{E0D7C60F-7EE9-4BDD-BFAD-A0139D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itle">
    <w:name w:val="Title"/>
    <w:basedOn w:val="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CabealhoeRodap"/>
  </w:style>
  <w:style w:type="paragraph" w:styleId="Footer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01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0044-59672012000100008" TargetMode="External"/><Relationship Id="rId13" Type="http://schemas.openxmlformats.org/officeDocument/2006/relationships/hyperlink" Target="https://doi.org/10.1371/journal.pntd.0003701" TargetMode="External"/><Relationship Id="rId18" Type="http://schemas.openxmlformats.org/officeDocument/2006/relationships/hyperlink" Target="https://doi.org/10.1590/S0037-868220070005000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7196/SAMJ.2017.v107i4.120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590/S1678-91992012000300004" TargetMode="External"/><Relationship Id="rId17" Type="http://schemas.openxmlformats.org/officeDocument/2006/relationships/hyperlink" Target="https://doi.org/10.1590/0037-8682-0244-20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toxins12090575" TargetMode="External"/><Relationship Id="rId20" Type="http://schemas.openxmlformats.org/officeDocument/2006/relationships/hyperlink" Target="https://doi.org/10.1590/1678-9199-JVATITD-2019-00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90/0037-8682-0105-201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idnow.2023.10472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abnet.datasus.gov.br/cgi/deftohtm.exe?sinannet/cnv/animaisbr.def" TargetMode="External"/><Relationship Id="rId19" Type="http://schemas.openxmlformats.org/officeDocument/2006/relationships/hyperlink" Target="https://doi.org/10.1016/j.heliyon.2018.e01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90/S0102-311X2003000100002" TargetMode="External"/><Relationship Id="rId14" Type="http://schemas.openxmlformats.org/officeDocument/2006/relationships/hyperlink" Target="https://doi.org/10.1371/journal.pmed.0050218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dc:description/>
  <cp:lastModifiedBy>Samuel Alves</cp:lastModifiedBy>
  <cp:revision>22</cp:revision>
  <dcterms:created xsi:type="dcterms:W3CDTF">2024-09-26T19:43:00Z</dcterms:created>
  <dcterms:modified xsi:type="dcterms:W3CDTF">2024-10-10T13:25:00Z</dcterms:modified>
  <dc:language>pt-BR</dc:language>
</cp:coreProperties>
</file>