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8"/>
          <w:szCs w:val="28"/>
        </w:rPr>
      </w:pPr>
      <w:r w:rsidDel="00000000" w:rsidR="00000000" w:rsidRPr="00000000">
        <w:rPr>
          <w:rtl w:val="0"/>
        </w:rPr>
      </w:r>
    </w:p>
    <w:p w:rsidR="00000000" w:rsidDel="00000000" w:rsidP="00000000" w:rsidRDefault="00000000" w:rsidRPr="00000000" w14:paraId="00000002">
      <w:pPr>
        <w:jc w:val="center"/>
        <w:rPr>
          <w:b w:val="1"/>
          <w:color w:val="000000"/>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UTILIZAÇÃO DA VITIS VINÍFERA (UVA) NO TRATAMENTO DA PERIODONTITE: REVISÃO DA LITERATURA.</w:t>
      </w:r>
    </w:p>
    <w:p w:rsidR="00000000" w:rsidDel="00000000" w:rsidP="00000000" w:rsidRDefault="00000000" w:rsidRPr="00000000" w14:paraId="00000004">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pStyle w:val="Title"/>
        <w:widowControl w:val="0"/>
        <w:spacing w:before="261" w:line="360" w:lineRule="auto"/>
        <w:ind w:left="129" w:right="141" w:firstLine="129"/>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Larissa Barbosa da Conceição¹; Hadassa Anderlaine Batista de melo</w:t>
      </w:r>
      <w:r w:rsidDel="00000000" w:rsidR="00000000" w:rsidRPr="00000000">
        <w:rPr>
          <w:rFonts w:ascii="Times New Roman" w:cs="Times New Roman" w:eastAsia="Times New Roman" w:hAnsi="Times New Roman"/>
          <w:b w:val="0"/>
          <w:sz w:val="24"/>
          <w:szCs w:val="24"/>
          <w:rtl w:val="0"/>
        </w:rPr>
        <w:t xml:space="preserve">²; Larissa Sousa Rangel³; Thalles Gabriel Germano Lima</w:t>
      </w:r>
      <w:r w:rsidDel="00000000" w:rsidR="00000000" w:rsidRPr="00000000">
        <w:rPr>
          <w:rFonts w:ascii="Times New Roman" w:cs="Times New Roman" w:eastAsia="Times New Roman" w:hAnsi="Times New Roman"/>
          <w:b w:val="0"/>
          <w:color w:val="4d5156"/>
          <w:sz w:val="24"/>
          <w:szCs w:val="24"/>
          <w:highlight w:val="white"/>
          <w:rtl w:val="0"/>
        </w:rPr>
        <w:t xml:space="preserve">⁴</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006">
      <w:pPr>
        <w:widowControl w:val="0"/>
        <w:spacing w:before="448" w:line="360" w:lineRule="auto"/>
        <w:ind w:left="720" w:right="312" w:firstLine="0"/>
        <w:jc w:val="both"/>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1. Graduanda do Curso de Odontologia, Centro Universitário Maurício de Nassau – UNINASSAU Graças, Recife, PE.</w:t>
      </w:r>
      <w:r w:rsidDel="00000000" w:rsidR="00000000" w:rsidRPr="00000000">
        <w:rPr>
          <w:rtl w:val="0"/>
        </w:rPr>
      </w:r>
    </w:p>
    <w:p w:rsidR="00000000" w:rsidDel="00000000" w:rsidP="00000000" w:rsidRDefault="00000000" w:rsidRPr="00000000" w14:paraId="00000007">
      <w:pPr>
        <w:widowControl w:val="0"/>
        <w:spacing w:before="13" w:line="360" w:lineRule="auto"/>
        <w:ind w:left="720" w:right="6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Graduanda do Curso de Odontologia, Centro Universitário Maurício de Nassau – UNINASSAU Graças, Recife, PE.</w:t>
      </w:r>
    </w:p>
    <w:p w:rsidR="00000000" w:rsidDel="00000000" w:rsidP="00000000" w:rsidRDefault="00000000" w:rsidRPr="00000000" w14:paraId="00000008">
      <w:pPr>
        <w:widowControl w:val="0"/>
        <w:spacing w:before="13" w:line="360" w:lineRule="auto"/>
        <w:ind w:left="720" w:right="6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Mestranda em Clínicas Odontológicas com ênfase em Endodontia, Universidade de Pernambuco, UPE, Recife, PE.</w:t>
      </w:r>
    </w:p>
    <w:p w:rsidR="00000000" w:rsidDel="00000000" w:rsidP="00000000" w:rsidRDefault="00000000" w:rsidRPr="00000000" w14:paraId="00000009">
      <w:pPr>
        <w:widowControl w:val="0"/>
        <w:spacing w:before="13" w:line="360" w:lineRule="auto"/>
        <w:ind w:left="737" w:right="6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Mestrando em Periodontia, Centro de Pesquisas Odontológicas São Leopoldo Mandic – SLMandic, Campinas, SP.</w:t>
      </w:r>
    </w:p>
    <w:p w:rsidR="00000000" w:rsidDel="00000000" w:rsidP="00000000" w:rsidRDefault="00000000" w:rsidRPr="00000000" w14:paraId="0000000A">
      <w:pPr>
        <w:widowControl w:val="0"/>
        <w:spacing w:before="13" w:line="360" w:lineRule="auto"/>
        <w:ind w:right="64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widowControl w:val="0"/>
        <w:spacing w:before="13" w:line="360" w:lineRule="auto"/>
        <w:ind w:right="64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Email: </w:t>
      </w:r>
      <w:r w:rsidDel="00000000" w:rsidR="00000000" w:rsidRPr="00000000">
        <w:rPr>
          <w:rFonts w:ascii="Times New Roman" w:cs="Times New Roman" w:eastAsia="Times New Roman" w:hAnsi="Times New Roman"/>
          <w:color w:val="000000"/>
          <w:sz w:val="24"/>
          <w:szCs w:val="24"/>
          <w:u w:val="single"/>
          <w:rtl w:val="0"/>
        </w:rPr>
        <w:t xml:space="preserve">larissabarbosa.pe@gmail.com</w:t>
      </w:r>
    </w:p>
    <w:p w:rsidR="00000000" w:rsidDel="00000000" w:rsidP="00000000" w:rsidRDefault="00000000" w:rsidRPr="00000000" w14:paraId="0000000C">
      <w:pPr>
        <w:widowControl w:val="0"/>
        <w:spacing w:before="13" w:line="360" w:lineRule="auto"/>
        <w:ind w:left="737" w:right="646"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3" w:line="360" w:lineRule="auto"/>
        <w:ind w:right="646"/>
        <w:jc w:val="both"/>
        <w:rPr>
          <w:rFonts w:ascii="Times New Roman" w:cs="Times New Roman" w:eastAsia="Times New Roman" w:hAnsi="Times New Roman"/>
          <w:b w:val="1"/>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rtl w:val="0"/>
        </w:rPr>
        <w:t xml:space="preserve">RESUMO </w:t>
      </w:r>
      <w:hyperlink r:id="rId6">
        <w:r w:rsidDel="00000000" w:rsidR="00000000" w:rsidRPr="00000000">
          <w:rPr>
            <w:b w:val="1"/>
            <w:color w:val="000000"/>
            <w:sz w:val="28"/>
            <w:szCs w:val="28"/>
            <w:rtl w:val="0"/>
          </w:rPr>
          <w:t xml:space="preserve">                                                                   </w:t>
        </w:r>
      </w:hyperlink>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Introdução: </w:t>
      </w:r>
      <w:r w:rsidDel="00000000" w:rsidR="00000000" w:rsidRPr="00000000">
        <w:rPr>
          <w:rFonts w:ascii="Times New Roman" w:cs="Times New Roman" w:eastAsia="Times New Roman" w:hAnsi="Times New Roman"/>
          <w:color w:val="000000"/>
          <w:sz w:val="24"/>
          <w:szCs w:val="24"/>
          <w:rtl w:val="0"/>
        </w:rPr>
        <w:t xml:space="preserve">A periodontite é uma condição inflamatória crônica desencadeada pela resposta imunológica do hospedeiro à presença de agentes microbianos, resultando em danos nos tecidos periodontais, formação de bolsas periodontais, reabsorção do osso alveolar e perda de tecidos de suporte. Diante desse cenário, a busca por novos tratamentos com maior eficácia tem motivado extensas pesquisas. Nesse contexto, destaca-se a utilização de extratos de Vitis vinifera (Uva) como uma alternativa terapêutica na odontologia para o tratamento da periodontite.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Objetivo: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Este estudo visa realizar uma revisão da literatura sobre a Vitis vinifera (Uva) e sua aplicação no tratamento da periodontite.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Metodologia: </w:t>
      </w:r>
      <w:r w:rsidDel="00000000" w:rsidR="00000000" w:rsidRPr="00000000">
        <w:rPr>
          <w:rFonts w:ascii="Times New Roman" w:cs="Times New Roman" w:eastAsia="Times New Roman" w:hAnsi="Times New Roman"/>
          <w:sz w:val="24"/>
          <w:szCs w:val="24"/>
          <w:rtl w:val="0"/>
        </w:rPr>
        <w:t xml:space="preserve">Realizou-se uma revisão bibliográfica com base em artigos científicos publicados entre 2018 e 2023, selecionados das seguintes bases de dados: Scielo, BVS e Periódicos Capes. Foram escolhidos 5 artigos após a seleção criteriosa. </w:t>
      </w:r>
      <w:r w:rsidDel="00000000" w:rsidR="00000000" w:rsidRPr="00000000">
        <w:rPr>
          <w:rFonts w:ascii="Times New Roman" w:cs="Times New Roman" w:eastAsia="Times New Roman" w:hAnsi="Times New Roman"/>
          <w:b w:val="1"/>
          <w:sz w:val="24"/>
          <w:szCs w:val="24"/>
          <w:highlight w:val="white"/>
          <w:rtl w:val="0"/>
        </w:rPr>
        <w:t xml:space="preserve">Resultado: </w:t>
      </w:r>
      <w:r w:rsidDel="00000000" w:rsidR="00000000" w:rsidRPr="00000000">
        <w:rPr>
          <w:rFonts w:ascii="Times New Roman" w:cs="Times New Roman" w:eastAsia="Times New Roman" w:hAnsi="Times New Roman"/>
          <w:sz w:val="24"/>
          <w:szCs w:val="24"/>
          <w:rtl w:val="0"/>
        </w:rPr>
        <w:t xml:space="preserve">A investigação por novos tratamentos com maior eficácia, menor toxicidade e melhor compatibilidade biológica tem incentivado a pesquisa com produtos naturais na odontologia para o tratamento de doenças comuns da cavidade oral, como a periodontite. A literatura destaca que os resíduos de uva são uma fonte rica em compostos bioativos, especialmente polifenóis, reconhecidos por suas propriedades antioxidantes, que podem inibir ou retardar processos oxidativos e fornecer benefícios à saúde humana, particularmente na prevenção e controle de doenças crônicas. </w:t>
      </w:r>
      <w:r w:rsidDel="00000000" w:rsidR="00000000" w:rsidRPr="00000000">
        <w:rPr>
          <w:rFonts w:ascii="Times New Roman" w:cs="Times New Roman" w:eastAsia="Times New Roman" w:hAnsi="Times New Roman"/>
          <w:b w:val="1"/>
          <w:color w:val="212529"/>
          <w:sz w:val="24"/>
          <w:szCs w:val="24"/>
          <w:rtl w:val="0"/>
        </w:rPr>
        <w:t xml:space="preserve">Conclusão: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Concluímos que a Vitis vinifera (Uva) demonstra atividade terapêutica e está entre os fitoterápicos com potencial impacto na saúde bucal, servindo como uma alternativa acessível no tratamento de condições orais. No entanto, são necessários mais estudos clínicos para validar essa hipótese.</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w:t>
      </w:r>
      <w:r w:rsidDel="00000000" w:rsidR="00000000" w:rsidRPr="00000000">
        <w:rPr>
          <w:rFonts w:ascii="Times New Roman" w:cs="Times New Roman" w:eastAsia="Times New Roman" w:hAnsi="Times New Roman"/>
          <w:b w:val="1"/>
          <w:color w:val="212529"/>
          <w:sz w:val="24"/>
          <w:szCs w:val="24"/>
          <w:highlight w:val="white"/>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Doenças Periodontais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Vitis. Medicamento Fitoterápico.</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Periodontia.</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3" w:line="360" w:lineRule="auto"/>
        <w:ind w:right="64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40" w:w="11920" w:orient="portrait"/>
      <w:pgMar w:bottom="1440" w:top="144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-1079498</wp:posOffset>
          </wp:positionH>
          <wp:positionV relativeFrom="paragraph">
            <wp:posOffset>-135888</wp:posOffset>
          </wp:positionV>
          <wp:extent cx="7562850" cy="78610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78610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-1079498</wp:posOffset>
          </wp:positionH>
          <wp:positionV relativeFrom="paragraph">
            <wp:posOffset>0</wp:posOffset>
          </wp:positionV>
          <wp:extent cx="7562850" cy="9321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932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rchhealthinvestigation.com.br/ArcHI/article/view/3919"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