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22D76" w14:textId="77777777" w:rsidR="00A42A79" w:rsidRPr="007A7EE9" w:rsidRDefault="005259CE" w:rsidP="00A42A79">
      <w:pPr>
        <w:pStyle w:val="Corpodetexto"/>
        <w:jc w:val="center"/>
      </w:pPr>
      <w:bookmarkStart w:id="0" w:name="_GoBack"/>
      <w:bookmarkEnd w:id="0"/>
      <w:r w:rsidRPr="007A7EE9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7216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71ED2" w14:textId="204BC284" w:rsidR="00CA178C" w:rsidRPr="007D3875" w:rsidRDefault="00CA178C" w:rsidP="00541E47">
      <w:pPr>
        <w:pStyle w:val="Ttulo1"/>
        <w:spacing w:before="251" w:line="242" w:lineRule="auto"/>
        <w:ind w:left="75" w:right="214"/>
        <w:jc w:val="center"/>
        <w:rPr>
          <w:bCs w:val="0"/>
          <w:sz w:val="32"/>
          <w:szCs w:val="32"/>
        </w:rPr>
      </w:pPr>
      <w:bookmarkStart w:id="1" w:name="1Primeiro_Autor_com_nome_completo,_2Segu"/>
      <w:bookmarkEnd w:id="1"/>
      <w:r w:rsidRPr="007A7EE9">
        <w:rPr>
          <w:bCs w:val="0"/>
          <w:sz w:val="32"/>
          <w:szCs w:val="32"/>
        </w:rPr>
        <w:t xml:space="preserve">USO RACIONAL DE NITROGÊNIO EM COBERTURA E </w:t>
      </w:r>
      <w:r w:rsidRPr="007D3875">
        <w:rPr>
          <w:bCs w:val="0"/>
          <w:sz w:val="32"/>
          <w:szCs w:val="32"/>
        </w:rPr>
        <w:t>EFICIÊNCIA AGRONÔMICA NA PRODUÇÃO SUSTENTÁVEL DE MILHO NO CERRADO</w:t>
      </w:r>
    </w:p>
    <w:p w14:paraId="3C760178" w14:textId="54772A9E" w:rsidR="00541E47" w:rsidRPr="007D3875" w:rsidRDefault="00912629" w:rsidP="00541E47">
      <w:pPr>
        <w:pStyle w:val="Ttulo1"/>
        <w:spacing w:before="251" w:line="242" w:lineRule="auto"/>
        <w:ind w:left="75" w:right="214"/>
        <w:jc w:val="center"/>
        <w:rPr>
          <w:spacing w:val="-2"/>
          <w:sz w:val="24"/>
          <w:szCs w:val="24"/>
        </w:rPr>
      </w:pPr>
      <w:r w:rsidRPr="007D3875">
        <w:rPr>
          <w:sz w:val="24"/>
          <w:szCs w:val="24"/>
          <w:vertAlign w:val="superscript"/>
        </w:rPr>
        <w:t>1</w:t>
      </w:r>
      <w:r w:rsidRPr="007D3875">
        <w:rPr>
          <w:sz w:val="24"/>
          <w:szCs w:val="24"/>
        </w:rPr>
        <w:t xml:space="preserve">Leonardo Carneiro Morgado, </w:t>
      </w:r>
      <w:r w:rsidR="00A84C71" w:rsidRPr="007D3875">
        <w:rPr>
          <w:sz w:val="24"/>
          <w:szCs w:val="24"/>
          <w:vertAlign w:val="superscript"/>
        </w:rPr>
        <w:t>1</w:t>
      </w:r>
      <w:r w:rsidR="00A84C71" w:rsidRPr="007D3875">
        <w:rPr>
          <w:sz w:val="24"/>
          <w:szCs w:val="24"/>
        </w:rPr>
        <w:t xml:space="preserve">Valdomiro Bernardes Pinto, </w:t>
      </w:r>
      <w:r w:rsidR="00A84C71" w:rsidRPr="007D3875">
        <w:rPr>
          <w:sz w:val="24"/>
          <w:szCs w:val="24"/>
          <w:vertAlign w:val="superscript"/>
        </w:rPr>
        <w:t xml:space="preserve"> </w:t>
      </w:r>
      <w:r w:rsidR="00AB5226" w:rsidRPr="007D3875">
        <w:rPr>
          <w:sz w:val="24"/>
          <w:szCs w:val="24"/>
          <w:vertAlign w:val="superscript"/>
        </w:rPr>
        <w:t>1</w:t>
      </w:r>
      <w:r w:rsidR="00AB5226" w:rsidRPr="007D3875">
        <w:rPr>
          <w:sz w:val="24"/>
          <w:szCs w:val="24"/>
        </w:rPr>
        <w:t>Antônio Carlos Barreto</w:t>
      </w:r>
      <w:r w:rsidR="00541E47" w:rsidRPr="007D3875">
        <w:rPr>
          <w:sz w:val="24"/>
          <w:szCs w:val="24"/>
        </w:rPr>
        <w:t xml:space="preserve">, </w:t>
      </w:r>
      <w:r w:rsidR="00541E47" w:rsidRPr="007D3875">
        <w:rPr>
          <w:sz w:val="24"/>
          <w:szCs w:val="24"/>
          <w:vertAlign w:val="superscript"/>
        </w:rPr>
        <w:t>1</w:t>
      </w:r>
      <w:r w:rsidR="00541E47" w:rsidRPr="007D3875">
        <w:rPr>
          <w:sz w:val="24"/>
          <w:szCs w:val="24"/>
        </w:rPr>
        <w:t xml:space="preserve">Lucas Eduardo de Oliveira, </w:t>
      </w:r>
      <w:r w:rsidR="00541E47" w:rsidRPr="007D3875">
        <w:rPr>
          <w:sz w:val="24"/>
          <w:szCs w:val="24"/>
          <w:vertAlign w:val="superscript"/>
        </w:rPr>
        <w:t>1</w:t>
      </w:r>
      <w:r w:rsidR="00541E47" w:rsidRPr="007D3875">
        <w:rPr>
          <w:sz w:val="24"/>
          <w:szCs w:val="24"/>
        </w:rPr>
        <w:t xml:space="preserve">Lucas Faria Ribeiro, </w:t>
      </w:r>
      <w:r w:rsidR="00541E47" w:rsidRPr="007D3875">
        <w:rPr>
          <w:sz w:val="24"/>
          <w:szCs w:val="24"/>
          <w:vertAlign w:val="superscript"/>
        </w:rPr>
        <w:t>1</w:t>
      </w:r>
      <w:r w:rsidR="00541E47" w:rsidRPr="007D3875">
        <w:rPr>
          <w:sz w:val="24"/>
          <w:szCs w:val="24"/>
        </w:rPr>
        <w:t xml:space="preserve">José Luiz Rodrigues Torres </w:t>
      </w:r>
      <w:r w:rsidR="00541E47" w:rsidRPr="007D3875">
        <w:rPr>
          <w:spacing w:val="-2"/>
          <w:sz w:val="24"/>
          <w:szCs w:val="24"/>
        </w:rPr>
        <w:t xml:space="preserve"> </w:t>
      </w:r>
    </w:p>
    <w:p w14:paraId="198DB24A" w14:textId="6019AFB9" w:rsidR="00A84C71" w:rsidRPr="007D3875" w:rsidRDefault="00541E47" w:rsidP="00A84C71">
      <w:pPr>
        <w:spacing w:line="228" w:lineRule="exact"/>
        <w:ind w:left="77" w:right="209"/>
        <w:jc w:val="center"/>
        <w:rPr>
          <w:i/>
          <w:spacing w:val="-3"/>
          <w:sz w:val="24"/>
          <w:szCs w:val="24"/>
        </w:rPr>
      </w:pPr>
      <w:r w:rsidRPr="007D3875">
        <w:rPr>
          <w:i/>
          <w:sz w:val="24"/>
          <w:szCs w:val="24"/>
          <w:vertAlign w:val="superscript"/>
        </w:rPr>
        <w:t>1</w:t>
      </w:r>
      <w:r w:rsidRPr="007D3875">
        <w:rPr>
          <w:i/>
          <w:sz w:val="24"/>
          <w:szCs w:val="24"/>
        </w:rPr>
        <w:t>Instituto Federal do Triângulo Mineiro Campus Uberaba, e-mail:</w:t>
      </w:r>
      <w:r w:rsidRPr="007D3875">
        <w:rPr>
          <w:i/>
          <w:spacing w:val="-4"/>
          <w:sz w:val="24"/>
          <w:szCs w:val="24"/>
        </w:rPr>
        <w:t xml:space="preserve"> </w:t>
      </w:r>
      <w:r w:rsidR="00AB5226" w:rsidRPr="007D3875">
        <w:rPr>
          <w:i/>
          <w:sz w:val="24"/>
          <w:szCs w:val="24"/>
        </w:rPr>
        <w:t xml:space="preserve">leonardocarneirom17@gmail.com; </w:t>
      </w:r>
      <w:r w:rsidRPr="007D3875">
        <w:rPr>
          <w:i/>
          <w:sz w:val="24"/>
          <w:szCs w:val="24"/>
        </w:rPr>
        <w:t>valdomiro@iftm.edu.br;</w:t>
      </w:r>
      <w:r w:rsidRPr="007D3875">
        <w:t xml:space="preserve"> </w:t>
      </w:r>
      <w:hyperlink r:id="rId8" w:history="1">
        <w:r w:rsidR="00AB5226" w:rsidRPr="007D3875">
          <w:rPr>
            <w:rStyle w:val="Hyperlink"/>
            <w:color w:val="auto"/>
            <w:u w:val="none"/>
          </w:rPr>
          <w:t>barreto@iftm.edu.br</w:t>
        </w:r>
      </w:hyperlink>
      <w:r w:rsidR="00AB5226" w:rsidRPr="007D3875">
        <w:t xml:space="preserve">; </w:t>
      </w:r>
      <w:r w:rsidR="007130C3" w:rsidRPr="007D3875">
        <w:rPr>
          <w:i/>
          <w:sz w:val="24"/>
          <w:szCs w:val="24"/>
        </w:rPr>
        <w:t>lucas.eo@estudante.iftm.edu.br;</w:t>
      </w:r>
      <w:r w:rsidR="007130C3" w:rsidRPr="007D3875">
        <w:t xml:space="preserve"> </w:t>
      </w:r>
      <w:r w:rsidR="007130C3" w:rsidRPr="007D3875">
        <w:rPr>
          <w:i/>
          <w:sz w:val="24"/>
          <w:szCs w:val="24"/>
        </w:rPr>
        <w:t>lucasfaria@estudante.iftm.edu.br;</w:t>
      </w:r>
      <w:r w:rsidRPr="007D3875">
        <w:rPr>
          <w:i/>
          <w:spacing w:val="-4"/>
          <w:sz w:val="24"/>
          <w:szCs w:val="24"/>
        </w:rPr>
        <w:t xml:space="preserve"> jlrtorres@iftm.edu.br</w:t>
      </w:r>
    </w:p>
    <w:p w14:paraId="19ACAB03" w14:textId="77777777" w:rsidR="00E3782C" w:rsidRPr="007D3875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51507C3B" w:rsidR="00E3782C" w:rsidRPr="007D3875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7D3875">
        <w:rPr>
          <w:b/>
          <w:bCs/>
          <w:i/>
          <w:spacing w:val="-2"/>
          <w:sz w:val="24"/>
          <w:szCs w:val="24"/>
        </w:rPr>
        <w:t>Grupo temático</w:t>
      </w:r>
      <w:r w:rsidR="00562E9F" w:rsidRPr="007D3875">
        <w:rPr>
          <w:b/>
          <w:bCs/>
          <w:i/>
          <w:spacing w:val="-2"/>
          <w:sz w:val="24"/>
          <w:szCs w:val="24"/>
        </w:rPr>
        <w:t>:</w:t>
      </w:r>
      <w:r w:rsidR="00FF2C82" w:rsidRPr="007D3875">
        <w:rPr>
          <w:b/>
          <w:bCs/>
          <w:i/>
          <w:spacing w:val="-2"/>
          <w:sz w:val="24"/>
          <w:szCs w:val="24"/>
        </w:rPr>
        <w:t xml:space="preserve"> </w:t>
      </w:r>
      <w:r w:rsidR="00303FEE" w:rsidRPr="007D3875">
        <w:rPr>
          <w:b/>
          <w:bCs/>
          <w:i/>
          <w:spacing w:val="-2"/>
          <w:sz w:val="24"/>
          <w:szCs w:val="24"/>
        </w:rPr>
        <w:t>5</w:t>
      </w:r>
    </w:p>
    <w:p w14:paraId="125F6DD1" w14:textId="0D5D1174" w:rsidR="009C4B75" w:rsidRPr="007D3875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7D3875">
        <w:rPr>
          <w:b/>
          <w:bCs/>
          <w:i/>
          <w:spacing w:val="-2"/>
          <w:sz w:val="24"/>
          <w:szCs w:val="24"/>
        </w:rPr>
        <w:t>Eixo</w:t>
      </w:r>
      <w:r w:rsidR="00562E9F" w:rsidRPr="007D3875">
        <w:rPr>
          <w:b/>
          <w:bCs/>
          <w:i/>
          <w:spacing w:val="-2"/>
          <w:sz w:val="24"/>
          <w:szCs w:val="24"/>
        </w:rPr>
        <w:t xml:space="preserve">: </w:t>
      </w:r>
      <w:r w:rsidR="00303FEE" w:rsidRPr="007D3875">
        <w:rPr>
          <w:b/>
          <w:bCs/>
          <w:i/>
          <w:spacing w:val="-2"/>
          <w:sz w:val="24"/>
          <w:szCs w:val="24"/>
        </w:rPr>
        <w:t>Tecnologias verdes e inovação sustentável</w:t>
      </w:r>
    </w:p>
    <w:p w14:paraId="1ADFF788" w14:textId="77777777" w:rsidR="00E3782C" w:rsidRPr="007D3875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7D3875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7D3875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7D3875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61E61351" w14:textId="1DF61CEF" w:rsidR="00D627B1" w:rsidRPr="002941D6" w:rsidRDefault="00DC47E0" w:rsidP="00861013">
      <w:pPr>
        <w:jc w:val="both"/>
        <w:rPr>
          <w:sz w:val="24"/>
          <w:szCs w:val="24"/>
        </w:rPr>
      </w:pPr>
      <w:r w:rsidRPr="007D3875">
        <w:rPr>
          <w:sz w:val="24"/>
          <w:szCs w:val="24"/>
        </w:rPr>
        <w:t xml:space="preserve">O nitrogênio é um dos nutrientes mais exigidos pela cultura do milho, influenciando </w:t>
      </w:r>
      <w:r w:rsidRPr="002941D6">
        <w:rPr>
          <w:sz w:val="24"/>
          <w:szCs w:val="24"/>
        </w:rPr>
        <w:t xml:space="preserve">diretamente o crescimento das plantas e a produtividade. Entretanto, o uso excessivo de fertilizantes nitrogenados pode aumentar os custos de produção e os riscos de impactos ambientais. Objetivou-se avaliar a eficiência agronômica de diferentes doses de nitrogênio em cobertura na produção de milho verde e grãos secos cultivados no Cerrado mineiro. O experimento foi conduzido em Uberaba, MG, em delineamento de blocos casualizados, com cinco doses de nitrogênio (0, 50, 75, 100 e 125% da recomendação) e quatro repetições. Foram avaliados componentes produtivos do milho verde e do milho destinado à produção de grãos, além do Índice de Eficiência Agronômica (IEA). As doses de nitrogênio não influenciaram a produtividade comercial do milho verde, afetando apenas a massa de palha. </w:t>
      </w:r>
      <w:r w:rsidR="000C0746" w:rsidRPr="000C0746">
        <w:rPr>
          <w:sz w:val="24"/>
          <w:szCs w:val="24"/>
        </w:rPr>
        <w:t>Para a produção de grãos, observaram-se incrementos na produtividade e na massa de mil grãos com o aumento das doses de N. Considerando a dose de 100% da recomendação como referência, a dose de 75% apresentou 96% do IEA para produtividade e 100% para massa de mil grãos. Embora os maiores valores de produtividade tenham sido obtidos com 125% da recomendação, a redução parcial da adubação nitrogenada mostrou potencial para manter elevado desempenho produtivo, contribuindo para sistemas de produção de milho mais sustentáveis no Cerrado.</w:t>
      </w:r>
    </w:p>
    <w:p w14:paraId="6CC5B7F4" w14:textId="77777777" w:rsidR="00DC47E0" w:rsidRPr="002941D6" w:rsidRDefault="00DC47E0" w:rsidP="00861013">
      <w:pPr>
        <w:jc w:val="both"/>
        <w:rPr>
          <w:sz w:val="24"/>
          <w:szCs w:val="24"/>
        </w:rPr>
      </w:pPr>
    </w:p>
    <w:p w14:paraId="550213D3" w14:textId="77B11D29" w:rsidR="00861013" w:rsidRPr="002941D6" w:rsidRDefault="00861013" w:rsidP="00861013">
      <w:pPr>
        <w:jc w:val="both"/>
        <w:rPr>
          <w:sz w:val="24"/>
          <w:szCs w:val="24"/>
          <w:lang w:val="pt-BR"/>
        </w:rPr>
      </w:pPr>
      <w:r w:rsidRPr="002941D6">
        <w:rPr>
          <w:b/>
          <w:sz w:val="24"/>
          <w:szCs w:val="24"/>
        </w:rPr>
        <w:t>Palavras-chave</w:t>
      </w:r>
      <w:r w:rsidRPr="002941D6">
        <w:rPr>
          <w:sz w:val="24"/>
          <w:szCs w:val="24"/>
        </w:rPr>
        <w:t xml:space="preserve">: </w:t>
      </w:r>
      <w:r w:rsidR="002A0401" w:rsidRPr="002A0401">
        <w:rPr>
          <w:sz w:val="24"/>
          <w:szCs w:val="24"/>
        </w:rPr>
        <w:t>adubação de cobertura; agricultura regenerativa; fertilização racional; produtividade de grãos; uso eficiente de nutrientes.</w:t>
      </w:r>
    </w:p>
    <w:p w14:paraId="07C4F631" w14:textId="77777777" w:rsidR="00861013" w:rsidRPr="007A7EE9" w:rsidRDefault="00861013" w:rsidP="00861013">
      <w:pPr>
        <w:jc w:val="both"/>
      </w:pPr>
    </w:p>
    <w:p w14:paraId="5878A4D9" w14:textId="0A4884EA" w:rsidR="00E3782C" w:rsidRPr="007A7EE9" w:rsidRDefault="00E3782C" w:rsidP="00CA178C">
      <w:pPr>
        <w:spacing w:line="360" w:lineRule="auto"/>
        <w:jc w:val="both"/>
        <w:rPr>
          <w:b/>
          <w:bCs/>
          <w:spacing w:val="-2"/>
          <w:sz w:val="24"/>
          <w:szCs w:val="24"/>
        </w:rPr>
      </w:pPr>
      <w:r w:rsidRPr="007A7EE9">
        <w:rPr>
          <w:b/>
          <w:bCs/>
          <w:spacing w:val="-2"/>
          <w:sz w:val="24"/>
          <w:szCs w:val="24"/>
        </w:rPr>
        <w:t>Introdução</w:t>
      </w:r>
    </w:p>
    <w:p w14:paraId="65D2B40B" w14:textId="0E2C64A2" w:rsidR="00D25276" w:rsidRPr="007A7EE9" w:rsidRDefault="00D25276" w:rsidP="00D25276">
      <w:pPr>
        <w:pStyle w:val="Corpodetexto"/>
        <w:spacing w:line="360" w:lineRule="auto"/>
        <w:ind w:firstLine="709"/>
        <w:jc w:val="both"/>
        <w:rPr>
          <w:sz w:val="24"/>
          <w:szCs w:val="24"/>
          <w:lang w:val="pt-BR" w:eastAsia="pt-BR"/>
        </w:rPr>
      </w:pPr>
      <w:r w:rsidRPr="007A7EE9">
        <w:rPr>
          <w:sz w:val="24"/>
          <w:szCs w:val="24"/>
          <w:lang w:val="pt-BR" w:eastAsia="pt-BR"/>
        </w:rPr>
        <w:t>O milho (</w:t>
      </w:r>
      <w:r w:rsidRPr="007A7EE9">
        <w:rPr>
          <w:i/>
          <w:sz w:val="24"/>
          <w:szCs w:val="24"/>
          <w:lang w:val="pt-BR" w:eastAsia="pt-BR"/>
        </w:rPr>
        <w:t>Zea mays</w:t>
      </w:r>
      <w:r w:rsidRPr="007A7EE9">
        <w:rPr>
          <w:sz w:val="24"/>
          <w:szCs w:val="24"/>
          <w:lang w:val="pt-BR" w:eastAsia="pt-BR"/>
        </w:rPr>
        <w:t xml:space="preserve"> L.) destaca-se entre as principais culturas agrícolas cultivadas no Brasil, exercendo papel fundamental na segurança alimentar, na produção de rações e no abastecimento de diversas cadeias produtivas. Na safra 2023/24, a produção nacional superou 115 milhões de toneladas, consolidando o país entre os maiores produtores mundiais do cereal. O Cerrado brasileiro responde por parcela significativa dessa produção em função da expansão agrícola e da adoção de tecnologias de manejo cada vez mais eficientes</w:t>
      </w:r>
      <w:r w:rsidR="003C4DF7">
        <w:rPr>
          <w:sz w:val="24"/>
          <w:szCs w:val="24"/>
          <w:lang w:val="pt-BR" w:eastAsia="pt-BR"/>
        </w:rPr>
        <w:t xml:space="preserve"> (CONAB, 2024)</w:t>
      </w:r>
      <w:r w:rsidRPr="007A7EE9">
        <w:rPr>
          <w:sz w:val="24"/>
          <w:szCs w:val="24"/>
          <w:lang w:val="pt-BR" w:eastAsia="pt-BR"/>
        </w:rPr>
        <w:t>.</w:t>
      </w:r>
    </w:p>
    <w:p w14:paraId="7EB9D3C6" w14:textId="1623BAD7" w:rsidR="009973BE" w:rsidRDefault="00D25276" w:rsidP="00D25276">
      <w:pPr>
        <w:pStyle w:val="Corpodetexto"/>
        <w:spacing w:line="360" w:lineRule="auto"/>
        <w:ind w:firstLine="709"/>
        <w:jc w:val="both"/>
        <w:rPr>
          <w:sz w:val="24"/>
          <w:szCs w:val="24"/>
          <w:lang w:val="pt-BR" w:eastAsia="pt-BR"/>
        </w:rPr>
      </w:pPr>
      <w:r w:rsidRPr="007A7EE9">
        <w:rPr>
          <w:sz w:val="24"/>
          <w:szCs w:val="24"/>
          <w:lang w:val="pt-BR" w:eastAsia="pt-BR"/>
        </w:rPr>
        <w:t xml:space="preserve">Entre os nutrientes exigidos pela cultura, o nitrogênio (N) é um dos que mais limitam a </w:t>
      </w:r>
      <w:r w:rsidRPr="007A7EE9">
        <w:rPr>
          <w:sz w:val="24"/>
          <w:szCs w:val="24"/>
          <w:lang w:val="pt-BR" w:eastAsia="pt-BR"/>
        </w:rPr>
        <w:lastRenderedPageBreak/>
        <w:t xml:space="preserve">produtividade, por participar diretamente da síntese de proteínas, da formação de compostos fotossintéticos e do enchimento de grãos. Entretanto, a eficiência de aproveitamento do N pelas plantas é frequentemente baixa, sendo parte significativa do fertilizante perdida por volatilização, lixiviação e desnitrificação, elevando os custos de produção e os riscos ambientais. </w:t>
      </w:r>
      <w:r w:rsidR="009973BE" w:rsidRPr="009973BE">
        <w:rPr>
          <w:sz w:val="24"/>
          <w:szCs w:val="24"/>
          <w:lang w:val="pt-BR" w:eastAsia="pt-BR"/>
        </w:rPr>
        <w:t>Estudos têm demonstrado que estratégias voltadas ao aumento da eficiência de uso do nitrogênio podem manter elevados níveis de produtividade e, simultaneamente, reduzir impactos ambientais associados à fertilização nitrogenada. O manejo adequado das doses e épocas de aplicação do nutriente constitui uma das principais ferramentas para aumentar a eficiência agronômica e reduzir perdas por volatilização, lixiviação e desnitrificação (</w:t>
      </w:r>
      <w:r w:rsidR="003C4DF7" w:rsidRPr="009973BE">
        <w:rPr>
          <w:sz w:val="24"/>
          <w:szCs w:val="24"/>
          <w:lang w:val="pt-BR" w:eastAsia="pt-BR"/>
        </w:rPr>
        <w:t>FAGERIA</w:t>
      </w:r>
      <w:r w:rsidR="009973BE" w:rsidRPr="009973BE">
        <w:rPr>
          <w:sz w:val="24"/>
          <w:szCs w:val="24"/>
          <w:lang w:val="pt-BR" w:eastAsia="pt-BR"/>
        </w:rPr>
        <w:t xml:space="preserve">, 2014; </w:t>
      </w:r>
      <w:r w:rsidR="003C4DF7" w:rsidRPr="009973BE">
        <w:rPr>
          <w:sz w:val="24"/>
          <w:szCs w:val="24"/>
          <w:lang w:val="pt-BR" w:eastAsia="pt-BR"/>
        </w:rPr>
        <w:t>CIAMPITTI</w:t>
      </w:r>
      <w:r w:rsidR="003C4DF7">
        <w:rPr>
          <w:sz w:val="24"/>
          <w:szCs w:val="24"/>
          <w:lang w:val="pt-BR" w:eastAsia="pt-BR"/>
        </w:rPr>
        <w:t>;</w:t>
      </w:r>
      <w:r w:rsidR="003C4DF7" w:rsidRPr="009973BE">
        <w:rPr>
          <w:sz w:val="24"/>
          <w:szCs w:val="24"/>
          <w:lang w:val="pt-BR" w:eastAsia="pt-BR"/>
        </w:rPr>
        <w:t xml:space="preserve"> VYN</w:t>
      </w:r>
      <w:r w:rsidR="009973BE" w:rsidRPr="009973BE">
        <w:rPr>
          <w:sz w:val="24"/>
          <w:szCs w:val="24"/>
          <w:lang w:val="pt-BR" w:eastAsia="pt-BR"/>
        </w:rPr>
        <w:t>, 2014).</w:t>
      </w:r>
    </w:p>
    <w:p w14:paraId="566B769B" w14:textId="10D3564A" w:rsidR="00D25276" w:rsidRPr="007A7EE9" w:rsidRDefault="00D25276" w:rsidP="00D25276">
      <w:pPr>
        <w:pStyle w:val="Corpodetexto"/>
        <w:spacing w:line="360" w:lineRule="auto"/>
        <w:ind w:firstLine="709"/>
        <w:jc w:val="both"/>
        <w:rPr>
          <w:b/>
          <w:bCs/>
          <w:sz w:val="24"/>
          <w:szCs w:val="24"/>
          <w:lang w:val="pt-BR"/>
        </w:rPr>
      </w:pPr>
      <w:r w:rsidRPr="007A7EE9">
        <w:rPr>
          <w:sz w:val="24"/>
          <w:szCs w:val="24"/>
          <w:lang w:val="pt-BR" w:eastAsia="pt-BR"/>
        </w:rPr>
        <w:t xml:space="preserve">Nesse contexto, o uso racional da adubação nitrogenada constitui uma das principais estratégias para o desenvolvimento de sistemas agrícolas mais sustentáveis. A definição de doses que maximizem a eficiência agronômica sem comprometer a produtividade pode contribuir para a redução dos custos de produção e para o uso mais eficiente dos recursos naturais. Assim, neste estudo objetivou-se avaliar a eficiência agronômica de diferentes doses de </w:t>
      </w:r>
      <w:r w:rsidR="002941D6">
        <w:rPr>
          <w:sz w:val="24"/>
          <w:szCs w:val="24"/>
          <w:lang w:val="pt-BR" w:eastAsia="pt-BR"/>
        </w:rPr>
        <w:t>N</w:t>
      </w:r>
      <w:r w:rsidRPr="007A7EE9">
        <w:rPr>
          <w:sz w:val="24"/>
          <w:szCs w:val="24"/>
          <w:lang w:val="pt-BR" w:eastAsia="pt-BR"/>
        </w:rPr>
        <w:t xml:space="preserve"> em cobertura na produção de milho verde e grãos secos cultivados no Cerrado mineiro.</w:t>
      </w:r>
    </w:p>
    <w:p w14:paraId="4A540B99" w14:textId="77777777" w:rsidR="00D25276" w:rsidRPr="007A7EE9" w:rsidRDefault="00D25276" w:rsidP="00D25276">
      <w:pPr>
        <w:pStyle w:val="Corpodetexto"/>
        <w:spacing w:line="360" w:lineRule="auto"/>
        <w:jc w:val="both"/>
        <w:rPr>
          <w:b/>
          <w:bCs/>
          <w:sz w:val="24"/>
          <w:szCs w:val="24"/>
        </w:rPr>
      </w:pPr>
    </w:p>
    <w:p w14:paraId="208760B7" w14:textId="4456A065" w:rsidR="00E3782C" w:rsidRPr="007A7EE9" w:rsidRDefault="00E3782C" w:rsidP="00D25276">
      <w:pPr>
        <w:pStyle w:val="Corpodetexto"/>
        <w:spacing w:line="360" w:lineRule="auto"/>
        <w:jc w:val="both"/>
        <w:rPr>
          <w:b/>
          <w:bCs/>
          <w:sz w:val="24"/>
          <w:szCs w:val="24"/>
        </w:rPr>
      </w:pPr>
      <w:r w:rsidRPr="007A7EE9">
        <w:rPr>
          <w:b/>
          <w:bCs/>
          <w:sz w:val="24"/>
          <w:szCs w:val="24"/>
        </w:rPr>
        <w:t>Metodologia</w:t>
      </w:r>
    </w:p>
    <w:p w14:paraId="617C3056" w14:textId="39D9328E" w:rsidR="00D25276" w:rsidRPr="007A7EE9" w:rsidRDefault="00650CF3" w:rsidP="00D25276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650CF3">
        <w:t>O estudo foi conduzido entre dezembro de 2023 e maio de 2024 na área experimental do Instituto Federal do Triângulo Mineiro (IFTM), Campus Uberaba, em Uberaba, MG. O milho foi semeado em 12 de dezembro de</w:t>
      </w:r>
      <w:r>
        <w:t xml:space="preserve"> 2023 e colhido em maio de 2024</w:t>
      </w:r>
      <w:r w:rsidR="00D25276" w:rsidRPr="007A7EE9">
        <w:t xml:space="preserve"> na área experimental do Instituto Federal do Triângulo Mineiro (IFTM), Campus Uberaba, em Uberaba, MG (19°39'43'' S e 47°57'54'' W; 796 m de altitude). O clima da região é classificado como Aw, tropical com estação seca no inverno e chuvosa no verão, segundo a classificação de Köppen (</w:t>
      </w:r>
      <w:r w:rsidR="003C4DF7" w:rsidRPr="007A7EE9">
        <w:t xml:space="preserve">BECK </w:t>
      </w:r>
      <w:r w:rsidR="00D25276" w:rsidRPr="007A7EE9">
        <w:t>et al., 2018). O solo da área experimental foi classificado como Latossolo Vermelho distrófico de textura franco-arenosa (</w:t>
      </w:r>
      <w:r w:rsidR="003C4DF7" w:rsidRPr="007A7EE9">
        <w:t>SANTOS</w:t>
      </w:r>
      <w:r w:rsidR="00D25276" w:rsidRPr="007A7EE9">
        <w:t xml:space="preserve"> et al., 2018). A área encontrava-se em pousio há aproximadamente cinco anos e foi preparada pelo sistema convencional, com uma aração e duas gradagens.</w:t>
      </w:r>
    </w:p>
    <w:p w14:paraId="439E7F8D" w14:textId="5D3CD960" w:rsidR="00D25276" w:rsidRPr="007A7EE9" w:rsidRDefault="00D25276" w:rsidP="00D25276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7A7EE9">
        <w:t>O delineamento experimental utilizado foi o de blocos casualizados, com cinco tratamentos e quatro repetições. Os tratamentos corresponderam a cinco doses de nitrogênio aplicadas em cobertura: 0, 50</w:t>
      </w:r>
      <w:r w:rsidR="002A0401">
        <w:t xml:space="preserve"> (70 kg ha</w:t>
      </w:r>
      <w:r w:rsidR="002A0401">
        <w:rPr>
          <w:vertAlign w:val="superscript"/>
        </w:rPr>
        <w:t>-1</w:t>
      </w:r>
      <w:r w:rsidR="002A0401">
        <w:t>)</w:t>
      </w:r>
      <w:r w:rsidRPr="007A7EE9">
        <w:t>, 75</w:t>
      </w:r>
      <w:r w:rsidR="002A0401">
        <w:t xml:space="preserve"> (105 kg ha</w:t>
      </w:r>
      <w:r w:rsidR="002A0401">
        <w:rPr>
          <w:vertAlign w:val="superscript"/>
        </w:rPr>
        <w:t>-1</w:t>
      </w:r>
      <w:r w:rsidR="002A0401">
        <w:t>)</w:t>
      </w:r>
      <w:r w:rsidRPr="007A7EE9">
        <w:t xml:space="preserve">, 100 </w:t>
      </w:r>
      <w:r w:rsidR="002A0401">
        <w:t>(140 kg ha</w:t>
      </w:r>
      <w:r w:rsidR="002A0401">
        <w:rPr>
          <w:vertAlign w:val="superscript"/>
        </w:rPr>
        <w:t>-1</w:t>
      </w:r>
      <w:r w:rsidR="002A0401">
        <w:t>)</w:t>
      </w:r>
      <w:r w:rsidR="00FC2332">
        <w:t xml:space="preserve"> </w:t>
      </w:r>
      <w:r w:rsidRPr="007A7EE9">
        <w:t xml:space="preserve">e 125% </w:t>
      </w:r>
      <w:r w:rsidR="002A0401">
        <w:t>(175 kg ha</w:t>
      </w:r>
      <w:r w:rsidR="002A0401">
        <w:rPr>
          <w:vertAlign w:val="superscript"/>
        </w:rPr>
        <w:t>-1</w:t>
      </w:r>
      <w:r w:rsidR="002A0401">
        <w:t xml:space="preserve">) </w:t>
      </w:r>
      <w:r w:rsidRPr="007A7EE9">
        <w:t xml:space="preserve">da dose recomendada para a cultura, considerando como referência 140 kg ha⁻¹ de N. As parcelas possuíam 42 m² (6 × 7 m), com espaçamento de 0,50 m entre linhas e população final </w:t>
      </w:r>
      <w:r w:rsidRPr="007A7EE9">
        <w:lastRenderedPageBreak/>
        <w:t>de 60.000 plantas ha⁻¹. Foi utilizado o híbrido MG711 (Morgan), semeado em 12 de dezembro de 202</w:t>
      </w:r>
      <w:r w:rsidR="00650CF3">
        <w:t>3</w:t>
      </w:r>
      <w:r w:rsidRPr="007A7EE9">
        <w:t xml:space="preserve">. Na semeadura aplicaram-se 32, 112 e 64 kg ha⁻¹ de N, P₂O₅ e K₂O, respectivamente, utilizando </w:t>
      </w:r>
      <w:r w:rsidR="003C4DF7">
        <w:t>a</w:t>
      </w:r>
      <w:r w:rsidR="00650CF3">
        <w:t xml:space="preserve"> fó</w:t>
      </w:r>
      <w:r w:rsidRPr="007A7EE9">
        <w:t xml:space="preserve">rmula 4-14-8, conforme recomendação de </w:t>
      </w:r>
      <w:r w:rsidR="003C4DF7" w:rsidRPr="007A7EE9">
        <w:t xml:space="preserve">Ribeiro </w:t>
      </w:r>
      <w:r w:rsidRPr="007A7EE9">
        <w:t>et al. (1999).</w:t>
      </w:r>
    </w:p>
    <w:p w14:paraId="11E1ED03" w14:textId="1F6BBB06" w:rsidR="00D25276" w:rsidRPr="00EE6FC4" w:rsidRDefault="00650CF3" w:rsidP="00D25276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650CF3">
        <w:t>Foram conduzidos simultaneamente dois experimentos na mesma área, sendo um destinado à colheita de milho verde e outro à produção de grãos secos, ambos avaliados entre dezembro de 2023 e maio de 2024, conforme o ciclo da cultura e o ponto de colheita adequado.</w:t>
      </w:r>
      <w:r w:rsidR="00D25276" w:rsidRPr="00EE6FC4">
        <w:t xml:space="preserve"> No milho verde foram avaliadas a produtividade de espigas despalhadas (PED), massa de palha (MP), massa de espigas empalhadas (MEE) e rendimento de grãos por espiga (REND). No milho para grãos secos avaliaram-se a produtividade de grãos (PROD) e a massa de mil grãos (MMG). Com base nos resultados de produtividade e MMG foi calculado </w:t>
      </w:r>
      <w:r w:rsidR="003C4DF7">
        <w:rPr>
          <w:iCs/>
        </w:rPr>
        <w:t>o</w:t>
      </w:r>
      <w:r w:rsidR="00EE6FC4" w:rsidRPr="00EE6FC4">
        <w:rPr>
          <w:iCs/>
        </w:rPr>
        <w:t xml:space="preserve"> </w:t>
      </w:r>
      <w:r w:rsidR="00D25276" w:rsidRPr="00EE6FC4">
        <w:t xml:space="preserve">Índice de Eficiência Agronômica (IEA), </w:t>
      </w:r>
      <w:r w:rsidR="00EE6FC4" w:rsidRPr="00EE6FC4">
        <w:rPr>
          <w:iCs/>
        </w:rPr>
        <w:t xml:space="preserve">tomando-se como referência o desempenho obtido com a dose de 100% da recomendação. </w:t>
      </w:r>
      <w:r w:rsidR="00D25276" w:rsidRPr="00EE6FC4">
        <w:t xml:space="preserve">Os dados foram submetidos à análise de variância e as médias comparadas pelo teste de Tukey </w:t>
      </w:r>
      <w:r w:rsidR="002941D6" w:rsidRPr="00EE6FC4">
        <w:t>(p&lt;0,05)</w:t>
      </w:r>
      <w:r w:rsidR="00D25276" w:rsidRPr="00EE6FC4">
        <w:t>.</w:t>
      </w:r>
    </w:p>
    <w:p w14:paraId="4143167D" w14:textId="77777777" w:rsidR="005D54CD" w:rsidRPr="007A7EE9" w:rsidRDefault="005D54CD" w:rsidP="00581A3E">
      <w:pPr>
        <w:pStyle w:val="Corpodetexto"/>
        <w:spacing w:line="360" w:lineRule="auto"/>
        <w:jc w:val="both"/>
        <w:rPr>
          <w:b/>
          <w:bCs/>
          <w:sz w:val="28"/>
          <w:szCs w:val="28"/>
          <w:lang w:val="pt-BR"/>
        </w:rPr>
      </w:pPr>
    </w:p>
    <w:p w14:paraId="71573541" w14:textId="7267FD8B" w:rsidR="00E3782C" w:rsidRPr="007A7EE9" w:rsidRDefault="00E3782C" w:rsidP="008246E3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7A7EE9">
        <w:rPr>
          <w:b/>
          <w:bCs/>
          <w:sz w:val="28"/>
          <w:szCs w:val="28"/>
        </w:rPr>
        <w:t>Resultados e Discussão</w:t>
      </w:r>
    </w:p>
    <w:p w14:paraId="4B674D3E" w14:textId="0A486246" w:rsidR="00D25276" w:rsidRPr="003C4DF7" w:rsidRDefault="00650CF3" w:rsidP="003C4DF7">
      <w:pPr>
        <w:spacing w:line="360" w:lineRule="auto"/>
        <w:ind w:firstLine="709"/>
        <w:jc w:val="both"/>
        <w:rPr>
          <w:rFonts w:eastAsia="Calibri"/>
          <w:bCs/>
          <w:sz w:val="24"/>
          <w:szCs w:val="24"/>
          <w:lang w:val="pt-BR" w:eastAsia="pt-BR"/>
        </w:rPr>
      </w:pPr>
      <w:r>
        <w:rPr>
          <w:rFonts w:eastAsia="Calibri"/>
          <w:bCs/>
          <w:sz w:val="24"/>
          <w:szCs w:val="24"/>
          <w:lang w:val="pt-BR" w:eastAsia="pt-BR"/>
        </w:rPr>
        <w:t>A</w:t>
      </w:r>
      <w:r w:rsidRPr="00650CF3">
        <w:rPr>
          <w:rFonts w:eastAsia="Calibri"/>
          <w:bCs/>
          <w:sz w:val="24"/>
          <w:szCs w:val="24"/>
          <w:lang w:val="pt-BR" w:eastAsia="pt-BR"/>
        </w:rPr>
        <w:t>s doses de nitrogênio não influenciaram a produtividade de espigas despalhadas (PED), a massa de espigas empalhadas (MEE) ou o rendimento de grãos por espiga (REND), mas alteraram significativamente a massa de palha (MP)</w:t>
      </w:r>
      <w:r>
        <w:rPr>
          <w:rFonts w:eastAsia="Calibri"/>
          <w:bCs/>
          <w:sz w:val="24"/>
          <w:szCs w:val="24"/>
          <w:lang w:val="pt-BR" w:eastAsia="pt-BR"/>
        </w:rPr>
        <w:t xml:space="preserve"> </w:t>
      </w:r>
      <w:r w:rsidR="003C4DF7">
        <w:rPr>
          <w:rFonts w:eastAsia="Calibri"/>
          <w:bCs/>
          <w:sz w:val="24"/>
          <w:szCs w:val="24"/>
          <w:lang w:val="pt-BR" w:eastAsia="pt-BR"/>
        </w:rPr>
        <w:t>(Tabela 1).</w:t>
      </w:r>
      <w:r w:rsidR="00D354F3" w:rsidRPr="007A7EE9">
        <w:rPr>
          <w:rFonts w:eastAsia="Calibri"/>
          <w:bCs/>
          <w:sz w:val="24"/>
          <w:szCs w:val="24"/>
          <w:lang w:val="pt-BR" w:eastAsia="pt-BR"/>
        </w:rPr>
        <w:t xml:space="preserve"> </w:t>
      </w:r>
    </w:p>
    <w:p w14:paraId="2315C1A4" w14:textId="77777777" w:rsidR="00D354F3" w:rsidRPr="003C4DF7" w:rsidRDefault="00D354F3" w:rsidP="003C4DF7">
      <w:pPr>
        <w:spacing w:line="360" w:lineRule="auto"/>
        <w:ind w:firstLine="709"/>
        <w:jc w:val="both"/>
        <w:rPr>
          <w:rFonts w:eastAsia="Calibri"/>
          <w:b/>
          <w:sz w:val="24"/>
          <w:szCs w:val="24"/>
        </w:rPr>
      </w:pPr>
    </w:p>
    <w:p w14:paraId="5F392B94" w14:textId="0BA8D4BD" w:rsidR="00D25276" w:rsidRPr="003C4DF7" w:rsidRDefault="00D25276" w:rsidP="003C4DF7">
      <w:pPr>
        <w:spacing w:line="360" w:lineRule="auto"/>
        <w:rPr>
          <w:bCs/>
          <w:iCs/>
          <w:sz w:val="24"/>
          <w:szCs w:val="24"/>
        </w:rPr>
      </w:pPr>
      <w:r w:rsidRPr="003C4DF7">
        <w:rPr>
          <w:b/>
          <w:bCs/>
          <w:sz w:val="24"/>
          <w:szCs w:val="24"/>
        </w:rPr>
        <w:t>Tabela 1</w:t>
      </w:r>
      <w:r w:rsidRPr="003C4DF7">
        <w:rPr>
          <w:sz w:val="24"/>
          <w:szCs w:val="24"/>
        </w:rPr>
        <w:t xml:space="preserve">. Atributos agronômicos do milho verde cultivado sob diferentes doses de adubo nitrogenado na safra 2023/24, </w:t>
      </w:r>
      <w:r w:rsidRPr="003C4DF7">
        <w:rPr>
          <w:bCs/>
          <w:iCs/>
          <w:sz w:val="24"/>
          <w:szCs w:val="24"/>
        </w:rPr>
        <w:t>em Uberaba-MG</w:t>
      </w:r>
      <w:r w:rsidRPr="003C4DF7">
        <w:rPr>
          <w:sz w:val="24"/>
          <w:szCs w:val="24"/>
        </w:rPr>
        <w:t>.</w:t>
      </w:r>
    </w:p>
    <w:tbl>
      <w:tblPr>
        <w:tblW w:w="9067" w:type="dxa"/>
        <w:jc w:val="center"/>
        <w:tblLayout w:type="fixed"/>
        <w:tblLook w:val="01E0" w:firstRow="1" w:lastRow="1" w:firstColumn="1" w:lastColumn="1" w:noHBand="0" w:noVBand="0"/>
      </w:tblPr>
      <w:tblGrid>
        <w:gridCol w:w="1965"/>
        <w:gridCol w:w="1775"/>
        <w:gridCol w:w="1776"/>
        <w:gridCol w:w="1775"/>
        <w:gridCol w:w="1776"/>
      </w:tblGrid>
      <w:tr w:rsidR="007A7EE9" w:rsidRPr="003C4DF7" w14:paraId="71989279" w14:textId="77777777" w:rsidTr="00E67D03">
        <w:trPr>
          <w:jc w:val="center"/>
        </w:trPr>
        <w:tc>
          <w:tcPr>
            <w:tcW w:w="1965" w:type="dxa"/>
            <w:tcBorders>
              <w:top w:val="single" w:sz="4" w:space="0" w:color="auto"/>
            </w:tcBorders>
            <w:hideMark/>
          </w:tcPr>
          <w:p w14:paraId="2F49BEA8" w14:textId="77777777" w:rsidR="00D25276" w:rsidRPr="003C4DF7" w:rsidRDefault="00D25276" w:rsidP="003C4DF7">
            <w:pPr>
              <w:ind w:right="-216" w:hanging="108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 xml:space="preserve">     Doses</w:t>
            </w:r>
          </w:p>
        </w:tc>
        <w:tc>
          <w:tcPr>
            <w:tcW w:w="7102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B241078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 xml:space="preserve">Atributos agronômicos </w:t>
            </w:r>
          </w:p>
        </w:tc>
      </w:tr>
      <w:tr w:rsidR="007A7EE9" w:rsidRPr="003C4DF7" w14:paraId="13EF5088" w14:textId="77777777" w:rsidTr="00E67D03">
        <w:trPr>
          <w:jc w:val="center"/>
        </w:trPr>
        <w:tc>
          <w:tcPr>
            <w:tcW w:w="1965" w:type="dxa"/>
            <w:tcBorders>
              <w:bottom w:val="single" w:sz="4" w:space="0" w:color="auto"/>
            </w:tcBorders>
          </w:tcPr>
          <w:p w14:paraId="053825B8" w14:textId="77777777" w:rsidR="00D25276" w:rsidRPr="003C4DF7" w:rsidRDefault="00D25276" w:rsidP="003C4DF7">
            <w:pPr>
              <w:ind w:right="-21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0BBDC3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PED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7BCB57" w14:textId="735BFA8B" w:rsidR="00D25276" w:rsidRPr="003C4DF7" w:rsidRDefault="00650CF3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</w:t>
            </w:r>
            <w:r w:rsidR="00D25276" w:rsidRPr="003C4DF7">
              <w:rPr>
                <w:rFonts w:eastAsia="Calibri"/>
                <w:sz w:val="24"/>
                <w:szCs w:val="24"/>
              </w:rPr>
              <w:t>P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14:paraId="773498DA" w14:textId="77777777" w:rsidR="00D25276" w:rsidRPr="003C4DF7" w:rsidRDefault="00D25276" w:rsidP="003C4DF7">
            <w:pPr>
              <w:ind w:right="-29" w:hanging="108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MEE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14:paraId="37D8D1A4" w14:textId="77777777" w:rsidR="00D25276" w:rsidRPr="003C4DF7" w:rsidRDefault="00D25276" w:rsidP="003C4DF7">
            <w:pPr>
              <w:ind w:right="-29" w:hanging="108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REND</w:t>
            </w:r>
          </w:p>
        </w:tc>
      </w:tr>
      <w:tr w:rsidR="007A7EE9" w:rsidRPr="003C4DF7" w14:paraId="540F2058" w14:textId="77777777" w:rsidTr="00E67D03">
        <w:trPr>
          <w:jc w:val="center"/>
        </w:trPr>
        <w:tc>
          <w:tcPr>
            <w:tcW w:w="1965" w:type="dxa"/>
            <w:tcBorders>
              <w:top w:val="single" w:sz="4" w:space="0" w:color="auto"/>
              <w:bottom w:val="single" w:sz="4" w:space="0" w:color="auto"/>
            </w:tcBorders>
          </w:tcPr>
          <w:p w14:paraId="5EF11D9D" w14:textId="77777777" w:rsidR="00D25276" w:rsidRPr="003C4DF7" w:rsidRDefault="00D25276" w:rsidP="003C4DF7">
            <w:pPr>
              <w:ind w:right="-21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5326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09F051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.......................... Mg ha</w:t>
            </w:r>
            <w:r w:rsidRPr="003C4DF7">
              <w:rPr>
                <w:rFonts w:eastAsia="Calibri"/>
                <w:sz w:val="24"/>
                <w:szCs w:val="24"/>
                <w:vertAlign w:val="superscript"/>
              </w:rPr>
              <w:t>-1</w:t>
            </w:r>
            <w:r w:rsidRPr="003C4DF7">
              <w:rPr>
                <w:rFonts w:eastAsia="Calibri"/>
                <w:sz w:val="24"/>
                <w:szCs w:val="24"/>
              </w:rPr>
              <w:t>...........................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</w:tcPr>
          <w:p w14:paraId="0F553CEE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%</w:t>
            </w:r>
          </w:p>
        </w:tc>
      </w:tr>
      <w:tr w:rsidR="007A7EE9" w:rsidRPr="003C4DF7" w14:paraId="32B3ECC9" w14:textId="77777777" w:rsidTr="00E67D03">
        <w:trPr>
          <w:jc w:val="center"/>
        </w:trPr>
        <w:tc>
          <w:tcPr>
            <w:tcW w:w="1965" w:type="dxa"/>
            <w:tcBorders>
              <w:top w:val="single" w:sz="4" w:space="0" w:color="auto"/>
            </w:tcBorders>
          </w:tcPr>
          <w:p w14:paraId="6358BE69" w14:textId="77777777" w:rsidR="00D25276" w:rsidRPr="003C4DF7" w:rsidRDefault="00D25276" w:rsidP="003C4DF7">
            <w:pPr>
              <w:ind w:right="-108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 w:rsidRPr="003C4DF7">
              <w:rPr>
                <w:rFonts w:eastAsia="Calibri"/>
                <w:kern w:val="1"/>
                <w:sz w:val="24"/>
                <w:szCs w:val="24"/>
              </w:rPr>
              <w:t>Zero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14:paraId="5E8DB84E" w14:textId="77777777" w:rsidR="00D25276" w:rsidRPr="003C4DF7" w:rsidRDefault="00D25276" w:rsidP="003C4DF7">
            <w:pPr>
              <w:adjustRightInd w:val="0"/>
              <w:ind w:hanging="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4,40</w:t>
            </w:r>
          </w:p>
        </w:tc>
        <w:tc>
          <w:tcPr>
            <w:tcW w:w="1776" w:type="dxa"/>
            <w:tcBorders>
              <w:top w:val="single" w:sz="4" w:space="0" w:color="auto"/>
            </w:tcBorders>
          </w:tcPr>
          <w:p w14:paraId="7DE47355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2,55 b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14:paraId="40296C67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</w:rPr>
              <w:t>6,91</w:t>
            </w:r>
          </w:p>
        </w:tc>
        <w:tc>
          <w:tcPr>
            <w:tcW w:w="1776" w:type="dxa"/>
            <w:tcBorders>
              <w:top w:val="single" w:sz="4" w:space="0" w:color="auto"/>
            </w:tcBorders>
          </w:tcPr>
          <w:p w14:paraId="1030943F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63,79</w:t>
            </w:r>
          </w:p>
        </w:tc>
      </w:tr>
      <w:tr w:rsidR="007A7EE9" w:rsidRPr="003C4DF7" w14:paraId="7E499270" w14:textId="77777777" w:rsidTr="00E67D03">
        <w:trPr>
          <w:jc w:val="center"/>
        </w:trPr>
        <w:tc>
          <w:tcPr>
            <w:tcW w:w="1965" w:type="dxa"/>
          </w:tcPr>
          <w:p w14:paraId="3B8FA1D4" w14:textId="77777777" w:rsidR="00D25276" w:rsidRPr="003C4DF7" w:rsidRDefault="00D25276" w:rsidP="003C4DF7">
            <w:pPr>
              <w:ind w:right="-108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 w:rsidRPr="003C4DF7">
              <w:rPr>
                <w:rFonts w:eastAsia="Calibri"/>
                <w:kern w:val="1"/>
                <w:sz w:val="24"/>
                <w:szCs w:val="24"/>
              </w:rPr>
              <w:t>50</w:t>
            </w:r>
          </w:p>
        </w:tc>
        <w:tc>
          <w:tcPr>
            <w:tcW w:w="1775" w:type="dxa"/>
          </w:tcPr>
          <w:p w14:paraId="10400E72" w14:textId="77777777" w:rsidR="00D25276" w:rsidRPr="003C4DF7" w:rsidRDefault="00D25276" w:rsidP="003C4DF7">
            <w:pPr>
              <w:adjustRightInd w:val="0"/>
              <w:ind w:hanging="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4,39</w:t>
            </w:r>
          </w:p>
        </w:tc>
        <w:tc>
          <w:tcPr>
            <w:tcW w:w="1776" w:type="dxa"/>
          </w:tcPr>
          <w:p w14:paraId="0476E962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2,47 b</w:t>
            </w:r>
          </w:p>
        </w:tc>
        <w:tc>
          <w:tcPr>
            <w:tcW w:w="1775" w:type="dxa"/>
          </w:tcPr>
          <w:p w14:paraId="60E41065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</w:rPr>
              <w:t>6,94</w:t>
            </w:r>
          </w:p>
        </w:tc>
        <w:tc>
          <w:tcPr>
            <w:tcW w:w="1776" w:type="dxa"/>
          </w:tcPr>
          <w:p w14:paraId="2855CA96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  <w:lang w:eastAsia="zh-CN"/>
              </w:rPr>
              <w:t>63,22</w:t>
            </w:r>
          </w:p>
        </w:tc>
      </w:tr>
      <w:tr w:rsidR="007A7EE9" w:rsidRPr="003C4DF7" w14:paraId="162413CE" w14:textId="77777777" w:rsidTr="00E67D03">
        <w:trPr>
          <w:jc w:val="center"/>
        </w:trPr>
        <w:tc>
          <w:tcPr>
            <w:tcW w:w="1965" w:type="dxa"/>
          </w:tcPr>
          <w:p w14:paraId="6783CA7F" w14:textId="77777777" w:rsidR="00D25276" w:rsidRPr="003C4DF7" w:rsidRDefault="00D25276" w:rsidP="003C4DF7">
            <w:pPr>
              <w:ind w:right="-108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 w:rsidRPr="003C4DF7">
              <w:rPr>
                <w:rFonts w:eastAsia="Calibri"/>
                <w:kern w:val="1"/>
                <w:sz w:val="24"/>
                <w:szCs w:val="24"/>
              </w:rPr>
              <w:t>75</w:t>
            </w:r>
          </w:p>
        </w:tc>
        <w:tc>
          <w:tcPr>
            <w:tcW w:w="1775" w:type="dxa"/>
          </w:tcPr>
          <w:p w14:paraId="45FC550F" w14:textId="77777777" w:rsidR="00D25276" w:rsidRPr="003C4DF7" w:rsidRDefault="00D25276" w:rsidP="003C4DF7">
            <w:pPr>
              <w:adjustRightInd w:val="0"/>
              <w:ind w:hanging="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4,42</w:t>
            </w:r>
          </w:p>
        </w:tc>
        <w:tc>
          <w:tcPr>
            <w:tcW w:w="1776" w:type="dxa"/>
          </w:tcPr>
          <w:p w14:paraId="7C580201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2,44 b</w:t>
            </w:r>
          </w:p>
        </w:tc>
        <w:tc>
          <w:tcPr>
            <w:tcW w:w="1775" w:type="dxa"/>
          </w:tcPr>
          <w:p w14:paraId="5751CD3C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</w:rPr>
              <w:t>6,92</w:t>
            </w:r>
          </w:p>
        </w:tc>
        <w:tc>
          <w:tcPr>
            <w:tcW w:w="1776" w:type="dxa"/>
          </w:tcPr>
          <w:p w14:paraId="783B4DC9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  <w:lang w:eastAsia="zh-CN"/>
              </w:rPr>
              <w:t>64,03</w:t>
            </w:r>
          </w:p>
        </w:tc>
      </w:tr>
      <w:tr w:rsidR="007A7EE9" w:rsidRPr="003C4DF7" w14:paraId="6C137AFA" w14:textId="77777777" w:rsidTr="00E67D03">
        <w:trPr>
          <w:jc w:val="center"/>
        </w:trPr>
        <w:tc>
          <w:tcPr>
            <w:tcW w:w="1965" w:type="dxa"/>
          </w:tcPr>
          <w:p w14:paraId="01187C03" w14:textId="77777777" w:rsidR="00D25276" w:rsidRPr="003C4DF7" w:rsidRDefault="00D25276" w:rsidP="003C4DF7">
            <w:pPr>
              <w:ind w:right="-108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 w:rsidRPr="003C4DF7">
              <w:rPr>
                <w:rFonts w:eastAsia="Calibri"/>
                <w:kern w:val="1"/>
                <w:sz w:val="24"/>
                <w:szCs w:val="24"/>
              </w:rPr>
              <w:t>100</w:t>
            </w:r>
          </w:p>
        </w:tc>
        <w:tc>
          <w:tcPr>
            <w:tcW w:w="1775" w:type="dxa"/>
          </w:tcPr>
          <w:p w14:paraId="235A3F15" w14:textId="77777777" w:rsidR="00D25276" w:rsidRPr="003C4DF7" w:rsidRDefault="00D25276" w:rsidP="003C4DF7">
            <w:pPr>
              <w:adjustRightInd w:val="0"/>
              <w:ind w:hanging="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4,38</w:t>
            </w:r>
          </w:p>
        </w:tc>
        <w:tc>
          <w:tcPr>
            <w:tcW w:w="1776" w:type="dxa"/>
          </w:tcPr>
          <w:p w14:paraId="5832C0C0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2,73 a</w:t>
            </w:r>
          </w:p>
        </w:tc>
        <w:tc>
          <w:tcPr>
            <w:tcW w:w="1775" w:type="dxa"/>
          </w:tcPr>
          <w:p w14:paraId="2E196CF7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</w:rPr>
              <w:t>6,98</w:t>
            </w:r>
          </w:p>
        </w:tc>
        <w:tc>
          <w:tcPr>
            <w:tcW w:w="1776" w:type="dxa"/>
          </w:tcPr>
          <w:p w14:paraId="20760E68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  <w:lang w:eastAsia="zh-CN"/>
              </w:rPr>
              <w:t>62,83</w:t>
            </w:r>
          </w:p>
        </w:tc>
      </w:tr>
      <w:tr w:rsidR="007A7EE9" w:rsidRPr="003C4DF7" w14:paraId="70678EC8" w14:textId="77777777" w:rsidTr="00E67D03">
        <w:trPr>
          <w:jc w:val="center"/>
        </w:trPr>
        <w:tc>
          <w:tcPr>
            <w:tcW w:w="1965" w:type="dxa"/>
            <w:tcBorders>
              <w:bottom w:val="single" w:sz="4" w:space="0" w:color="auto"/>
            </w:tcBorders>
          </w:tcPr>
          <w:p w14:paraId="4261C8CC" w14:textId="77777777" w:rsidR="00D25276" w:rsidRPr="003C4DF7" w:rsidRDefault="00D25276" w:rsidP="003C4DF7">
            <w:pPr>
              <w:ind w:right="-108"/>
              <w:jc w:val="center"/>
              <w:rPr>
                <w:rFonts w:eastAsia="Calibri"/>
                <w:bCs/>
                <w:iCs/>
                <w:kern w:val="1"/>
                <w:sz w:val="24"/>
                <w:szCs w:val="24"/>
                <w:lang w:val="en-US"/>
              </w:rPr>
            </w:pPr>
            <w:r w:rsidRPr="003C4DF7">
              <w:rPr>
                <w:rFonts w:eastAsia="Calibri"/>
                <w:bCs/>
                <w:iCs/>
                <w:kern w:val="1"/>
                <w:sz w:val="24"/>
                <w:szCs w:val="24"/>
                <w:lang w:val="en-US"/>
              </w:rPr>
              <w:t>125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14:paraId="3C611D3D" w14:textId="77777777" w:rsidR="00D25276" w:rsidRPr="003C4DF7" w:rsidRDefault="00D25276" w:rsidP="003C4DF7">
            <w:pPr>
              <w:adjustRightInd w:val="0"/>
              <w:ind w:hanging="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4,31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74AB92E9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2,75 a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14:paraId="752FE81B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</w:rPr>
              <w:t>7,12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49E85090" w14:textId="77777777" w:rsidR="00D25276" w:rsidRPr="003C4DF7" w:rsidRDefault="00D25276" w:rsidP="003C4DF7">
            <w:pPr>
              <w:jc w:val="center"/>
              <w:rPr>
                <w:sz w:val="24"/>
                <w:szCs w:val="24"/>
                <w:lang w:eastAsia="zh-CN"/>
              </w:rPr>
            </w:pPr>
            <w:r w:rsidRPr="003C4DF7">
              <w:rPr>
                <w:sz w:val="24"/>
                <w:szCs w:val="24"/>
                <w:lang w:eastAsia="zh-CN"/>
              </w:rPr>
              <w:t>60,76</w:t>
            </w:r>
          </w:p>
        </w:tc>
      </w:tr>
      <w:tr w:rsidR="007A7EE9" w:rsidRPr="003C4DF7" w14:paraId="1A21C8A2" w14:textId="77777777" w:rsidTr="00E67D03">
        <w:trPr>
          <w:jc w:val="center"/>
        </w:trPr>
        <w:tc>
          <w:tcPr>
            <w:tcW w:w="1965" w:type="dxa"/>
            <w:tcBorders>
              <w:top w:val="single" w:sz="4" w:space="0" w:color="auto"/>
            </w:tcBorders>
          </w:tcPr>
          <w:p w14:paraId="4FDD9321" w14:textId="77777777" w:rsidR="00D25276" w:rsidRPr="003C4DF7" w:rsidRDefault="00D25276" w:rsidP="003C4DF7">
            <w:pPr>
              <w:ind w:right="-108"/>
              <w:jc w:val="center"/>
              <w:rPr>
                <w:rFonts w:eastAsia="Calibri"/>
                <w:bCs/>
                <w:iCs/>
                <w:kern w:val="1"/>
                <w:sz w:val="24"/>
                <w:szCs w:val="24"/>
              </w:rPr>
            </w:pPr>
            <w:r w:rsidRPr="003C4DF7">
              <w:rPr>
                <w:rFonts w:eastAsia="Calibri"/>
                <w:bCs/>
                <w:iCs/>
                <w:kern w:val="1"/>
                <w:sz w:val="24"/>
                <w:szCs w:val="24"/>
              </w:rPr>
              <w:t>Teste F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14:paraId="0262383A" w14:textId="77777777" w:rsidR="00D25276" w:rsidRPr="003C4DF7" w:rsidRDefault="00D25276" w:rsidP="003C4DF7">
            <w:pPr>
              <w:adjustRightInd w:val="0"/>
              <w:ind w:hanging="6"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0,13</w:t>
            </w:r>
            <w:r w:rsidRPr="003C4DF7">
              <w:rPr>
                <w:rFonts w:eastAsia="Calibr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776" w:type="dxa"/>
            <w:tcBorders>
              <w:top w:val="single" w:sz="4" w:space="0" w:color="auto"/>
            </w:tcBorders>
          </w:tcPr>
          <w:p w14:paraId="0D13B761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3C4DF7">
              <w:rPr>
                <w:rFonts w:eastAsia="Calibri"/>
                <w:sz w:val="24"/>
                <w:szCs w:val="24"/>
                <w:lang w:eastAsia="zh-CN"/>
              </w:rPr>
              <w:t>5,05**</w:t>
            </w:r>
          </w:p>
        </w:tc>
        <w:tc>
          <w:tcPr>
            <w:tcW w:w="1775" w:type="dxa"/>
            <w:tcBorders>
              <w:top w:val="single" w:sz="4" w:space="0" w:color="auto"/>
            </w:tcBorders>
          </w:tcPr>
          <w:p w14:paraId="486EC175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0,18</w:t>
            </w:r>
            <w:r w:rsidRPr="003C4DF7">
              <w:rPr>
                <w:rFonts w:eastAsia="Calibr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1776" w:type="dxa"/>
            <w:tcBorders>
              <w:top w:val="single" w:sz="4" w:space="0" w:color="auto"/>
            </w:tcBorders>
          </w:tcPr>
          <w:p w14:paraId="5C007F55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1,20</w:t>
            </w:r>
            <w:r w:rsidRPr="003C4DF7">
              <w:rPr>
                <w:rFonts w:eastAsia="Calibri"/>
                <w:sz w:val="24"/>
                <w:szCs w:val="24"/>
                <w:vertAlign w:val="superscript"/>
              </w:rPr>
              <w:t>ns</w:t>
            </w:r>
          </w:p>
        </w:tc>
      </w:tr>
      <w:tr w:rsidR="007A7EE9" w:rsidRPr="003C4DF7" w14:paraId="69C2C9B1" w14:textId="77777777" w:rsidTr="003C4DF7">
        <w:trPr>
          <w:jc w:val="center"/>
        </w:trPr>
        <w:tc>
          <w:tcPr>
            <w:tcW w:w="1965" w:type="dxa"/>
            <w:tcBorders>
              <w:bottom w:val="single" w:sz="4" w:space="0" w:color="auto"/>
            </w:tcBorders>
            <w:hideMark/>
          </w:tcPr>
          <w:p w14:paraId="1D1A9FC8" w14:textId="77777777" w:rsidR="00D25276" w:rsidRPr="003C4DF7" w:rsidRDefault="00D25276" w:rsidP="003C4DF7">
            <w:pPr>
              <w:ind w:right="71"/>
              <w:jc w:val="center"/>
              <w:rPr>
                <w:rFonts w:eastAsia="Calibri"/>
                <w:bCs/>
                <w:iCs/>
                <w:sz w:val="24"/>
                <w:szCs w:val="24"/>
                <w:lang w:eastAsia="pt-BR"/>
              </w:rPr>
            </w:pPr>
            <w:r w:rsidRPr="003C4DF7">
              <w:rPr>
                <w:rFonts w:eastAsia="Calibri"/>
                <w:bCs/>
                <w:iCs/>
                <w:sz w:val="24"/>
                <w:szCs w:val="24"/>
              </w:rPr>
              <w:t>CV (%)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14:paraId="21708696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6,09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74E7F48B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5,62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14:paraId="019D605A" w14:textId="77777777" w:rsidR="00D25276" w:rsidRPr="003C4DF7" w:rsidRDefault="00D25276" w:rsidP="003C4DF7">
            <w:pPr>
              <w:tabs>
                <w:tab w:val="center" w:pos="472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6,43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14:paraId="0D8606E2" w14:textId="77777777" w:rsidR="00D25276" w:rsidRPr="003C4DF7" w:rsidRDefault="00D25276" w:rsidP="003C4DF7">
            <w:pPr>
              <w:tabs>
                <w:tab w:val="center" w:pos="472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4,22</w:t>
            </w:r>
          </w:p>
        </w:tc>
      </w:tr>
      <w:tr w:rsidR="003C4DF7" w:rsidRPr="003C4DF7" w14:paraId="593CC8BC" w14:textId="77777777" w:rsidTr="00A07A3B">
        <w:trPr>
          <w:jc w:val="center"/>
        </w:trPr>
        <w:tc>
          <w:tcPr>
            <w:tcW w:w="9067" w:type="dxa"/>
            <w:gridSpan w:val="5"/>
            <w:tcBorders>
              <w:top w:val="single" w:sz="4" w:space="0" w:color="auto"/>
            </w:tcBorders>
          </w:tcPr>
          <w:p w14:paraId="7DE870D0" w14:textId="7DD545A2" w:rsidR="003C4DF7" w:rsidRPr="003C4DF7" w:rsidRDefault="003C4DF7" w:rsidP="00650CF3">
            <w:pPr>
              <w:tabs>
                <w:tab w:val="center" w:pos="472"/>
              </w:tabs>
              <w:jc w:val="both"/>
              <w:rPr>
                <w:rFonts w:eastAsia="Calibri"/>
                <w:sz w:val="20"/>
                <w:szCs w:val="20"/>
              </w:rPr>
            </w:pPr>
            <w:r w:rsidRPr="003C4DF7">
              <w:rPr>
                <w:rFonts w:eastAsia="Calibri"/>
                <w:sz w:val="20"/>
                <w:szCs w:val="20"/>
              </w:rPr>
              <w:t xml:space="preserve">ns = Não significativo. ** = Significativo (p&lt;0,05). Médias seguidas de mesma letra na coluna comparam os atributos agronômicos em cada dose de adubo aplicada, que não diferem entre si pelo teste Tukey (p&lt;0,05).  PED = Produtividade espiga despalhada; </w:t>
            </w:r>
            <w:r w:rsidR="00650CF3">
              <w:rPr>
                <w:rFonts w:eastAsia="Calibri"/>
                <w:sz w:val="20"/>
                <w:szCs w:val="20"/>
              </w:rPr>
              <w:t>M</w:t>
            </w:r>
            <w:r w:rsidRPr="003C4DF7">
              <w:rPr>
                <w:rFonts w:eastAsia="Calibri"/>
                <w:sz w:val="20"/>
                <w:szCs w:val="20"/>
              </w:rPr>
              <w:t>P = Produtividade de palha; MEE = Massa espiga empalhada; REND = Rendimento de grão por espiga.</w:t>
            </w:r>
          </w:p>
        </w:tc>
      </w:tr>
    </w:tbl>
    <w:p w14:paraId="23744F81" w14:textId="77777777" w:rsidR="00D25276" w:rsidRPr="003C4DF7" w:rsidRDefault="00D25276" w:rsidP="003C4DF7">
      <w:pPr>
        <w:spacing w:line="360" w:lineRule="auto"/>
        <w:rPr>
          <w:sz w:val="24"/>
          <w:szCs w:val="24"/>
        </w:rPr>
      </w:pPr>
    </w:p>
    <w:p w14:paraId="72B176BE" w14:textId="2CC65CBF" w:rsidR="003C4DF7" w:rsidRPr="003C4DF7" w:rsidRDefault="003C4DF7" w:rsidP="003C4DF7">
      <w:pPr>
        <w:spacing w:line="360" w:lineRule="auto"/>
        <w:ind w:firstLine="709"/>
        <w:jc w:val="both"/>
        <w:rPr>
          <w:rFonts w:eastAsia="Calibri"/>
          <w:bCs/>
          <w:sz w:val="24"/>
          <w:szCs w:val="24"/>
          <w:lang w:val="pt-BR" w:eastAsia="pt-BR"/>
        </w:rPr>
      </w:pPr>
      <w:r w:rsidRPr="007A7EE9">
        <w:rPr>
          <w:rFonts w:eastAsia="Calibri"/>
          <w:bCs/>
          <w:sz w:val="24"/>
          <w:szCs w:val="24"/>
          <w:lang w:val="pt-BR" w:eastAsia="pt-BR"/>
        </w:rPr>
        <w:t xml:space="preserve">Esses resultados indicam que o incremento da adubação nitrogenada não promoveu ganhos expressivos na produtividade comercial das espigas verdes, sugerindo que a </w:t>
      </w:r>
      <w:r w:rsidRPr="007A7EE9">
        <w:rPr>
          <w:rFonts w:eastAsia="Calibri"/>
          <w:bCs/>
          <w:sz w:val="24"/>
          <w:szCs w:val="24"/>
          <w:lang w:val="pt-BR" w:eastAsia="pt-BR"/>
        </w:rPr>
        <w:lastRenderedPageBreak/>
        <w:t xml:space="preserve">disponibilidade de N proveniente da adubação de semeadura e da matéria orgânica do solo foi suficiente para atender à demanda da cultura durante essa fase. </w:t>
      </w:r>
    </w:p>
    <w:p w14:paraId="601E2169" w14:textId="00FC9E2D" w:rsidR="00D25276" w:rsidRPr="003C4DF7" w:rsidRDefault="00D354F3" w:rsidP="003C4DF7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3C4DF7">
        <w:rPr>
          <w:bCs/>
          <w:sz w:val="24"/>
          <w:szCs w:val="24"/>
        </w:rPr>
        <w:t>Para a produção de grãos secos (Tabela 2), verificou-se incremento significativo da</w:t>
      </w:r>
      <w:r w:rsidRPr="007A7EE9">
        <w:rPr>
          <w:bCs/>
          <w:sz w:val="24"/>
          <w:szCs w:val="24"/>
        </w:rPr>
        <w:t xml:space="preserve"> produtividade e da massa de mil grãos (MMG) com o aumento das doses de nitrogênio. A produtividade elevou-se de 2,33 Mg ha⁻¹ na ausência de adubação nitrogenada para 3,09 Mg ha⁻¹ na dose correspondente a 125% da recomendação, representando aumento de </w:t>
      </w:r>
      <w:r w:rsidRPr="003C4DF7">
        <w:rPr>
          <w:bCs/>
          <w:sz w:val="24"/>
          <w:szCs w:val="24"/>
        </w:rPr>
        <w:t xml:space="preserve">aproximadamente 33%. </w:t>
      </w:r>
    </w:p>
    <w:p w14:paraId="7EF494A1" w14:textId="77777777" w:rsidR="00D25276" w:rsidRPr="003C4DF7" w:rsidRDefault="00D25276" w:rsidP="003C4DF7">
      <w:pPr>
        <w:spacing w:line="360" w:lineRule="auto"/>
        <w:rPr>
          <w:bCs/>
          <w:sz w:val="24"/>
          <w:szCs w:val="24"/>
        </w:rPr>
      </w:pPr>
    </w:p>
    <w:p w14:paraId="07F6DC61" w14:textId="5E6B1841" w:rsidR="00D25276" w:rsidRPr="003C4DF7" w:rsidRDefault="00D25276" w:rsidP="003C4DF7">
      <w:pPr>
        <w:spacing w:line="360" w:lineRule="auto"/>
        <w:rPr>
          <w:bCs/>
          <w:iCs/>
          <w:sz w:val="24"/>
          <w:szCs w:val="24"/>
        </w:rPr>
      </w:pPr>
      <w:r w:rsidRPr="003C4DF7">
        <w:rPr>
          <w:b/>
          <w:bCs/>
          <w:sz w:val="24"/>
          <w:szCs w:val="24"/>
        </w:rPr>
        <w:t>Tabela 2</w:t>
      </w:r>
      <w:r w:rsidRPr="003C4DF7">
        <w:rPr>
          <w:sz w:val="24"/>
          <w:szCs w:val="24"/>
        </w:rPr>
        <w:t xml:space="preserve">. Produtividade (PROD) e massa de mil grãos (MMG) do milho cultivado para grãos secos sob diferentes doses de adubo nitrogenado na safra 2023/24, </w:t>
      </w:r>
      <w:r w:rsidRPr="003C4DF7">
        <w:rPr>
          <w:bCs/>
          <w:iCs/>
          <w:sz w:val="24"/>
          <w:szCs w:val="24"/>
        </w:rPr>
        <w:t>em Uberaba-MG</w:t>
      </w:r>
      <w:r w:rsidRPr="003C4DF7">
        <w:rPr>
          <w:sz w:val="24"/>
          <w:szCs w:val="24"/>
        </w:rPr>
        <w:t>.</w:t>
      </w:r>
    </w:p>
    <w:tbl>
      <w:tblPr>
        <w:tblW w:w="8968" w:type="dxa"/>
        <w:jc w:val="center"/>
        <w:tblLayout w:type="fixed"/>
        <w:tblLook w:val="01E0" w:firstRow="1" w:lastRow="1" w:firstColumn="1" w:lastColumn="1" w:noHBand="0" w:noVBand="0"/>
      </w:tblPr>
      <w:tblGrid>
        <w:gridCol w:w="2834"/>
        <w:gridCol w:w="3067"/>
        <w:gridCol w:w="3067"/>
      </w:tblGrid>
      <w:tr w:rsidR="007A7EE9" w:rsidRPr="003C4DF7" w14:paraId="3C76348D" w14:textId="77777777" w:rsidTr="00E67D03">
        <w:trPr>
          <w:jc w:val="center"/>
        </w:trPr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711A54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Doses</w:t>
            </w:r>
          </w:p>
        </w:tc>
        <w:tc>
          <w:tcPr>
            <w:tcW w:w="6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0BDEFC" w14:textId="77777777" w:rsidR="00D25276" w:rsidRPr="003C4DF7" w:rsidRDefault="00D25276" w:rsidP="003C4DF7">
            <w:pPr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 xml:space="preserve">                  Atributos agronômicos </w:t>
            </w:r>
          </w:p>
        </w:tc>
      </w:tr>
      <w:tr w:rsidR="007A7EE9" w:rsidRPr="003C4DF7" w14:paraId="57779476" w14:textId="77777777" w:rsidTr="00E67D03">
        <w:trPr>
          <w:jc w:val="center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AD83F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D6A642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PROD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4DC64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MMG</w:t>
            </w:r>
          </w:p>
        </w:tc>
      </w:tr>
      <w:tr w:rsidR="007A7EE9" w:rsidRPr="003C4DF7" w14:paraId="4FD7F1B7" w14:textId="77777777" w:rsidTr="00E67D03">
        <w:trPr>
          <w:jc w:val="center"/>
        </w:trPr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1874C2F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%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826E54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Mg ha</w:t>
            </w:r>
            <w:r w:rsidRPr="003C4DF7">
              <w:rPr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CF82C1" w14:textId="6AE94003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g</w:t>
            </w:r>
          </w:p>
        </w:tc>
      </w:tr>
      <w:tr w:rsidR="007A7EE9" w:rsidRPr="003C4DF7" w14:paraId="24C798CB" w14:textId="77777777" w:rsidTr="00E67D03">
        <w:trPr>
          <w:jc w:val="center"/>
        </w:trPr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60DDE3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Zero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2D1039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2,33 d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D454D8" w14:textId="0E27C714" w:rsidR="00D25276" w:rsidRPr="003C4DF7" w:rsidRDefault="002A0401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263,9</w:t>
            </w:r>
            <w:r w:rsidR="00D25276" w:rsidRPr="003C4DF7">
              <w:rPr>
                <w:sz w:val="24"/>
                <w:szCs w:val="24"/>
              </w:rPr>
              <w:t xml:space="preserve"> b</w:t>
            </w:r>
          </w:p>
        </w:tc>
      </w:tr>
      <w:tr w:rsidR="007A7EE9" w:rsidRPr="003C4DF7" w14:paraId="57BA0F4A" w14:textId="77777777" w:rsidTr="00E67D03">
        <w:trPr>
          <w:jc w:val="center"/>
        </w:trPr>
        <w:tc>
          <w:tcPr>
            <w:tcW w:w="2834" w:type="dxa"/>
            <w:hideMark/>
          </w:tcPr>
          <w:p w14:paraId="183D71AD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50</w:t>
            </w:r>
          </w:p>
        </w:tc>
        <w:tc>
          <w:tcPr>
            <w:tcW w:w="3067" w:type="dxa"/>
            <w:hideMark/>
          </w:tcPr>
          <w:p w14:paraId="083EA9BB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2,67 c</w:t>
            </w:r>
          </w:p>
        </w:tc>
        <w:tc>
          <w:tcPr>
            <w:tcW w:w="3067" w:type="dxa"/>
            <w:hideMark/>
          </w:tcPr>
          <w:p w14:paraId="67022108" w14:textId="5589E4EC" w:rsidR="00D25276" w:rsidRPr="003C4DF7" w:rsidRDefault="002A0401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250,0</w:t>
            </w:r>
            <w:r w:rsidR="00D25276" w:rsidRPr="003C4DF7">
              <w:rPr>
                <w:sz w:val="24"/>
                <w:szCs w:val="24"/>
              </w:rPr>
              <w:t xml:space="preserve"> b</w:t>
            </w:r>
          </w:p>
        </w:tc>
      </w:tr>
      <w:tr w:rsidR="007A7EE9" w:rsidRPr="003C4DF7" w14:paraId="03005E17" w14:textId="77777777" w:rsidTr="00E67D03">
        <w:trPr>
          <w:jc w:val="center"/>
        </w:trPr>
        <w:tc>
          <w:tcPr>
            <w:tcW w:w="2834" w:type="dxa"/>
            <w:hideMark/>
          </w:tcPr>
          <w:p w14:paraId="17E96C7E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75</w:t>
            </w:r>
          </w:p>
        </w:tc>
        <w:tc>
          <w:tcPr>
            <w:tcW w:w="3067" w:type="dxa"/>
            <w:hideMark/>
          </w:tcPr>
          <w:p w14:paraId="70F3D2BF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2,83 b</w:t>
            </w:r>
          </w:p>
        </w:tc>
        <w:tc>
          <w:tcPr>
            <w:tcW w:w="3067" w:type="dxa"/>
            <w:hideMark/>
          </w:tcPr>
          <w:p w14:paraId="54E8D356" w14:textId="346B29F1" w:rsidR="00D25276" w:rsidRPr="003C4DF7" w:rsidRDefault="002A0401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290,0</w:t>
            </w:r>
            <w:r w:rsidR="00D25276" w:rsidRPr="003C4DF7">
              <w:rPr>
                <w:sz w:val="24"/>
                <w:szCs w:val="24"/>
              </w:rPr>
              <w:t xml:space="preserve"> a</w:t>
            </w:r>
          </w:p>
        </w:tc>
      </w:tr>
      <w:tr w:rsidR="007A7EE9" w:rsidRPr="003C4DF7" w14:paraId="3239A19F" w14:textId="77777777" w:rsidTr="00E67D03">
        <w:trPr>
          <w:jc w:val="center"/>
        </w:trPr>
        <w:tc>
          <w:tcPr>
            <w:tcW w:w="2834" w:type="dxa"/>
            <w:hideMark/>
          </w:tcPr>
          <w:p w14:paraId="402655A6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100</w:t>
            </w:r>
          </w:p>
        </w:tc>
        <w:tc>
          <w:tcPr>
            <w:tcW w:w="3067" w:type="dxa"/>
            <w:hideMark/>
          </w:tcPr>
          <w:p w14:paraId="19B08B1D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2,95 b</w:t>
            </w:r>
          </w:p>
        </w:tc>
        <w:tc>
          <w:tcPr>
            <w:tcW w:w="3067" w:type="dxa"/>
            <w:hideMark/>
          </w:tcPr>
          <w:p w14:paraId="24D59ECB" w14:textId="0BA41B6F" w:rsidR="00D25276" w:rsidRPr="003C4DF7" w:rsidRDefault="002A0401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290,0</w:t>
            </w:r>
            <w:r w:rsidR="00D25276" w:rsidRPr="003C4DF7">
              <w:rPr>
                <w:sz w:val="24"/>
                <w:szCs w:val="24"/>
              </w:rPr>
              <w:t xml:space="preserve"> a</w:t>
            </w:r>
          </w:p>
        </w:tc>
      </w:tr>
      <w:tr w:rsidR="007A7EE9" w:rsidRPr="003C4DF7" w14:paraId="31A2DA16" w14:textId="77777777" w:rsidTr="00E67D03">
        <w:trPr>
          <w:jc w:val="center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FA1C5D" w14:textId="77777777" w:rsidR="00D25276" w:rsidRPr="003C4DF7" w:rsidRDefault="00D25276" w:rsidP="003C4DF7">
            <w:pPr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 w:rsidRPr="003C4DF7">
              <w:rPr>
                <w:bCs/>
                <w:iCs/>
                <w:sz w:val="24"/>
                <w:szCs w:val="24"/>
                <w:lang w:val="en-US"/>
              </w:rPr>
              <w:t>125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1F0031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3,09 a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571A90" w14:textId="13D553BF" w:rsidR="00D25276" w:rsidRPr="003C4DF7" w:rsidRDefault="002A0401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 xml:space="preserve">305,4 </w:t>
            </w:r>
            <w:r w:rsidR="00D25276" w:rsidRPr="003C4DF7">
              <w:rPr>
                <w:sz w:val="24"/>
                <w:szCs w:val="24"/>
              </w:rPr>
              <w:t>a</w:t>
            </w:r>
          </w:p>
        </w:tc>
      </w:tr>
      <w:tr w:rsidR="007A7EE9" w:rsidRPr="003C4DF7" w14:paraId="103981D7" w14:textId="77777777" w:rsidTr="00E67D03">
        <w:trPr>
          <w:jc w:val="center"/>
        </w:trPr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953FD1" w14:textId="77777777" w:rsidR="00D25276" w:rsidRPr="003C4DF7" w:rsidRDefault="00D25276" w:rsidP="003C4DF7">
            <w:pPr>
              <w:jc w:val="center"/>
              <w:rPr>
                <w:bCs/>
                <w:iCs/>
                <w:sz w:val="24"/>
                <w:szCs w:val="24"/>
              </w:rPr>
            </w:pPr>
            <w:r w:rsidRPr="003C4DF7">
              <w:rPr>
                <w:bCs/>
                <w:iCs/>
                <w:sz w:val="24"/>
                <w:szCs w:val="24"/>
              </w:rPr>
              <w:t>Teste F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BE1180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25,47**</w:t>
            </w:r>
          </w:p>
        </w:tc>
        <w:tc>
          <w:tcPr>
            <w:tcW w:w="30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B2321E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14,97**</w:t>
            </w:r>
          </w:p>
        </w:tc>
      </w:tr>
      <w:tr w:rsidR="007A7EE9" w:rsidRPr="003C4DF7" w14:paraId="2177FD93" w14:textId="77777777" w:rsidTr="00E67D03">
        <w:trPr>
          <w:jc w:val="center"/>
        </w:trPr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36DFE3" w14:textId="77777777" w:rsidR="00D25276" w:rsidRPr="003C4DF7" w:rsidRDefault="00D25276" w:rsidP="003C4DF7">
            <w:pPr>
              <w:jc w:val="center"/>
              <w:rPr>
                <w:bCs/>
                <w:iCs/>
                <w:sz w:val="24"/>
                <w:szCs w:val="24"/>
              </w:rPr>
            </w:pPr>
            <w:r w:rsidRPr="003C4DF7">
              <w:rPr>
                <w:bCs/>
                <w:iCs/>
                <w:sz w:val="24"/>
                <w:szCs w:val="24"/>
              </w:rPr>
              <w:t>CV (%)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37C595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4,68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A3AEDD" w14:textId="77777777" w:rsidR="00D25276" w:rsidRPr="003C4DF7" w:rsidRDefault="00D25276" w:rsidP="003C4DF7">
            <w:pPr>
              <w:jc w:val="center"/>
              <w:rPr>
                <w:sz w:val="24"/>
                <w:szCs w:val="24"/>
              </w:rPr>
            </w:pPr>
            <w:r w:rsidRPr="003C4DF7">
              <w:rPr>
                <w:sz w:val="24"/>
                <w:szCs w:val="24"/>
              </w:rPr>
              <w:t>6,53</w:t>
            </w:r>
          </w:p>
        </w:tc>
      </w:tr>
      <w:tr w:rsidR="007A7EE9" w:rsidRPr="003C4DF7" w14:paraId="3EE25AD9" w14:textId="77777777" w:rsidTr="00E67D03">
        <w:trPr>
          <w:trHeight w:val="204"/>
          <w:jc w:val="center"/>
        </w:trPr>
        <w:tc>
          <w:tcPr>
            <w:tcW w:w="89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47A71A" w14:textId="5990CE69" w:rsidR="00D25276" w:rsidRPr="003C4DF7" w:rsidRDefault="00D25276" w:rsidP="00650CF3">
            <w:pPr>
              <w:rPr>
                <w:sz w:val="20"/>
                <w:szCs w:val="20"/>
                <w:vertAlign w:val="superscript"/>
              </w:rPr>
            </w:pPr>
            <w:r w:rsidRPr="003C4DF7">
              <w:rPr>
                <w:bCs/>
                <w:iCs/>
                <w:sz w:val="20"/>
                <w:szCs w:val="20"/>
              </w:rPr>
              <w:t xml:space="preserve"> ** = Médias seguidas de mesma letra na coluna comparam a produtividade (PROD) e</w:t>
            </w:r>
            <w:r w:rsidR="00650CF3">
              <w:rPr>
                <w:bCs/>
                <w:iCs/>
                <w:sz w:val="20"/>
                <w:szCs w:val="20"/>
              </w:rPr>
              <w:t xml:space="preserve"> a</w:t>
            </w:r>
            <w:r w:rsidRPr="003C4DF7">
              <w:rPr>
                <w:bCs/>
                <w:iCs/>
                <w:sz w:val="20"/>
                <w:szCs w:val="20"/>
              </w:rPr>
              <w:t xml:space="preserve"> massa de mil grãos (</w:t>
            </w:r>
            <w:r w:rsidR="00E02F2F" w:rsidRPr="003C4DF7">
              <w:rPr>
                <w:bCs/>
                <w:iCs/>
                <w:sz w:val="20"/>
                <w:szCs w:val="20"/>
              </w:rPr>
              <w:t>MMG</w:t>
            </w:r>
            <w:r w:rsidRPr="003C4DF7">
              <w:rPr>
                <w:bCs/>
                <w:iCs/>
                <w:sz w:val="20"/>
                <w:szCs w:val="20"/>
              </w:rPr>
              <w:t xml:space="preserve">) em cada dose de adubo aplicada, que não diferem entre si pelo teste Tukey (p&lt;0,05).  </w:t>
            </w:r>
          </w:p>
        </w:tc>
      </w:tr>
    </w:tbl>
    <w:p w14:paraId="0CC41ED6" w14:textId="77777777" w:rsidR="00D25276" w:rsidRPr="003C4DF7" w:rsidRDefault="00D25276" w:rsidP="003C4DF7">
      <w:pPr>
        <w:spacing w:line="360" w:lineRule="auto"/>
        <w:ind w:firstLine="709"/>
        <w:jc w:val="both"/>
        <w:rPr>
          <w:sz w:val="24"/>
          <w:szCs w:val="24"/>
        </w:rPr>
      </w:pPr>
    </w:p>
    <w:p w14:paraId="4396F697" w14:textId="4CD56E7C" w:rsidR="00E02F2F" w:rsidRDefault="00E02F2F" w:rsidP="003C4DF7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3C4DF7">
        <w:rPr>
          <w:bCs/>
          <w:sz w:val="24"/>
          <w:szCs w:val="24"/>
        </w:rPr>
        <w:t>De forma semelhante, a MMG aumentou de 263,9 para 305,4 g, evidenciando a</w:t>
      </w:r>
      <w:r w:rsidRPr="00E02F2F">
        <w:rPr>
          <w:bCs/>
          <w:sz w:val="24"/>
          <w:szCs w:val="24"/>
        </w:rPr>
        <w:t xml:space="preserve"> importância do N para o enchimento dos grãos e para a expressão do potencial produtivo da cultura. Segundo Fageria (2014), o nitrogênio participa diretamente da síntese de proteínas, da formação de clorofila e do metabolismo fotossintético, fatores que contribuem para maior acúmulo de matéria seca e incremento da produtividade. Estudos têm demonstrado que o adequado suprimento de nitrogênio durante os estádios reprodutivos favorece o enchimento dos grãos, aumenta a eficiência de uso do nutriente e contribui para maiores rendimentos da cultura do milho (</w:t>
      </w:r>
      <w:r w:rsidR="003C4DF7" w:rsidRPr="00E02F2F">
        <w:rPr>
          <w:bCs/>
          <w:sz w:val="24"/>
          <w:szCs w:val="24"/>
        </w:rPr>
        <w:t>CIAMPITTI</w:t>
      </w:r>
      <w:r w:rsidR="003C4DF7">
        <w:rPr>
          <w:bCs/>
          <w:sz w:val="24"/>
          <w:szCs w:val="24"/>
        </w:rPr>
        <w:t>;</w:t>
      </w:r>
      <w:r w:rsidR="003C4DF7" w:rsidRPr="00E02F2F">
        <w:rPr>
          <w:bCs/>
          <w:sz w:val="24"/>
          <w:szCs w:val="24"/>
        </w:rPr>
        <w:t xml:space="preserve"> VYN, 2014; RAUN</w:t>
      </w:r>
      <w:r w:rsidR="003C4DF7">
        <w:rPr>
          <w:bCs/>
          <w:sz w:val="24"/>
          <w:szCs w:val="24"/>
        </w:rPr>
        <w:t>;</w:t>
      </w:r>
      <w:r w:rsidR="003C4DF7" w:rsidRPr="00E02F2F">
        <w:rPr>
          <w:bCs/>
          <w:sz w:val="24"/>
          <w:szCs w:val="24"/>
        </w:rPr>
        <w:t xml:space="preserve"> JOHNSON</w:t>
      </w:r>
      <w:r w:rsidRPr="00E02F2F">
        <w:rPr>
          <w:bCs/>
          <w:sz w:val="24"/>
          <w:szCs w:val="24"/>
        </w:rPr>
        <w:t>, 1999).</w:t>
      </w:r>
    </w:p>
    <w:p w14:paraId="0D3C69A6" w14:textId="0611C3C7" w:rsidR="00650CF3" w:rsidRPr="00650CF3" w:rsidRDefault="00650CF3" w:rsidP="00650CF3">
      <w:pPr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650CF3">
        <w:rPr>
          <w:rFonts w:eastAsia="Calibri"/>
          <w:sz w:val="24"/>
          <w:szCs w:val="24"/>
        </w:rPr>
        <w:t>Embora a maior produtividade tenha sido obtida com a aplicação de 125% da dose recomendada, a análise do IEA foi realizada tomando-se a dose de 100% como referência, à qual foi atribuído o valor de 100%. Para a produtividade de grãos, as doses de 0, 50, 75, 100 e 125% apresentaram IEA de 79, 90, 96, 100 e 105%, respectivamente. Assim, a dose de 75% alcançou 96% do desempenho observado na dose de referência, enquanto a dose de 125% apresentou desempenho 5% superior ao da dose de 100%</w:t>
      </w:r>
      <w:r w:rsidR="000C0746">
        <w:rPr>
          <w:rFonts w:eastAsia="Calibri"/>
          <w:sz w:val="24"/>
          <w:szCs w:val="24"/>
        </w:rPr>
        <w:t xml:space="preserve"> </w:t>
      </w:r>
      <w:r w:rsidR="000C0746" w:rsidRPr="00E02F2F">
        <w:rPr>
          <w:rFonts w:eastAsia="Calibri"/>
          <w:sz w:val="24"/>
          <w:szCs w:val="24"/>
        </w:rPr>
        <w:t>(CASSMAN et al., 2002</w:t>
      </w:r>
      <w:r w:rsidR="000C0746">
        <w:rPr>
          <w:rFonts w:eastAsia="Calibri"/>
          <w:sz w:val="24"/>
          <w:szCs w:val="24"/>
        </w:rPr>
        <w:t>)</w:t>
      </w:r>
      <w:r w:rsidR="000C0746" w:rsidRPr="00650CF3">
        <w:rPr>
          <w:rFonts w:eastAsia="Calibri"/>
          <w:sz w:val="24"/>
          <w:szCs w:val="24"/>
        </w:rPr>
        <w:t>.</w:t>
      </w:r>
    </w:p>
    <w:p w14:paraId="145DBDA6" w14:textId="45BB3A28" w:rsidR="00650CF3" w:rsidRDefault="00650CF3" w:rsidP="00650CF3">
      <w:pPr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650CF3">
        <w:rPr>
          <w:rFonts w:eastAsia="Calibri"/>
          <w:sz w:val="24"/>
          <w:szCs w:val="24"/>
        </w:rPr>
        <w:lastRenderedPageBreak/>
        <w:t>Para a massa de mil grãos, os valores de IEA foram de 79, 86, 100, 100 e 107% para as doses de 0, 50, 75, 100 e 125%, respectivamente. Dessa forma, a dose de 75% apresentou desempenho equivalente ao tratamento de referência para essa característica, enquanto a dose de 125% promoveu desempenho 7% superior. Esses resultados indicam que a redução da adubação nitrogenada para 75% da recomendação pode manter resultados próximos aos obtidos com a dose de 100%, especialmente para a produtividade de grãos e a massa de mil grãos, embora a maior resposta numérica tenha sido observada com a dose de 125%</w:t>
      </w:r>
      <w:r w:rsidR="000C0746">
        <w:rPr>
          <w:rFonts w:eastAsia="Calibri"/>
          <w:sz w:val="24"/>
          <w:szCs w:val="24"/>
        </w:rPr>
        <w:t xml:space="preserve"> </w:t>
      </w:r>
      <w:r w:rsidR="000C0746" w:rsidRPr="00E02F2F">
        <w:rPr>
          <w:rFonts w:eastAsia="Calibri"/>
          <w:sz w:val="24"/>
          <w:szCs w:val="24"/>
        </w:rPr>
        <w:t xml:space="preserve">(RISI </w:t>
      </w:r>
      <w:r w:rsidR="000C0746">
        <w:rPr>
          <w:rFonts w:eastAsia="Calibri"/>
          <w:sz w:val="24"/>
          <w:szCs w:val="24"/>
        </w:rPr>
        <w:t>et al., 2024)</w:t>
      </w:r>
      <w:r w:rsidRPr="00650CF3">
        <w:rPr>
          <w:rFonts w:eastAsia="Calibri"/>
          <w:sz w:val="24"/>
          <w:szCs w:val="24"/>
        </w:rPr>
        <w:t>.</w:t>
      </w:r>
    </w:p>
    <w:p w14:paraId="2B6EC26D" w14:textId="77777777" w:rsidR="00D354F3" w:rsidRPr="003C4DF7" w:rsidRDefault="00D354F3" w:rsidP="003C4DF7">
      <w:pPr>
        <w:spacing w:line="360" w:lineRule="auto"/>
        <w:rPr>
          <w:rFonts w:eastAsia="Calibri"/>
          <w:sz w:val="24"/>
          <w:szCs w:val="24"/>
        </w:rPr>
      </w:pPr>
    </w:p>
    <w:p w14:paraId="5264CD41" w14:textId="7C542DDA" w:rsidR="00D25276" w:rsidRPr="003C4DF7" w:rsidRDefault="00D25276" w:rsidP="003C4DF7">
      <w:pPr>
        <w:spacing w:line="360" w:lineRule="auto"/>
        <w:jc w:val="both"/>
        <w:rPr>
          <w:rFonts w:eastAsia="Calibri"/>
          <w:sz w:val="24"/>
          <w:szCs w:val="24"/>
        </w:rPr>
      </w:pPr>
      <w:r w:rsidRPr="003C4DF7">
        <w:rPr>
          <w:rFonts w:eastAsia="Calibri"/>
          <w:b/>
          <w:sz w:val="24"/>
          <w:szCs w:val="24"/>
        </w:rPr>
        <w:t>Tabela 3</w:t>
      </w:r>
      <w:r w:rsidRPr="003C4DF7">
        <w:rPr>
          <w:rFonts w:eastAsia="Calibri"/>
          <w:sz w:val="24"/>
          <w:szCs w:val="24"/>
        </w:rPr>
        <w:t>. Determinação do índice de eficiência agronômica (IEA) das doses de fertilizante avaliadas na produtividade (PROD) e massa de mil grãos (MMG) na cultura do milho para grãos secos, na safra 2023/24, em Uberaba, MG.</w:t>
      </w:r>
    </w:p>
    <w:tbl>
      <w:tblPr>
        <w:tblStyle w:val="Tabelacomgrade1"/>
        <w:tblW w:w="91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2833"/>
        <w:gridCol w:w="3477"/>
      </w:tblGrid>
      <w:tr w:rsidR="007A7EE9" w:rsidRPr="003C4DF7" w14:paraId="1F85198F" w14:textId="77777777" w:rsidTr="00E67D03">
        <w:trPr>
          <w:trHeight w:val="178"/>
          <w:jc w:val="center"/>
        </w:trPr>
        <w:tc>
          <w:tcPr>
            <w:tcW w:w="2833" w:type="dxa"/>
            <w:tcBorders>
              <w:top w:val="single" w:sz="4" w:space="0" w:color="auto"/>
            </w:tcBorders>
          </w:tcPr>
          <w:p w14:paraId="00232549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Tratamento</w:t>
            </w:r>
          </w:p>
        </w:tc>
        <w:tc>
          <w:tcPr>
            <w:tcW w:w="63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5A1FDC" w14:textId="77777777" w:rsidR="00D25276" w:rsidRPr="003C4DF7" w:rsidRDefault="00D25276" w:rsidP="003C4DF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Milho para grãos secos</w:t>
            </w:r>
          </w:p>
        </w:tc>
      </w:tr>
      <w:tr w:rsidR="007A7EE9" w:rsidRPr="003C4DF7" w14:paraId="313E6736" w14:textId="77777777" w:rsidTr="00E67D03">
        <w:trPr>
          <w:trHeight w:val="53"/>
          <w:jc w:val="center"/>
        </w:trPr>
        <w:tc>
          <w:tcPr>
            <w:tcW w:w="2833" w:type="dxa"/>
            <w:tcBorders>
              <w:bottom w:val="single" w:sz="4" w:space="0" w:color="auto"/>
            </w:tcBorders>
          </w:tcPr>
          <w:p w14:paraId="4AA6B572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788BA263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PROD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</w:tcPr>
          <w:p w14:paraId="1FE1B736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MMG</w:t>
            </w:r>
          </w:p>
        </w:tc>
      </w:tr>
      <w:tr w:rsidR="007A7EE9" w:rsidRPr="003C4DF7" w14:paraId="0AB1D3B2" w14:textId="77777777" w:rsidTr="00E67D03">
        <w:trPr>
          <w:trHeight w:val="53"/>
          <w:jc w:val="center"/>
        </w:trPr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420A5F3B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63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F42165" w14:textId="77777777" w:rsidR="00D25276" w:rsidRPr="003C4DF7" w:rsidRDefault="00D25276" w:rsidP="003C4DF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...............................%..............................</w:t>
            </w:r>
          </w:p>
        </w:tc>
      </w:tr>
      <w:tr w:rsidR="007A7EE9" w:rsidRPr="003C4DF7" w14:paraId="18BDE577" w14:textId="77777777" w:rsidTr="00E67D03">
        <w:trPr>
          <w:trHeight w:val="63"/>
          <w:jc w:val="center"/>
        </w:trPr>
        <w:tc>
          <w:tcPr>
            <w:tcW w:w="28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130963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2833" w:type="dxa"/>
            <w:tcBorders>
              <w:top w:val="single" w:sz="4" w:space="0" w:color="auto"/>
            </w:tcBorders>
            <w:shd w:val="clear" w:color="auto" w:fill="auto"/>
          </w:tcPr>
          <w:p w14:paraId="6C5BFDDE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79</w:t>
            </w:r>
          </w:p>
        </w:tc>
        <w:tc>
          <w:tcPr>
            <w:tcW w:w="3477" w:type="dxa"/>
            <w:tcBorders>
              <w:top w:val="single" w:sz="4" w:space="0" w:color="auto"/>
            </w:tcBorders>
            <w:shd w:val="clear" w:color="auto" w:fill="auto"/>
          </w:tcPr>
          <w:p w14:paraId="202724DD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79</w:t>
            </w:r>
          </w:p>
        </w:tc>
      </w:tr>
      <w:tr w:rsidR="007A7EE9" w:rsidRPr="003C4DF7" w14:paraId="022AFA6D" w14:textId="77777777" w:rsidTr="00E67D03">
        <w:trPr>
          <w:trHeight w:val="63"/>
          <w:jc w:val="center"/>
        </w:trPr>
        <w:tc>
          <w:tcPr>
            <w:tcW w:w="2833" w:type="dxa"/>
            <w:shd w:val="clear" w:color="auto" w:fill="auto"/>
            <w:vAlign w:val="center"/>
          </w:tcPr>
          <w:p w14:paraId="4818BC07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2833" w:type="dxa"/>
            <w:shd w:val="clear" w:color="auto" w:fill="auto"/>
          </w:tcPr>
          <w:p w14:paraId="77F2426A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90</w:t>
            </w:r>
          </w:p>
        </w:tc>
        <w:tc>
          <w:tcPr>
            <w:tcW w:w="3477" w:type="dxa"/>
            <w:shd w:val="clear" w:color="auto" w:fill="auto"/>
          </w:tcPr>
          <w:p w14:paraId="23EACF9A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86</w:t>
            </w:r>
          </w:p>
        </w:tc>
      </w:tr>
      <w:tr w:rsidR="007A7EE9" w:rsidRPr="003C4DF7" w14:paraId="571EAD2A" w14:textId="77777777" w:rsidTr="00E67D03">
        <w:trPr>
          <w:trHeight w:val="63"/>
          <w:jc w:val="center"/>
        </w:trPr>
        <w:tc>
          <w:tcPr>
            <w:tcW w:w="2833" w:type="dxa"/>
            <w:vAlign w:val="center"/>
          </w:tcPr>
          <w:p w14:paraId="45D5D2E8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2833" w:type="dxa"/>
          </w:tcPr>
          <w:p w14:paraId="3708E7AD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96</w:t>
            </w:r>
          </w:p>
        </w:tc>
        <w:tc>
          <w:tcPr>
            <w:tcW w:w="3477" w:type="dxa"/>
          </w:tcPr>
          <w:p w14:paraId="6BAC96B6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7A7EE9" w:rsidRPr="003C4DF7" w14:paraId="0B243F1C" w14:textId="77777777" w:rsidTr="00E67D03">
        <w:trPr>
          <w:trHeight w:val="63"/>
          <w:jc w:val="center"/>
        </w:trPr>
        <w:tc>
          <w:tcPr>
            <w:tcW w:w="2833" w:type="dxa"/>
            <w:vAlign w:val="center"/>
          </w:tcPr>
          <w:p w14:paraId="4EE61792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2833" w:type="dxa"/>
          </w:tcPr>
          <w:p w14:paraId="6C232AC8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3477" w:type="dxa"/>
          </w:tcPr>
          <w:p w14:paraId="1C2D2655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7A7EE9" w:rsidRPr="003C4DF7" w14:paraId="112A3DD5" w14:textId="77777777" w:rsidTr="000C0746">
        <w:trPr>
          <w:trHeight w:val="63"/>
          <w:jc w:val="center"/>
        </w:trPr>
        <w:tc>
          <w:tcPr>
            <w:tcW w:w="2833" w:type="dxa"/>
            <w:tcBorders>
              <w:bottom w:val="single" w:sz="4" w:space="0" w:color="auto"/>
            </w:tcBorders>
            <w:vAlign w:val="center"/>
          </w:tcPr>
          <w:p w14:paraId="0895B971" w14:textId="77777777" w:rsidR="00D25276" w:rsidRPr="003C4DF7" w:rsidRDefault="00D25276" w:rsidP="003C4DF7">
            <w:pPr>
              <w:ind w:right="-108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125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72F7D43A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105</w:t>
            </w:r>
          </w:p>
        </w:tc>
        <w:tc>
          <w:tcPr>
            <w:tcW w:w="3477" w:type="dxa"/>
            <w:tcBorders>
              <w:bottom w:val="single" w:sz="4" w:space="0" w:color="auto"/>
            </w:tcBorders>
          </w:tcPr>
          <w:p w14:paraId="2895AD68" w14:textId="77777777" w:rsidR="00D25276" w:rsidRPr="003C4DF7" w:rsidRDefault="00D25276" w:rsidP="003C4DF7">
            <w:pPr>
              <w:jc w:val="center"/>
              <w:rPr>
                <w:rFonts w:eastAsia="Calibri"/>
                <w:sz w:val="24"/>
                <w:szCs w:val="24"/>
              </w:rPr>
            </w:pPr>
            <w:r w:rsidRPr="003C4DF7">
              <w:rPr>
                <w:rFonts w:eastAsia="Calibri"/>
                <w:sz w:val="24"/>
                <w:szCs w:val="24"/>
              </w:rPr>
              <w:t>107</w:t>
            </w:r>
          </w:p>
        </w:tc>
      </w:tr>
      <w:tr w:rsidR="000C0746" w:rsidRPr="003C4DF7" w14:paraId="6D537FAD" w14:textId="77777777" w:rsidTr="009B2326">
        <w:trPr>
          <w:trHeight w:val="63"/>
          <w:jc w:val="center"/>
        </w:trPr>
        <w:tc>
          <w:tcPr>
            <w:tcW w:w="9143" w:type="dxa"/>
            <w:gridSpan w:val="3"/>
            <w:tcBorders>
              <w:top w:val="single" w:sz="4" w:space="0" w:color="auto"/>
            </w:tcBorders>
            <w:vAlign w:val="center"/>
          </w:tcPr>
          <w:p w14:paraId="1B24C984" w14:textId="583EF590" w:rsidR="000C0746" w:rsidRPr="000C0746" w:rsidRDefault="000C0746" w:rsidP="000C0746">
            <w:pPr>
              <w:jc w:val="both"/>
              <w:rPr>
                <w:rFonts w:eastAsia="Calibri"/>
                <w:sz w:val="20"/>
                <w:szCs w:val="20"/>
              </w:rPr>
            </w:pPr>
            <w:r w:rsidRPr="000C0746">
              <w:rPr>
                <w:rFonts w:eastAsia="Calibri"/>
                <w:sz w:val="20"/>
                <w:szCs w:val="20"/>
              </w:rPr>
              <w:t>O IEA foi calculado considerando a dose de 100% da recomendação como referência, à qual foi atribuído o valor de 100%. Valores superiores a 100% indicam desempenho superior ao tratamento de referência.</w:t>
            </w:r>
          </w:p>
        </w:tc>
      </w:tr>
    </w:tbl>
    <w:p w14:paraId="1C92E00F" w14:textId="77777777" w:rsidR="00D25276" w:rsidRPr="003C4DF7" w:rsidRDefault="00D25276" w:rsidP="003C4DF7">
      <w:pPr>
        <w:spacing w:line="360" w:lineRule="auto"/>
        <w:rPr>
          <w:sz w:val="24"/>
          <w:szCs w:val="24"/>
        </w:rPr>
      </w:pPr>
    </w:p>
    <w:p w14:paraId="5B8DEAF4" w14:textId="045B8293" w:rsidR="000C0746" w:rsidRPr="000C0746" w:rsidRDefault="000C0746" w:rsidP="003C4DF7">
      <w:pPr>
        <w:pStyle w:val="isselectedend"/>
        <w:spacing w:before="0" w:beforeAutospacing="0" w:after="0" w:afterAutospacing="0" w:line="360" w:lineRule="auto"/>
        <w:ind w:firstLine="709"/>
        <w:jc w:val="both"/>
        <w:rPr>
          <w:iCs/>
        </w:rPr>
      </w:pPr>
      <w:r w:rsidRPr="000C0746">
        <w:rPr>
          <w:iCs/>
        </w:rPr>
        <w:t>A análise conjunta das Tabelas 1, 2 e 3 demonstra que a resposta da cultura à adubação nitrogenada depende da finalidade da produção. Enquanto o milho verde apresentou baixa responsividade às doses de N para a maioria das características avaliadas, a produção de grãos respondeu positivamente ao aumento do nutriente. Entretanto, a dose de 75% da recomendação apresentou IEA próximo ao tratamento de referência, alcançando 96% para a produtividade e 100% para a massa de mil grãos. Esses resultados indicam que a utilização de uma dose moderada de nitrogênio pode manter elevado desempenho produtivo, com potencial de reduzir o consumo de fertilizantes e os riscos de perdas por volatilização e lixiviação</w:t>
      </w:r>
      <w:r>
        <w:rPr>
          <w:iCs/>
        </w:rPr>
        <w:t xml:space="preserve"> </w:t>
      </w:r>
      <w:r w:rsidRPr="003C4DF7">
        <w:rPr>
          <w:rFonts w:eastAsia="Calibri"/>
          <w:lang w:val="pt-PT" w:eastAsia="en-US"/>
        </w:rPr>
        <w:t>(RAUN; JOHNSON, 1999; CASSMAN et al., 2002).</w:t>
      </w:r>
      <w:r w:rsidRPr="000C0746">
        <w:rPr>
          <w:iCs/>
        </w:rPr>
        <w:t xml:space="preserve"> Dessa forma, a redução parcial da adubação nitrogenada constitui uma alternativa promissora para sistemas de produção de milho mais sustentáveis no Cerrado brasileiro.</w:t>
      </w:r>
    </w:p>
    <w:p w14:paraId="16D3B212" w14:textId="77777777" w:rsidR="000C0746" w:rsidRDefault="000C0746" w:rsidP="003C4DF7">
      <w:pPr>
        <w:pStyle w:val="Corpodetexto"/>
        <w:spacing w:line="360" w:lineRule="auto"/>
        <w:jc w:val="both"/>
        <w:rPr>
          <w:b/>
          <w:bCs/>
          <w:sz w:val="24"/>
          <w:szCs w:val="24"/>
          <w:lang w:val="pt-BR"/>
        </w:rPr>
      </w:pPr>
    </w:p>
    <w:p w14:paraId="77D0C4AE" w14:textId="45ACF22E" w:rsidR="00303FEE" w:rsidRPr="003C4DF7" w:rsidRDefault="00303FEE" w:rsidP="003C4DF7">
      <w:pPr>
        <w:pStyle w:val="Corpodetexto"/>
        <w:spacing w:line="360" w:lineRule="auto"/>
        <w:jc w:val="both"/>
        <w:rPr>
          <w:b/>
          <w:bCs/>
          <w:sz w:val="24"/>
          <w:szCs w:val="24"/>
          <w:lang w:val="pt-BR"/>
        </w:rPr>
      </w:pPr>
      <w:r w:rsidRPr="003C4DF7">
        <w:rPr>
          <w:b/>
          <w:bCs/>
          <w:sz w:val="24"/>
          <w:szCs w:val="24"/>
          <w:lang w:val="pt-BR"/>
        </w:rPr>
        <w:t>Conclusão</w:t>
      </w:r>
    </w:p>
    <w:p w14:paraId="4ACC1E8D" w14:textId="3493E0AE" w:rsidR="000C0746" w:rsidRDefault="000C0746" w:rsidP="000C0746">
      <w:pPr>
        <w:pStyle w:val="Corpodetexto"/>
        <w:spacing w:line="360" w:lineRule="auto"/>
        <w:ind w:firstLine="709"/>
        <w:jc w:val="both"/>
        <w:rPr>
          <w:sz w:val="24"/>
          <w:szCs w:val="24"/>
          <w:lang w:val="pt-BR" w:eastAsia="pt-BR"/>
        </w:rPr>
      </w:pPr>
      <w:r w:rsidRPr="000C0746">
        <w:rPr>
          <w:sz w:val="24"/>
          <w:szCs w:val="24"/>
          <w:lang w:val="pt-BR" w:eastAsia="pt-BR"/>
        </w:rPr>
        <w:t xml:space="preserve">As doses de </w:t>
      </w:r>
      <w:r>
        <w:rPr>
          <w:sz w:val="24"/>
          <w:szCs w:val="24"/>
          <w:lang w:val="pt-BR" w:eastAsia="pt-BR"/>
        </w:rPr>
        <w:t>N</w:t>
      </w:r>
      <w:r w:rsidRPr="000C0746">
        <w:rPr>
          <w:sz w:val="24"/>
          <w:szCs w:val="24"/>
          <w:lang w:val="pt-BR" w:eastAsia="pt-BR"/>
        </w:rPr>
        <w:t xml:space="preserve"> em cobertura não influenciaram a produtividade comercial do milho </w:t>
      </w:r>
      <w:r w:rsidRPr="000C0746">
        <w:rPr>
          <w:sz w:val="24"/>
          <w:szCs w:val="24"/>
          <w:lang w:val="pt-BR" w:eastAsia="pt-BR"/>
        </w:rPr>
        <w:lastRenderedPageBreak/>
        <w:t xml:space="preserve">verde, mas promoveram incrementos na produtividade e na </w:t>
      </w:r>
      <w:r>
        <w:rPr>
          <w:sz w:val="24"/>
          <w:szCs w:val="24"/>
          <w:lang w:val="pt-BR" w:eastAsia="pt-BR"/>
        </w:rPr>
        <w:t>MMG</w:t>
      </w:r>
      <w:r w:rsidRPr="000C0746">
        <w:rPr>
          <w:sz w:val="24"/>
          <w:szCs w:val="24"/>
          <w:lang w:val="pt-BR" w:eastAsia="pt-BR"/>
        </w:rPr>
        <w:t xml:space="preserve"> do milho destinado à produção de grãos. Considerando a dose de 100% da recomendação como referência, a dose de 75% apresentou IEA de 96% para a produtividade de grãos e 100% para a massa de mil grãos. Embora os maiores valores numéricos tenham sido obtidos com a dose de 125%, os resultados indicam que a redução da adubação nitrogenada para 75% da recomendação pode manter elevado desempenho produtivo. </w:t>
      </w:r>
    </w:p>
    <w:p w14:paraId="6ECDE642" w14:textId="77777777" w:rsidR="00D354F3" w:rsidRPr="007A7EE9" w:rsidRDefault="00D354F3" w:rsidP="000F18EE">
      <w:pPr>
        <w:pStyle w:val="Corpodetexto"/>
        <w:spacing w:line="360" w:lineRule="auto"/>
        <w:jc w:val="both"/>
        <w:rPr>
          <w:b/>
          <w:bCs/>
          <w:sz w:val="24"/>
          <w:szCs w:val="24"/>
          <w:lang w:val="pt-BR"/>
        </w:rPr>
      </w:pPr>
    </w:p>
    <w:p w14:paraId="46C53EB6" w14:textId="31ED11BA" w:rsidR="00624629" w:rsidRPr="007A41AF" w:rsidRDefault="00624629" w:rsidP="007A41AF">
      <w:pPr>
        <w:pStyle w:val="Corpodetexto"/>
        <w:spacing w:line="360" w:lineRule="auto"/>
        <w:jc w:val="both"/>
        <w:rPr>
          <w:b/>
          <w:bCs/>
          <w:sz w:val="24"/>
          <w:szCs w:val="24"/>
          <w:lang w:val="en-US"/>
        </w:rPr>
      </w:pPr>
      <w:r w:rsidRPr="007A41AF">
        <w:rPr>
          <w:b/>
          <w:bCs/>
          <w:sz w:val="24"/>
          <w:szCs w:val="24"/>
          <w:lang w:val="en-US"/>
        </w:rPr>
        <w:t>Referências</w:t>
      </w:r>
    </w:p>
    <w:p w14:paraId="431DD2C0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BECK, H. E.; ZIMMERMANN, N. E.; MCVICAR, T. R.; VERGOPOLAN, N.; BERG, A.; WOOD, E. F. Present and future Köppen-Geiger climate classification maps at 1-km resolution. </w:t>
      </w:r>
      <w:r w:rsidRPr="007A41AF">
        <w:rPr>
          <w:b/>
          <w:bCs/>
          <w:sz w:val="24"/>
          <w:szCs w:val="24"/>
          <w:lang w:val="pt-BR" w:eastAsia="pt-BR"/>
        </w:rPr>
        <w:t>Scientific Data</w:t>
      </w:r>
      <w:r w:rsidRPr="007A41AF">
        <w:rPr>
          <w:sz w:val="24"/>
          <w:szCs w:val="24"/>
          <w:lang w:val="pt-BR" w:eastAsia="pt-BR"/>
        </w:rPr>
        <w:t>, v. 5, e180214, 2018.</w:t>
      </w:r>
    </w:p>
    <w:p w14:paraId="6A2ADBE0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CASSMAN, K. G.; DOBERMANN, A.; WALTERS, D. T. Agroecosystems, nitrogen-use efficiency, and nitrogen management. </w:t>
      </w:r>
      <w:r w:rsidRPr="007A41AF">
        <w:rPr>
          <w:b/>
          <w:bCs/>
          <w:sz w:val="24"/>
          <w:szCs w:val="24"/>
          <w:lang w:val="pt-BR" w:eastAsia="pt-BR"/>
        </w:rPr>
        <w:t>Ambio</w:t>
      </w:r>
      <w:r w:rsidRPr="007A41AF">
        <w:rPr>
          <w:sz w:val="24"/>
          <w:szCs w:val="24"/>
          <w:lang w:val="pt-BR" w:eastAsia="pt-BR"/>
        </w:rPr>
        <w:t>, v. 31, p. 132-140, 2002.</w:t>
      </w:r>
    </w:p>
    <w:p w14:paraId="09420F33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CIAMPITTI, I. A.; VYN, T. J. Understanding global and historical nutrient use efficiencies for closing maize yield gaps. </w:t>
      </w:r>
      <w:r w:rsidRPr="007A41AF">
        <w:rPr>
          <w:b/>
          <w:bCs/>
          <w:sz w:val="24"/>
          <w:szCs w:val="24"/>
          <w:lang w:val="pt-BR" w:eastAsia="pt-BR"/>
        </w:rPr>
        <w:t>Agronomy Journal</w:t>
      </w:r>
      <w:r w:rsidRPr="007A41AF">
        <w:rPr>
          <w:sz w:val="24"/>
          <w:szCs w:val="24"/>
          <w:lang w:val="pt-BR" w:eastAsia="pt-BR"/>
        </w:rPr>
        <w:t>, v. 106, n. 6, p. 2107-2117, 2014.</w:t>
      </w:r>
    </w:p>
    <w:p w14:paraId="464DBD71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COMPANHIA NACIONAL DE ABASTECIMENTO (CONAB). </w:t>
      </w:r>
      <w:r w:rsidRPr="007A41AF">
        <w:rPr>
          <w:b/>
          <w:bCs/>
          <w:sz w:val="24"/>
          <w:szCs w:val="24"/>
          <w:lang w:val="pt-BR" w:eastAsia="pt-BR"/>
        </w:rPr>
        <w:t>Acompanhamento da safra brasileira de grãos: safra 2023/24</w:t>
      </w:r>
      <w:r w:rsidRPr="007A41AF">
        <w:rPr>
          <w:sz w:val="24"/>
          <w:szCs w:val="24"/>
          <w:lang w:val="pt-BR" w:eastAsia="pt-BR"/>
        </w:rPr>
        <w:t>. Brasília, DF: CONAB, 2024.</w:t>
      </w:r>
    </w:p>
    <w:p w14:paraId="2F696E72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FAGERIA, N. K. Nutrient interactions in crop plants. </w:t>
      </w:r>
      <w:r w:rsidRPr="007A41AF">
        <w:rPr>
          <w:b/>
          <w:bCs/>
          <w:sz w:val="24"/>
          <w:szCs w:val="24"/>
          <w:lang w:val="pt-BR" w:eastAsia="pt-BR"/>
        </w:rPr>
        <w:t>Advances in Agronomy</w:t>
      </w:r>
      <w:r w:rsidRPr="007A41AF">
        <w:rPr>
          <w:sz w:val="24"/>
          <w:szCs w:val="24"/>
          <w:lang w:val="pt-BR" w:eastAsia="pt-BR"/>
        </w:rPr>
        <w:t>, v. 126, p. 119-168, 2014.</w:t>
      </w:r>
    </w:p>
    <w:p w14:paraId="052945EC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RAUN, W. R.; JOHNSON, G. V. Improving nitrogen use efficiency for cereal production. </w:t>
      </w:r>
      <w:r w:rsidRPr="007A41AF">
        <w:rPr>
          <w:b/>
          <w:bCs/>
          <w:sz w:val="24"/>
          <w:szCs w:val="24"/>
          <w:lang w:val="pt-BR" w:eastAsia="pt-BR"/>
        </w:rPr>
        <w:t>Agronomy Journal</w:t>
      </w:r>
      <w:r w:rsidRPr="007A41AF">
        <w:rPr>
          <w:sz w:val="24"/>
          <w:szCs w:val="24"/>
          <w:lang w:val="pt-BR" w:eastAsia="pt-BR"/>
        </w:rPr>
        <w:t>, v. 91, p. 357-363, 1999.</w:t>
      </w:r>
    </w:p>
    <w:p w14:paraId="1B6C2BCE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RIBEIRO, A. C.; GUIMARÃES, P. T. G.; ALVAREZ V., V. H. </w:t>
      </w:r>
      <w:r w:rsidRPr="007A41AF">
        <w:rPr>
          <w:b/>
          <w:bCs/>
          <w:sz w:val="24"/>
          <w:szCs w:val="24"/>
          <w:lang w:val="pt-BR" w:eastAsia="pt-BR"/>
        </w:rPr>
        <w:t>Recomendações para o uso de corretivos e fertilizantes em Minas Gerais: 5ª aproximação</w:t>
      </w:r>
      <w:r w:rsidRPr="007A41AF">
        <w:rPr>
          <w:sz w:val="24"/>
          <w:szCs w:val="24"/>
          <w:lang w:val="pt-BR" w:eastAsia="pt-BR"/>
        </w:rPr>
        <w:t>. Viçosa: Comissão de Fertilidade do Solo do Estado de Minas Gerais, 1999.</w:t>
      </w:r>
    </w:p>
    <w:p w14:paraId="1FD932BD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RISI, F. G. E.; HÜTHER, C. M.; RIGHI, C. A.; UMBURANAS, R. C.; TEZOTTO, T.; DOURADO NETO, D.; REICHARDT, K.; PEREIRA, C. R. Sustainability analysis of nitrogen use efficiency in soybean-corn succession crops of Midwest Brazil. </w:t>
      </w:r>
      <w:r w:rsidRPr="007A41AF">
        <w:rPr>
          <w:b/>
          <w:bCs/>
          <w:sz w:val="24"/>
          <w:szCs w:val="24"/>
          <w:lang w:val="pt-BR" w:eastAsia="pt-BR"/>
        </w:rPr>
        <w:t>Nitrogen</w:t>
      </w:r>
      <w:r w:rsidRPr="007A41AF">
        <w:rPr>
          <w:sz w:val="24"/>
          <w:szCs w:val="24"/>
          <w:lang w:val="pt-BR" w:eastAsia="pt-BR"/>
        </w:rPr>
        <w:t>, v. 5, p. 232-253, 2024.</w:t>
      </w:r>
    </w:p>
    <w:p w14:paraId="6A7C3946" w14:textId="77777777" w:rsidR="007A41AF" w:rsidRPr="007A41AF" w:rsidRDefault="007A41AF" w:rsidP="007A41AF">
      <w:pPr>
        <w:widowControl/>
        <w:autoSpaceDE/>
        <w:autoSpaceDN/>
        <w:spacing w:line="360" w:lineRule="auto"/>
        <w:jc w:val="both"/>
        <w:rPr>
          <w:sz w:val="24"/>
          <w:szCs w:val="24"/>
          <w:lang w:val="pt-BR" w:eastAsia="pt-BR"/>
        </w:rPr>
      </w:pPr>
      <w:r w:rsidRPr="007A41AF">
        <w:rPr>
          <w:sz w:val="24"/>
          <w:szCs w:val="24"/>
          <w:lang w:val="pt-BR" w:eastAsia="pt-BR"/>
        </w:rPr>
        <w:t xml:space="preserve">SANTOS, H. G.; JACOMINE, P. K. T.; ANJOS, L. H. C.; OLIVEIRA, V. A.; LUMBRERAS, J. F.; COELHO, M. R.; ALMEIDA, J. A.; CUNHA, T. J. F.; OLIVEIRA, J. B. </w:t>
      </w:r>
      <w:r w:rsidRPr="007A41AF">
        <w:rPr>
          <w:b/>
          <w:bCs/>
          <w:sz w:val="24"/>
          <w:szCs w:val="24"/>
          <w:lang w:val="pt-BR" w:eastAsia="pt-BR"/>
        </w:rPr>
        <w:t>Sistema brasileiro de classificação de solos</w:t>
      </w:r>
      <w:r w:rsidRPr="007A41AF">
        <w:rPr>
          <w:sz w:val="24"/>
          <w:szCs w:val="24"/>
          <w:lang w:val="pt-BR" w:eastAsia="pt-BR"/>
        </w:rPr>
        <w:t>. 5. ed. Brasília, DF: Embrapa, 2018. 355 p.</w:t>
      </w:r>
    </w:p>
    <w:sectPr w:rsidR="007A41AF" w:rsidRPr="007A41AF" w:rsidSect="008913F4">
      <w:headerReference w:type="default" r:id="rId9"/>
      <w:footerReference w:type="default" r:id="rId10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37120" w14:textId="77777777" w:rsidR="00EA25BE" w:rsidRDefault="00EA25BE">
      <w:r>
        <w:separator/>
      </w:r>
    </w:p>
  </w:endnote>
  <w:endnote w:type="continuationSeparator" w:id="0">
    <w:p w14:paraId="3120FCFD" w14:textId="77777777" w:rsidR="00EA25BE" w:rsidRDefault="00E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CC61F" w14:textId="77777777" w:rsidR="00EA25BE" w:rsidRDefault="00EA25BE">
      <w:r>
        <w:separator/>
      </w:r>
    </w:p>
  </w:footnote>
  <w:footnote w:type="continuationSeparator" w:id="0">
    <w:p w14:paraId="597EA1F7" w14:textId="77777777" w:rsidR="00EA25BE" w:rsidRDefault="00EA2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E5220"/>
    <w:multiLevelType w:val="multilevel"/>
    <w:tmpl w:val="BF826B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BCC"/>
    <w:rsid w:val="00003F47"/>
    <w:rsid w:val="00032D12"/>
    <w:rsid w:val="000343EA"/>
    <w:rsid w:val="00040472"/>
    <w:rsid w:val="000449F4"/>
    <w:rsid w:val="0006162C"/>
    <w:rsid w:val="000815CB"/>
    <w:rsid w:val="00095020"/>
    <w:rsid w:val="000C0746"/>
    <w:rsid w:val="000D34E3"/>
    <w:rsid w:val="000D602E"/>
    <w:rsid w:val="000F18EE"/>
    <w:rsid w:val="00154A32"/>
    <w:rsid w:val="001B38A6"/>
    <w:rsid w:val="001C1D9D"/>
    <w:rsid w:val="001C5BCC"/>
    <w:rsid w:val="0021123C"/>
    <w:rsid w:val="00231DBC"/>
    <w:rsid w:val="00243512"/>
    <w:rsid w:val="00243955"/>
    <w:rsid w:val="00272187"/>
    <w:rsid w:val="0027261A"/>
    <w:rsid w:val="002941D6"/>
    <w:rsid w:val="00297801"/>
    <w:rsid w:val="002A0401"/>
    <w:rsid w:val="002B0FAD"/>
    <w:rsid w:val="002C62A1"/>
    <w:rsid w:val="002E4D61"/>
    <w:rsid w:val="00303FEE"/>
    <w:rsid w:val="0036697E"/>
    <w:rsid w:val="003B173C"/>
    <w:rsid w:val="003B1D51"/>
    <w:rsid w:val="003C4DF7"/>
    <w:rsid w:val="003E6F37"/>
    <w:rsid w:val="003F3FFA"/>
    <w:rsid w:val="00403675"/>
    <w:rsid w:val="00427CD5"/>
    <w:rsid w:val="004307C9"/>
    <w:rsid w:val="004452D7"/>
    <w:rsid w:val="004B0F66"/>
    <w:rsid w:val="004C7445"/>
    <w:rsid w:val="004D24D6"/>
    <w:rsid w:val="004E2169"/>
    <w:rsid w:val="004F6536"/>
    <w:rsid w:val="005259CE"/>
    <w:rsid w:val="005330A7"/>
    <w:rsid w:val="00541E47"/>
    <w:rsid w:val="00543BF0"/>
    <w:rsid w:val="005450FE"/>
    <w:rsid w:val="00562E9F"/>
    <w:rsid w:val="0056316C"/>
    <w:rsid w:val="00581A3E"/>
    <w:rsid w:val="005A27F2"/>
    <w:rsid w:val="005C14F0"/>
    <w:rsid w:val="005D54CD"/>
    <w:rsid w:val="005F70B0"/>
    <w:rsid w:val="00611BAA"/>
    <w:rsid w:val="00613137"/>
    <w:rsid w:val="00615184"/>
    <w:rsid w:val="00624629"/>
    <w:rsid w:val="00650CF3"/>
    <w:rsid w:val="00650DC2"/>
    <w:rsid w:val="00676282"/>
    <w:rsid w:val="00683BFA"/>
    <w:rsid w:val="00683CE9"/>
    <w:rsid w:val="00694319"/>
    <w:rsid w:val="006B3CCC"/>
    <w:rsid w:val="006E349A"/>
    <w:rsid w:val="00704DE3"/>
    <w:rsid w:val="007130C3"/>
    <w:rsid w:val="00714E14"/>
    <w:rsid w:val="007561D8"/>
    <w:rsid w:val="00796749"/>
    <w:rsid w:val="007A41AF"/>
    <w:rsid w:val="007A7EE9"/>
    <w:rsid w:val="007B4775"/>
    <w:rsid w:val="007D3875"/>
    <w:rsid w:val="007E38CA"/>
    <w:rsid w:val="007E789B"/>
    <w:rsid w:val="008246E3"/>
    <w:rsid w:val="0082494A"/>
    <w:rsid w:val="00827ABD"/>
    <w:rsid w:val="0083315B"/>
    <w:rsid w:val="00847938"/>
    <w:rsid w:val="00861013"/>
    <w:rsid w:val="00863352"/>
    <w:rsid w:val="008645D6"/>
    <w:rsid w:val="008769CE"/>
    <w:rsid w:val="008858BD"/>
    <w:rsid w:val="008913F4"/>
    <w:rsid w:val="00896446"/>
    <w:rsid w:val="008B175F"/>
    <w:rsid w:val="008B766C"/>
    <w:rsid w:val="008C1F4B"/>
    <w:rsid w:val="008C4131"/>
    <w:rsid w:val="008D2F06"/>
    <w:rsid w:val="008E14C5"/>
    <w:rsid w:val="008E3661"/>
    <w:rsid w:val="00912629"/>
    <w:rsid w:val="00945FB7"/>
    <w:rsid w:val="009973BE"/>
    <w:rsid w:val="009C4B75"/>
    <w:rsid w:val="00A33423"/>
    <w:rsid w:val="00A33E6F"/>
    <w:rsid w:val="00A42A79"/>
    <w:rsid w:val="00A841BE"/>
    <w:rsid w:val="00A84C71"/>
    <w:rsid w:val="00A944F2"/>
    <w:rsid w:val="00AB5226"/>
    <w:rsid w:val="00AD22F1"/>
    <w:rsid w:val="00AE4987"/>
    <w:rsid w:val="00AF5124"/>
    <w:rsid w:val="00B12510"/>
    <w:rsid w:val="00B1653B"/>
    <w:rsid w:val="00B63076"/>
    <w:rsid w:val="00B772C5"/>
    <w:rsid w:val="00C305A5"/>
    <w:rsid w:val="00C538C1"/>
    <w:rsid w:val="00C60F3C"/>
    <w:rsid w:val="00C75A60"/>
    <w:rsid w:val="00C76AE0"/>
    <w:rsid w:val="00C83543"/>
    <w:rsid w:val="00C923CB"/>
    <w:rsid w:val="00CA178C"/>
    <w:rsid w:val="00CA76D3"/>
    <w:rsid w:val="00CB1877"/>
    <w:rsid w:val="00CB7603"/>
    <w:rsid w:val="00CB7608"/>
    <w:rsid w:val="00CC4C50"/>
    <w:rsid w:val="00CE7EA7"/>
    <w:rsid w:val="00CF76A1"/>
    <w:rsid w:val="00D24B54"/>
    <w:rsid w:val="00D25276"/>
    <w:rsid w:val="00D354F3"/>
    <w:rsid w:val="00D469F6"/>
    <w:rsid w:val="00D627B1"/>
    <w:rsid w:val="00D852A2"/>
    <w:rsid w:val="00DB3F78"/>
    <w:rsid w:val="00DB702C"/>
    <w:rsid w:val="00DC47E0"/>
    <w:rsid w:val="00DC7894"/>
    <w:rsid w:val="00DD5821"/>
    <w:rsid w:val="00DE4D78"/>
    <w:rsid w:val="00DF433F"/>
    <w:rsid w:val="00DF4904"/>
    <w:rsid w:val="00E02F2F"/>
    <w:rsid w:val="00E04E49"/>
    <w:rsid w:val="00E1407D"/>
    <w:rsid w:val="00E25CDA"/>
    <w:rsid w:val="00E32B6C"/>
    <w:rsid w:val="00E34780"/>
    <w:rsid w:val="00E3782C"/>
    <w:rsid w:val="00E77E61"/>
    <w:rsid w:val="00E942B3"/>
    <w:rsid w:val="00EA1189"/>
    <w:rsid w:val="00EA25BE"/>
    <w:rsid w:val="00ED3269"/>
    <w:rsid w:val="00EE1954"/>
    <w:rsid w:val="00EE509B"/>
    <w:rsid w:val="00EE6FC4"/>
    <w:rsid w:val="00F12354"/>
    <w:rsid w:val="00F12449"/>
    <w:rsid w:val="00F17222"/>
    <w:rsid w:val="00FA02C6"/>
    <w:rsid w:val="00FC2332"/>
    <w:rsid w:val="00FD442A"/>
    <w:rsid w:val="00FD4BC7"/>
    <w:rsid w:val="00FE23BA"/>
    <w:rsid w:val="00FE2E55"/>
    <w:rsid w:val="00FF1AED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B3154C0"/>
  <w15:docId w15:val="{E745A8B7-BDCB-4026-95EA-881B0F94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23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A6">
    <w:name w:val="A6"/>
    <w:uiPriority w:val="99"/>
    <w:rsid w:val="008645D6"/>
    <w:rPr>
      <w:rFonts w:cs="Univers"/>
      <w:color w:val="000000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23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SemEspaamento">
    <w:name w:val="No Spacing"/>
    <w:aliases w:val="projeto,Formatação"/>
    <w:basedOn w:val="Normal"/>
    <w:uiPriority w:val="1"/>
    <w:qFormat/>
    <w:rsid w:val="00C923CB"/>
    <w:pPr>
      <w:widowControl/>
      <w:autoSpaceDE/>
      <w:autoSpaceDN/>
      <w:spacing w:line="360" w:lineRule="auto"/>
      <w:ind w:firstLine="709"/>
      <w:jc w:val="both"/>
    </w:pPr>
    <w:rPr>
      <w:rFonts w:eastAsia="Calibri"/>
      <w:sz w:val="24"/>
      <w:szCs w:val="18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23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23CB"/>
    <w:rPr>
      <w:rFonts w:ascii="Tahoma" w:eastAsia="Times New Roman" w:hAnsi="Tahoma" w:cs="Tahoma"/>
      <w:sz w:val="16"/>
      <w:szCs w:val="16"/>
      <w:lang w:val="pt-PT"/>
    </w:rPr>
  </w:style>
  <w:style w:type="paragraph" w:customStyle="1" w:styleId="isselectedend">
    <w:name w:val="isselectedend"/>
    <w:basedOn w:val="Normal"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4307C9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1B38A6"/>
    <w:rPr>
      <w:i/>
      <w:iCs/>
    </w:rPr>
  </w:style>
  <w:style w:type="table" w:styleId="Tabelacomgrade">
    <w:name w:val="Table Grid"/>
    <w:basedOn w:val="Tabelanormal"/>
    <w:uiPriority w:val="59"/>
    <w:rsid w:val="005330A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D25276"/>
    <w:pPr>
      <w:widowControl/>
      <w:autoSpaceDE/>
      <w:autoSpaceDN/>
    </w:pPr>
    <w:rPr>
      <w:rFonts w:ascii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semibold">
    <w:name w:val="font-semibold"/>
    <w:basedOn w:val="Fontepargpadro"/>
    <w:rsid w:val="007A4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reto@iftm.edu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2242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José Luiz Rodrigues Torres</cp:lastModifiedBy>
  <cp:revision>12</cp:revision>
  <cp:lastPrinted>2026-06-18T14:44:00Z</cp:lastPrinted>
  <dcterms:created xsi:type="dcterms:W3CDTF">2026-09-21T15:43:00Z</dcterms:created>
  <dcterms:modified xsi:type="dcterms:W3CDTF">2026-09-21T17:45:00Z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