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tabs>
          <w:tab w:val="center" w:pos="4251" w:leader="none"/>
          <w:tab w:val="right" w:pos="8503" w:leader="none"/>
        </w:tabs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Solubilização de fosfatos por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Aspergillus niger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e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Penicillium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sp.</w:t>
      </w:r>
    </w:p>
    <w:p>
      <w:pPr>
        <w:pStyle w:val="Normal"/>
        <w:tabs>
          <w:tab w:val="center" w:pos="4251" w:leader="none"/>
          <w:tab w:val="right" w:pos="8503" w:leader="none"/>
        </w:tabs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enter" w:pos="4251" w:leader="none"/>
          <w:tab w:val="right" w:pos="8503" w:leader="none"/>
        </w:tabs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Vinícius Amaral de Oliveira¹ (amaralvinicius77@gmail.com), Kamila Fernanda Rossati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, Laura Vieira Xavier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, Gilberto de Oliveira Mendes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>1</w:t>
      </w:r>
    </w:p>
    <w:p>
      <w:pPr>
        <w:pStyle w:val="Normal"/>
        <w:tabs>
          <w:tab w:val="center" w:pos="4251" w:leader="none"/>
          <w:tab w:val="right" w:pos="8503" w:leader="none"/>
        </w:tabs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</w:r>
    </w:p>
    <w:p>
      <w:pPr>
        <w:pStyle w:val="Normal"/>
        <w:tabs>
          <w:tab w:val="center" w:pos="4251" w:leader="none"/>
          <w:tab w:val="right" w:pos="8503" w:leader="none"/>
        </w:tabs>
        <w:spacing w:lineRule="auto" w:line="276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vertAlign w:val="superscript"/>
        </w:rPr>
      </w:r>
    </w:p>
    <w:p>
      <w:pPr>
        <w:pStyle w:val="Normal"/>
        <w:tabs>
          <w:tab w:val="center" w:pos="4251" w:leader="none"/>
          <w:tab w:val="right" w:pos="8503" w:leader="none"/>
        </w:tabs>
        <w:spacing w:lineRule="auto" w:line="276"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vertAlign w:val="superscript"/>
        </w:rPr>
        <w:t xml:space="preserve">1 </w:t>
      </w:r>
      <w:r>
        <w:rPr>
          <w:rFonts w:cs="Times New Roman" w:ascii="Times New Roman" w:hAnsi="Times New Roman"/>
          <w:color w:val="000000"/>
        </w:rPr>
        <w:t>Instituto de Ciências Agrárias, Universidade Federal de Uberlândia, Monte Carmelo, Minas Gerais</w:t>
      </w:r>
    </w:p>
    <w:p>
      <w:pPr>
        <w:pStyle w:val="Normal"/>
        <w:tabs>
          <w:tab w:val="center" w:pos="4251" w:leader="none"/>
          <w:tab w:val="right" w:pos="8503" w:leader="none"/>
        </w:tabs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Micro-organismos solubilizadores de fosfato têm sido apontados como alternativa para disponibilização de fósforo (P) em solos agrícolas. O presente trabalho teve como objetivo a avaliação da solubilização de diferentes fontes de P </w:t>
      </w:r>
      <w:r>
        <w:rPr>
          <w:rFonts w:cs="Times New Roman" w:ascii="Times New Roman" w:hAnsi="Times New Roman"/>
          <w:color w:val="000000"/>
          <w:sz w:val="24"/>
          <w:szCs w:val="24"/>
        </w:rPr>
        <w:t>através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dois fungos solubilizadores de fosfato,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Aspergillus niger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e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Penicillium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sp.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avaliação foi realizada em meio NBRIP com a fonte de P substituída por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Ca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(PO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, FePO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.2H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O, AlPO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ou fosfato natural (FN) Bayóvar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(14,6% P). </w:t>
      </w:r>
      <w:r>
        <w:rPr>
          <w:rFonts w:cs="Times New Roman" w:ascii="Times New Roman" w:hAnsi="Times New Roman"/>
          <w:color w:val="000000"/>
          <w:sz w:val="24"/>
          <w:szCs w:val="24"/>
        </w:rPr>
        <w:t>Para cada reagente f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oram pesados 0,5 g de cada fonte </w:t>
      </w:r>
      <w:r>
        <w:rPr>
          <w:rFonts w:cs="Times New Roman" w:ascii="Times New Roman" w:hAnsi="Times New Roman"/>
          <w:color w:val="000000"/>
          <w:sz w:val="24"/>
          <w:szCs w:val="24"/>
        </w:rPr>
        <w:t>individualmente e colocados em erlenmeyer de 250 mL contendo 100 mL de meio NBRIP. Os meios foram esterilizados em autoclave. Três discos de micélio retirados de c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olônias de 5-10 dias de idade em meio batata dextrose ágar foram usados como inóculo. </w:t>
      </w:r>
      <w:r>
        <w:rPr>
          <w:rFonts w:cs="Times New Roman" w:ascii="Times New Roman" w:hAnsi="Times New Roman"/>
          <w:color w:val="000000"/>
          <w:sz w:val="24"/>
          <w:szCs w:val="24"/>
        </w:rPr>
        <w:t>O experimento foi conduzido em esquema f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atorial 4 (fontes de P) x 3 (dois fungos + não inoculado) com 3 repetições por tratamento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Os erlenmeyers foram incubados em 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</w:rPr>
        <w:t xml:space="preserve">shaker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a 30 ºC sob agitação a 160 rpm por cinco dias.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Ao final da incubação, os meios foram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filtrados e analisados quanto à concentração de P solúvel em espectrofotômetro, utilizando-se o método do ácido ascórbico. O fungo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highlight w:val="white"/>
        </w:rPr>
        <w:t>A. niger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solubilizou 100%, 25,6%, 22,1% e 22,3% das fontes Ca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(PO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, FePO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.2H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O, AlPO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e FN Bayóvar, respectivamente.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Enquanto isso 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fungo 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</w:rPr>
        <w:t>Penicillium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sp. solubilizou apenas a fonte Ca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(PO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vertAlign w:val="sub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, liberando 15,6% do P contido nesta.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Desta maneira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, conclui-se que o fungo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highlight w:val="white"/>
        </w:rPr>
        <w:t xml:space="preserve">A. niger </w:t>
      </w: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 xml:space="preserve">é superior ao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highlight w:val="white"/>
        </w:rPr>
        <w:t xml:space="preserve">Penicillium </w:t>
      </w: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 xml:space="preserve">sp. na solubilização de todas as fontes de P, </w:t>
      </w: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>sendo assim,</w:t>
      </w: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 xml:space="preserve"> um bom candidato para a formulação de inoculantes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Palavras-chave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fertilizante</w:t>
      </w:r>
      <w:r>
        <w:rPr>
          <w:rFonts w:cs="Times New Roman" w:ascii="Times New Roman" w:hAnsi="Times New Roman"/>
          <w:color w:val="000000"/>
          <w:sz w:val="24"/>
          <w:szCs w:val="24"/>
        </w:rPr>
        <w:t>, fósforo, fungos filamentosos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gradecimentos: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CNPq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709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cs="Times New Roman"/>
        <w:lang w:eastAsia="en-US"/>
      </w:rPr>
    </w:pPr>
    <w:r>
      <w:rPr/>
      <w:drawing>
        <wp:inline distT="0" distB="0" distL="0" distR="0">
          <wp:extent cx="5238750" cy="1230630"/>
          <wp:effectExtent l="0" t="0" r="0" b="0"/>
          <wp:docPr id="1" name="Imagem 1" descr="cabecalho_resu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resu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123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WWDefaultParagraphFont" w:customStyle="1">
    <w:name w:val="WW-Default Paragraph Font"/>
    <w:qFormat/>
    <w:rPr/>
  </w:style>
  <w:style w:type="character" w:styleId="HeaderChar" w:customStyle="1">
    <w:name w:val="Header Char"/>
    <w:basedOn w:val="WWDefaultParagraphFont"/>
    <w:qFormat/>
    <w:rPr/>
  </w:style>
  <w:style w:type="character" w:styleId="FooterChar" w:customStyle="1">
    <w:name w:val="Footer Char"/>
    <w:basedOn w:val="WWDefaultParagraphFont"/>
    <w:qFormat/>
    <w:rPr/>
  </w:style>
  <w:style w:type="character" w:styleId="FootnoteTextChar" w:customStyle="1">
    <w:name w:val="Footnote Text Char"/>
    <w:qFormat/>
    <w:rPr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LinkdaInternet">
    <w:name w:val="Link da Internet"/>
    <w:rPr>
      <w:color w:val="000080"/>
      <w:u w:val="single"/>
    </w:rPr>
  </w:style>
  <w:style w:type="character" w:styleId="CabealhoChar" w:customStyle="1">
    <w:name w:val="Cabeçalho Char"/>
    <w:link w:val="Cabealho"/>
    <w:uiPriority w:val="99"/>
    <w:qFormat/>
    <w:rsid w:val="00603928"/>
    <w:rPr>
      <w:rFonts w:ascii="Calibri" w:hAnsi="Calibri" w:eastAsia="Calibri" w:cs="Calibri"/>
      <w:sz w:val="22"/>
      <w:szCs w:val="2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LibreOffice/6.1.0.3$Windows_X86_64 LibreOffice_project/efb621ed25068d70781dc026f7e9c5187a4decd1</Application>
  <Pages>1</Pages>
  <Words>295</Words>
  <Characters>1654</Characters>
  <CharactersWithSpaces>1944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2018-08-31T19:45:00Z</dcterms:created>
  <dc:creator>usuário</dc:creator>
  <dc:description/>
  <dc:language>pt-BR</dc:language>
  <cp:lastModifiedBy/>
  <cp:lastPrinted>1900-01-01T02:00:00Z</cp:lastPrinted>
  <dcterms:modified xsi:type="dcterms:W3CDTF">2018-08-31T18:12:51Z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