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EPIDEMIOLOGIA DAS INTERNAÇÕES DE URGÊNCIA E EMERGÊNCIA POR QUEIMADURAS NO NORDESTE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60" w:lineRule="auto"/>
        <w:ind w:left="205" w:right="7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Sabrina de Castro Sales¹</w:t>
      </w:r>
    </w:p>
    <w:p w:rsidR="00000000" w:rsidDel="00000000" w:rsidP="00000000" w:rsidRDefault="00000000" w:rsidRPr="00000000" w14:paraId="00000005">
      <w:pPr>
        <w:widowControl w:val="0"/>
        <w:spacing w:line="360" w:lineRule="auto"/>
        <w:ind w:left="205" w:right="7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ind w:left="205" w:right="107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¹Universidade Estadual do Ceará 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sabrina.sales@aluno.uece.br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left="205" w:right="107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69" w:line="360" w:lineRule="auto"/>
        <w:ind w:left="2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lesões por queimaduras constituem importante causa de urgência e emergência hospitalar no Brasil, sendo um grave fator de morbimortalidade, com 150 mil internações por ano, onde o Nordeste está na terceira posição. Apesar dos avanços nas estratégias de conscientização, ainda observa-se a prevalência desses acidentes entre a população de diferentes faixas etárias e sexo, e, estão relacionados,  principalmente,  às atividades domésticas, laborais e de lazer.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 o número de internações hospitalares por queimaduras na rede de urgência e emergência da região  Nordeste, no período de 2019 a 2023.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 descritivo acerca do número de  internações hospitalares por queimaduras  na rede de urgência e emergência do Nordeste. Foram realizadas buscas na Plataforma DATASUS/SIH (Departamento de informática do Sistema Único de Saúde/Sistema de Informação Hospitalar) e na BVS/SBQ (Biblioteca Virtual em Saúde/Sociedade Brasileira de Queimados), com recorte temporal de 2019 a 2023.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Durante a análise dos dados, no período de 2019 a 2023, foi observado 699.689  internações, sendo o ano de 2022 o de maior índice com  154.558 dos casos. Nos cinco anos, a região Nordeste permaneceu ocupando a terceira posição, com um total de 146.697, o que equivale a 21% das internações no País. A região teve o menor índice em 2018 (N=2269) e o maior em 2022 (N= 31697), demonstrando um aumento superior 1000%, o que pode ter associação com o período da pandemia, devido a maior permanência no âmbito doméstico. Na análise dos casos, foi observado 89% por exposição à corrente elétrica, à radiação, às temperaturas  e pressões extremas do ambiente, 4,6% por  exposição à fumaça, ao fogo e às chamas e 6,4% por contato com fontes de calor e substâncias quentes, com permanência de 5,2 dias e taxa de mortalidade de 2,3/Ano.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CONCLUSÕES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da análise dos dados, observou-se  que as lesões por queimaduras apresentaram crescimento considerável nos últimos cinco anos. O deslocamento de recursos para atender essas demandas ocasiona sérios déficits orçamentários ao sistema de saúde pública, deixando em condições de vulnerabilidade outros setores. É fundamental  o controle e o gerenciamento desses acidentes,  com estratégias de prevenção e  ampliação das ações de educação e saúde.</w:t>
      </w:r>
    </w:p>
    <w:p w:rsidR="00000000" w:rsidDel="00000000" w:rsidP="00000000" w:rsidRDefault="00000000" w:rsidRPr="00000000" w14:paraId="00000009">
      <w:pPr>
        <w:widowControl w:val="0"/>
        <w:spacing w:before="51" w:line="360" w:lineRule="auto"/>
        <w:ind w:left="2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Epidemiologia. Urgência e emergência. Queimaduras.</w:t>
      </w:r>
    </w:p>
    <w:p w:rsidR="00000000" w:rsidDel="00000000" w:rsidP="00000000" w:rsidRDefault="00000000" w:rsidRPr="00000000" w14:paraId="0000000A">
      <w:pPr>
        <w:widowControl w:val="0"/>
        <w:spacing w:before="69" w:line="360" w:lineRule="auto"/>
        <w:ind w:left="20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Área Temática: Emergência cirúrgica</w:t>
      </w:r>
    </w:p>
    <w:p w:rsidR="00000000" w:rsidDel="00000000" w:rsidP="00000000" w:rsidRDefault="00000000" w:rsidRPr="00000000" w14:paraId="0000000B">
      <w:pPr>
        <w:widowControl w:val="0"/>
        <w:spacing w:line="254" w:lineRule="auto"/>
        <w:ind w:left="205" w:right="469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brina.sales@aluno.uece.br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